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C79A9">
      <w:pPr>
        <w:widowControl/>
        <w:jc w:val="center"/>
        <w:rPr>
          <w:rFonts w:ascii="Times New Roman" w:hAnsi="Times New Roman" w:eastAsia="黑体" w:cs="Times New Roman"/>
          <w:color w:val="000000" w:themeColor="text1"/>
          <w:sz w:val="32"/>
          <w:szCs w:val="32"/>
        </w:rPr>
      </w:pPr>
    </w:p>
    <w:p w14:paraId="58D2E4FB">
      <w:pPr>
        <w:spacing w:before="120" w:after="120" w:line="480" w:lineRule="auto"/>
        <w:jc w:val="center"/>
        <w:rPr>
          <w:rFonts w:ascii="Times New Roman" w:hAnsi="Times New Roman" w:eastAsia="黑体" w:cs="Times New Roman"/>
          <w:b/>
          <w:bCs/>
          <w:color w:val="000000" w:themeColor="text1"/>
          <w:sz w:val="52"/>
          <w:szCs w:val="52"/>
        </w:rPr>
      </w:pPr>
    </w:p>
    <w:p w14:paraId="31EAF9E9">
      <w:pPr>
        <w:jc w:val="center"/>
        <w:rPr>
          <w:rFonts w:ascii="Times New Roman" w:hAnsi="Times New Roman" w:eastAsia="黑体" w:cs="Times New Roman"/>
          <w:bCs/>
          <w:color w:val="000000" w:themeColor="text1"/>
          <w:sz w:val="52"/>
          <w:szCs w:val="52"/>
        </w:rPr>
      </w:pPr>
      <w:r>
        <w:rPr>
          <w:rFonts w:ascii="Times New Roman" w:hAnsi="Times New Roman" w:eastAsia="黑体" w:cs="Times New Roman"/>
          <w:bCs/>
          <w:color w:val="000000" w:themeColor="text1"/>
          <w:sz w:val="52"/>
          <w:szCs w:val="52"/>
        </w:rPr>
        <w:t>寻甸回族彝族自治县</w:t>
      </w:r>
      <w:r>
        <w:rPr>
          <w:rFonts w:hint="eastAsia" w:ascii="Times New Roman" w:hAnsi="Times New Roman" w:eastAsia="黑体" w:cs="Times New Roman"/>
          <w:bCs/>
          <w:color w:val="000000" w:themeColor="text1"/>
          <w:sz w:val="52"/>
          <w:szCs w:val="52"/>
        </w:rPr>
        <w:t>融媒体中心</w:t>
      </w:r>
    </w:p>
    <w:p w14:paraId="1BAD306C">
      <w:pPr>
        <w:jc w:val="center"/>
        <w:rPr>
          <w:rFonts w:ascii="Times New Roman" w:hAnsi="Times New Roman" w:eastAsia="黑体" w:cs="Times New Roman"/>
          <w:bCs/>
          <w:color w:val="000000" w:themeColor="text1"/>
          <w:sz w:val="52"/>
          <w:szCs w:val="52"/>
        </w:rPr>
      </w:pPr>
      <w:r>
        <w:rPr>
          <w:rFonts w:hint="eastAsia" w:ascii="Times New Roman" w:hAnsi="Times New Roman" w:eastAsia="黑体" w:cs="Times New Roman"/>
          <w:bCs/>
          <w:color w:val="000000" w:themeColor="text1"/>
          <w:sz w:val="52"/>
          <w:szCs w:val="52"/>
          <w:lang w:eastAsia="zh-CN"/>
        </w:rPr>
        <w:t>202</w:t>
      </w:r>
      <w:r>
        <w:rPr>
          <w:rFonts w:hint="eastAsia" w:ascii="Times New Roman" w:hAnsi="Times New Roman" w:eastAsia="黑体" w:cs="Times New Roman"/>
          <w:bCs/>
          <w:color w:val="000000" w:themeColor="text1"/>
          <w:sz w:val="52"/>
          <w:szCs w:val="52"/>
          <w:lang w:val="en-US" w:eastAsia="zh-CN"/>
        </w:rPr>
        <w:t>4</w:t>
      </w:r>
      <w:r>
        <w:rPr>
          <w:rFonts w:ascii="Times New Roman" w:hAnsi="Times New Roman" w:eastAsia="黑体" w:cs="Times New Roman"/>
          <w:bCs/>
          <w:color w:val="000000" w:themeColor="text1"/>
          <w:sz w:val="52"/>
          <w:szCs w:val="52"/>
        </w:rPr>
        <w:t>年部门整体支出绩效自评报告</w:t>
      </w:r>
    </w:p>
    <w:p w14:paraId="287362EE">
      <w:pPr>
        <w:spacing w:before="120" w:after="120" w:line="480" w:lineRule="auto"/>
        <w:jc w:val="center"/>
        <w:rPr>
          <w:rFonts w:ascii="Times New Roman" w:hAnsi="Times New Roman" w:eastAsia="黑体" w:cs="Times New Roman"/>
          <w:b/>
          <w:bCs/>
          <w:color w:val="000000" w:themeColor="text1"/>
          <w:sz w:val="52"/>
          <w:szCs w:val="52"/>
        </w:rPr>
      </w:pPr>
    </w:p>
    <w:p w14:paraId="13DB69CA">
      <w:pPr>
        <w:spacing w:before="120" w:after="120" w:line="480" w:lineRule="auto"/>
        <w:jc w:val="center"/>
        <w:rPr>
          <w:rFonts w:ascii="Times New Roman" w:hAnsi="Times New Roman" w:eastAsia="宋体" w:cs="Times New Roman"/>
          <w:b/>
          <w:bCs/>
          <w:color w:val="000000" w:themeColor="text1"/>
          <w:sz w:val="44"/>
          <w:szCs w:val="44"/>
        </w:rPr>
      </w:pPr>
    </w:p>
    <w:p w14:paraId="2D8664F4">
      <w:pPr>
        <w:spacing w:before="120" w:after="120" w:line="480" w:lineRule="auto"/>
        <w:jc w:val="center"/>
        <w:rPr>
          <w:rFonts w:ascii="Times New Roman" w:hAnsi="Times New Roman" w:eastAsia="宋体" w:cs="Times New Roman"/>
          <w:b/>
          <w:bCs/>
          <w:color w:val="000000" w:themeColor="text1"/>
          <w:sz w:val="44"/>
          <w:szCs w:val="44"/>
        </w:rPr>
      </w:pPr>
    </w:p>
    <w:p w14:paraId="5D6E3A1C">
      <w:pPr>
        <w:spacing w:before="120" w:after="120" w:line="480" w:lineRule="auto"/>
        <w:jc w:val="center"/>
        <w:rPr>
          <w:rFonts w:ascii="Times New Roman" w:hAnsi="Times New Roman" w:eastAsia="黑体" w:cs="Times New Roman"/>
          <w:b/>
          <w:bCs/>
          <w:color w:val="000000" w:themeColor="text1"/>
          <w:sz w:val="44"/>
          <w:szCs w:val="44"/>
        </w:rPr>
      </w:pPr>
    </w:p>
    <w:p w14:paraId="5B28CC09">
      <w:pPr>
        <w:adjustRightInd w:val="0"/>
        <w:snapToGrid w:val="0"/>
        <w:spacing w:line="360" w:lineRule="auto"/>
        <w:ind w:left="1260" w:leftChars="600"/>
        <w:rPr>
          <w:rFonts w:ascii="Times New Roman" w:hAnsi="Times New Roman" w:eastAsia="黑体" w:cs="Times New Roman"/>
          <w:b/>
          <w:bCs/>
          <w:color w:val="000000" w:themeColor="text1"/>
          <w:sz w:val="28"/>
          <w:szCs w:val="28"/>
        </w:rPr>
      </w:pPr>
      <w:r>
        <w:rPr>
          <w:rFonts w:ascii="Times New Roman" w:hAnsi="Times New Roman" w:eastAsia="黑体" w:cs="Times New Roman"/>
          <w:b/>
          <w:bCs/>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211455</wp:posOffset>
                </wp:positionV>
                <wp:extent cx="3457575" cy="0"/>
                <wp:effectExtent l="0" t="4445" r="0" b="508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33.5pt;margin-top:16.65pt;height:0pt;width:272.25pt;z-index:251659264;mso-width-relative:page;mso-height-relative:page;" filled="f" stroked="t" coordsize="21600,21600" o:gfxdata="UEsDBAoAAAAAAIdO4kAAAAAAAAAAAAAAAAAEAAAAZHJzL1BLAwQUAAAACACHTuJABjJ5pdcAAAAJ&#10;AQAADwAAAGRycy9kb3ducmV2LnhtbE2PwU7DMBBE70j8g7VIXBC1nailhGwqhMSBI20lrm68JIF4&#10;HcVOU/r1GHGA4+yMZt+Um5PrxZHG0HlG0AsFgrj2tuMGYb97vl2DCNGwNb1nQviiAJvq8qI0hfUz&#10;v9JxGxuRSjgUBqGNcSikDHVLzoSFH4iT9+5HZ2KSYyPtaOZU7nqZKbWSznScPrRmoKeW6s/t5BAo&#10;TEutHu9ds385zzdv2fljHnaI11daPYCIdIp/YfjBT+hQJaaDn9gG0SNkq7u0JSLkeQ4iBdZaL0Ec&#10;fg+yKuX/BdU3UEsDBBQAAAAIAIdO4kBxmCq4+QEAAMwDAAAOAAAAZHJzL2Uyb0RvYy54bWytU82O&#10;0zAQviPxDpbvNP2h/ERN99BquSxQaZcHcB0nsXA8lsdt2pfgBZA4ASfgtHeeBpbHYOy0ZVkueyCR&#10;Itvj75v5vpnMznatYVvlUYMt+Ggw5ExZCaW2dcHfXJ0/esYZBmFLYcCqgu8V8rP5wwezzuVqDA2Y&#10;UnlGJBbzzhW8CcHlWYayUa3AAThlKViBb0Wgra+z0ouO2FuTjYfDJ1kHvnQepEKk02Uf5AdGfx9C&#10;qCot1RLkplU29KxeGRFIEjbaIZ+naqtKyfC6qlAFZgpOSkP6UhJar+M3m89EXnvhGi0PJYj7lHBH&#10;Uyu0paQnqqUIgm28/oeq1dIDQhUGEtqsF5IcIRWj4R1vLhvhVNJCVqM7mY7/j1a+2q4802XBJ5xZ&#10;0VLDb95f/3z36ebb1x8fr399/xDXXz6zSbSqc5gTYmFXPoqVO3vpLkC+RWZh0Qhbq1Ty1d4Rzygi&#10;sr8gcYOOEq67l1DSHbEJkHzbVb6NlOQI26X27E/tUbvAJB1OHk+f0suZPMYykR+BzmN4oaBlcVFw&#10;DF7ougkLsJaGAPwopRHbCwyxLJEfATGrhXNtTJoFY1lX8OfT8TQBEIwuYzBeQ1+vF8azrYjTlJ6k&#10;kSK3r3nY2LJPYmzEqTSIh8xHD3o311DuV/5oFDU51XYYyDhFt/fJzj8/4f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jJ5pdcAAAAJAQAADwAAAAAAAAABACAAAAAiAAAAZHJzL2Rvd25yZXYueG1s&#10;UEsBAhQAFAAAAAgAh07iQHGYKrj5AQAAzAMAAA4AAAAAAAAAAQAgAAAAJgEAAGRycy9lMm9Eb2Mu&#10;eG1sUEsFBgAAAAAGAAYAWQEAAJEFAAAAAA==&#10;">
                <v:fill on="f" focussize="0,0"/>
                <v:stroke color="#000000" joinstyle="round"/>
                <v:imagedata o:title=""/>
                <o:lock v:ext="edit" aspectratio="f"/>
              </v:shape>
            </w:pict>
          </mc:Fallback>
        </mc:AlternateContent>
      </w:r>
      <w:r>
        <w:rPr>
          <w:rFonts w:ascii="Times New Roman" w:hAnsi="Times New Roman" w:eastAsia="黑体" w:cs="Times New Roman"/>
          <w:b/>
          <w:bCs/>
          <w:color w:val="000000" w:themeColor="text1"/>
          <w:sz w:val="28"/>
          <w:szCs w:val="28"/>
        </w:rPr>
        <w:t>项目名称：   寻甸回族彝族自治县</w:t>
      </w:r>
      <w:r>
        <w:rPr>
          <w:rFonts w:hint="eastAsia" w:ascii="Times New Roman" w:hAnsi="Times New Roman" w:eastAsia="黑体" w:cs="Times New Roman"/>
          <w:b/>
          <w:bCs/>
          <w:color w:val="000000" w:themeColor="text1"/>
          <w:sz w:val="28"/>
          <w:szCs w:val="28"/>
        </w:rPr>
        <w:t>融媒体中心</w:t>
      </w:r>
      <w:r>
        <w:rPr>
          <w:rFonts w:ascii="Times New Roman" w:hAnsi="Times New Roman" w:eastAsia="黑体" w:cs="Times New Roman"/>
          <w:b/>
          <w:bCs/>
          <w:color w:val="000000" w:themeColor="text1"/>
          <w:sz w:val="28"/>
          <w:szCs w:val="28"/>
        </w:rPr>
        <w:t>整体支出</w:t>
      </w:r>
    </w:p>
    <w:p w14:paraId="135D9E93">
      <w:pPr>
        <w:adjustRightInd w:val="0"/>
        <w:snapToGrid w:val="0"/>
        <w:spacing w:line="360" w:lineRule="auto"/>
        <w:ind w:left="1260" w:leftChars="600"/>
        <w:rPr>
          <w:rFonts w:ascii="Times New Roman" w:hAnsi="Times New Roman" w:eastAsia="黑体" w:cs="Times New Roman"/>
          <w:b/>
          <w:bCs/>
          <w:color w:val="000000" w:themeColor="text1"/>
          <w:sz w:val="28"/>
          <w:szCs w:val="28"/>
        </w:rPr>
      </w:pPr>
      <w:r>
        <w:rPr>
          <w:rFonts w:ascii="Times New Roman" w:hAnsi="Times New Roman" w:eastAsia="黑体" w:cs="Times New Roman"/>
          <w:b/>
          <w:bCs/>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1695450</wp:posOffset>
                </wp:positionH>
                <wp:positionV relativeFrom="paragraph">
                  <wp:posOffset>217805</wp:posOffset>
                </wp:positionV>
                <wp:extent cx="3457575" cy="0"/>
                <wp:effectExtent l="0" t="4445" r="0" b="508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33.5pt;margin-top:17.15pt;height:0pt;width:272.25pt;z-index:251660288;mso-width-relative:page;mso-height-relative:page;" filled="f" stroked="t" coordsize="21600,21600" o:gfxdata="UEsDBAoAAAAAAIdO4kAAAAAAAAAAAAAAAAAEAAAAZHJzL1BLAwQUAAAACACHTuJASv0PcNgAAAAJ&#10;AQAADwAAAGRycy9kb3ducmV2LnhtbE2PwU7DMBBE70j8g7VIXBC1ndJSQjYVQuLAkbYSVzdekkC8&#10;jmKnKf16jDiU4+yMZt8U66PrxIGG0HpG0DMFgrjytuUaYbd9uV2BCNGwNZ1nQvimAOvy8qIwufUT&#10;v9FhE2uRSjjkBqGJsc+lDFVDzoSZ74mT9+EHZ2KSQy3tYKZU7jqZKbWUzrScPjSmp+eGqq/N6BAo&#10;jAutnh5cvXs9TTfv2elz6reI11daPYKIdIznMPziJ3QoE9Pej2yD6BCy5X3aEhHmd3MQKbDSegFi&#10;/3eQZSH/Lyh/AFBLAwQUAAAACACHTuJAmI6/svkBAADMAwAADgAAAGRycy9lMm9Eb2MueG1srVNL&#10;jhMxEN0jcQfLe9JJIHxa6cwi0bAZYKQZDuC43d0WtssqO+nkElwAiRWwGljNntPAcAzKzodh2MyC&#10;bqllu/xe1XtVPT3ZWMPWCoMGV/HRYMiZchJq7dqKv708ffScsxCFq4UBpyq+VYGfzB4+mPa+VGPo&#10;wNQKGZG4UPa+4l2MviyKIDtlRRiAV46CDaAVkbbYFjWKntitKcbD4dOiB6w9glQh0OliF+R7RrwP&#10;ITSNlmoBcmWViztWVEZEkhQ67QOf5WqbRsn4pmmCisxUnJTG/KUktF6mbzGbirJF4Tst9yWI+5Rw&#10;R5MV2lHSI9VCRMFWqP+hsloiBGjiQIItdkKyI6RiNLzjzUUnvMpayOrgj6aH/0crX6/Pkem64mPO&#10;nLDU8JsP1z/ff7759vXHp+tf3z+m9dUXNk5W9T6UhJi7c0xi5cZd+DOQ7wJzMO+Ea1Uu+XLriWeU&#10;EMVfkLQJnhIu+1dQ0x2xipB92zRoEyU5wja5Pdtje9QmMkmHj59MntHLmTzEClEegB5DfKnAsrSo&#10;eIgodNvFOThHQwA4ymnE+izEVJYoD4CU1cGpNibPgnGsr/iLyXiSAQGMrlMwXQvYLucG2VqkacpP&#10;1kiR29cQVq7eJTEu4VQexH3mgwc7N5dQb8/xYBQ1Ode2H8g0Rbf32c4/P+Hs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r9D3DYAAAACQEAAA8AAAAAAAAAAQAgAAAAIgAAAGRycy9kb3ducmV2Lnht&#10;bFBLAQIUABQAAAAIAIdO4kCYjr+y+QEAAMwDAAAOAAAAAAAAAAEAIAAAACcBAABkcnMvZTJvRG9j&#10;LnhtbFBLBQYAAAAABgAGAFkBAACSBQAAAAA=&#10;">
                <v:fill on="f" focussize="0,0"/>
                <v:stroke color="#000000" joinstyle="round"/>
                <v:imagedata o:title=""/>
                <o:lock v:ext="edit" aspectratio="f"/>
              </v:shape>
            </w:pict>
          </mc:Fallback>
        </mc:AlternateContent>
      </w:r>
      <w:r>
        <w:rPr>
          <w:rFonts w:ascii="Times New Roman" w:hAnsi="Times New Roman" w:eastAsia="黑体" w:cs="Times New Roman"/>
          <w:b/>
          <w:bCs/>
          <w:color w:val="000000" w:themeColor="text1"/>
          <w:sz w:val="28"/>
          <w:szCs w:val="28"/>
        </w:rPr>
        <w:t>部门名称：      寻甸回族彝族自治县</w:t>
      </w:r>
      <w:r>
        <w:rPr>
          <w:rFonts w:hint="eastAsia" w:ascii="Times New Roman" w:hAnsi="Times New Roman" w:eastAsia="黑体" w:cs="Times New Roman"/>
          <w:b/>
          <w:bCs/>
          <w:color w:val="000000" w:themeColor="text1"/>
          <w:sz w:val="28"/>
          <w:szCs w:val="28"/>
        </w:rPr>
        <w:t>融媒体中心</w:t>
      </w:r>
    </w:p>
    <w:p w14:paraId="00CAE9FC">
      <w:pPr>
        <w:adjustRightInd w:val="0"/>
        <w:snapToGrid w:val="0"/>
        <w:spacing w:line="360" w:lineRule="auto"/>
        <w:ind w:left="1260" w:leftChars="600"/>
        <w:rPr>
          <w:rFonts w:ascii="Times New Roman" w:hAnsi="Times New Roman" w:eastAsia="黑体" w:cs="Times New Roman"/>
          <w:b/>
          <w:bCs/>
          <w:color w:val="000000" w:themeColor="text1"/>
          <w:sz w:val="28"/>
          <w:szCs w:val="28"/>
        </w:rPr>
      </w:pPr>
      <w:r>
        <w:rPr>
          <w:rFonts w:ascii="Times New Roman" w:hAnsi="Times New Roman" w:eastAsia="黑体" w:cs="Times New Roman"/>
          <w:b/>
          <w:bCs/>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column">
                  <wp:posOffset>1695450</wp:posOffset>
                </wp:positionH>
                <wp:positionV relativeFrom="paragraph">
                  <wp:posOffset>253365</wp:posOffset>
                </wp:positionV>
                <wp:extent cx="3457575" cy="0"/>
                <wp:effectExtent l="0" t="4445" r="0" b="508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33.5pt;margin-top:19.95pt;height:0pt;width:272.25pt;z-index:251661312;mso-width-relative:page;mso-height-relative:page;" filled="f" stroked="t" coordsize="21600,21600" o:gfxdata="UEsDBAoAAAAAAIdO4kAAAAAAAAAAAAAAAAAEAAAAZHJzL1BLAwQUAAAACACHTuJACBJ+CNcAAAAJ&#10;AQAADwAAAGRycy9kb3ducmV2LnhtbE2PwU7DMBBE70j8g7VIXBC1HdTShGwqhMSBI20lrm68JIF4&#10;HcVOU/r1GHGA4+yMZt+Um5PrxZHG0HlG0AsFgrj2tuMGYb97vl2DCNGwNb1nQviiAJvq8qI0hfUz&#10;v9JxGxuRSjgUBqGNcSikDHVLzoSFH4iT9+5HZ2KSYyPtaOZU7nqZKbWSznScPrRmoKeW6s/t5BAo&#10;TEutHnPX7F/O881bdv6Yhx3i9ZVWDyAineJfGH7wEzpUiengJ7ZB9AjZ6j5tiQh3eQ4iBdZaL0Ec&#10;fg+yKuX/BdU3UEsDBBQAAAAIAIdO4kCjtQCt+QEAAMwDAAAOAAAAZHJzL2Uyb0RvYy54bWytU82O&#10;0zAQviPxDpbvNG2h/ERN99BquSyw0i4P4DpOYmF7LI/btC/BCyBxAk4Lp73zNLA8BmP3B3a57IFE&#10;iuyZ+b6Z+WYyPdlYw9YqoAZX8dFgyJlyEmrt2oq/vTx99JwzjMLVwoBTFd8q5Cezhw+mvS/VGDow&#10;tQqMSByWva94F6MviwJlp6zAAXjlyNlAsCLSNbRFHURP7NYU4+HwadFDqH0AqRDJutg5+Z4x3IcQ&#10;mkZLtQC5ssrFHWtQRkRqCTvtkc9ytU2jZHzTNKgiMxWnTmP+UhI6L9O3mE1F2QbhOy33JYj7lHCn&#10;Jyu0o6RHqoWIgq2C/ofKahkAoYkDCbbYNZIVoS5GwzvaXHTCq9wLSY3+KDr+P1r5en0emK5pEzhz&#10;wtLAbz5c/3z/+ebb1x+frn99/5jOV1/YKEnVeywJMXfnITUrN+7Cn4F8h8zBvBOuVbnky60nnowo&#10;bkHSBT0lXPavoKYYsYqQdds0wSZKUoRt8ni2x/GoTWSSjI+fTJ7Ry5k8+ApRHoA+YHypwLJ0qDjG&#10;IHTbxTk4R0sAYZTTiPUZRmqEgAdAyurgVBuTd8E41lf8xWQ8yQAEo+vkTGEY2uXcBLYWaZvyk1Qh&#10;slthAVau3tmNSziVF3Gf+aDBTs0l1NvzkIKTnYac6fYLmbbo73uO+vMTz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BJ+CNcAAAAJAQAADwAAAAAAAAABACAAAAAiAAAAZHJzL2Rvd25yZXYueG1s&#10;UEsBAhQAFAAAAAgAh07iQKO1AK35AQAAzAMAAA4AAAAAAAAAAQAgAAAAJgEAAGRycy9lMm9Eb2Mu&#10;eG1sUEsFBgAAAAAGAAYAWQEAAJEFAAAAAA==&#10;">
                <v:fill on="f" focussize="0,0"/>
                <v:stroke color="#000000" joinstyle="round"/>
                <v:imagedata o:title=""/>
                <o:lock v:ext="edit" aspectratio="f"/>
              </v:shape>
            </w:pict>
          </mc:Fallback>
        </mc:AlternateContent>
      </w:r>
      <w:r>
        <w:rPr>
          <w:rFonts w:ascii="Times New Roman" w:hAnsi="Times New Roman" w:eastAsia="黑体" w:cs="Times New Roman"/>
          <w:b/>
          <w:bCs/>
          <w:color w:val="000000" w:themeColor="text1"/>
          <w:sz w:val="28"/>
          <w:szCs w:val="28"/>
        </w:rPr>
        <w:t>评价机构：      寻甸回族彝族自治县</w:t>
      </w:r>
      <w:r>
        <w:rPr>
          <w:rFonts w:hint="eastAsia" w:ascii="Times New Roman" w:hAnsi="Times New Roman" w:eastAsia="黑体" w:cs="Times New Roman"/>
          <w:b/>
          <w:bCs/>
          <w:color w:val="000000" w:themeColor="text1"/>
          <w:sz w:val="28"/>
          <w:szCs w:val="28"/>
        </w:rPr>
        <w:t>融媒体中心</w:t>
      </w:r>
    </w:p>
    <w:p w14:paraId="02E7B5F1">
      <w:pPr>
        <w:adjustRightInd w:val="0"/>
        <w:snapToGrid w:val="0"/>
        <w:spacing w:line="360" w:lineRule="auto"/>
        <w:ind w:left="1260" w:leftChars="600"/>
        <w:rPr>
          <w:rFonts w:ascii="Times New Roman" w:hAnsi="Times New Roman" w:eastAsia="黑体" w:cs="Times New Roman"/>
          <w:b/>
          <w:bCs/>
          <w:color w:val="000000" w:themeColor="text1"/>
          <w:sz w:val="28"/>
          <w:szCs w:val="28"/>
        </w:rPr>
      </w:pPr>
    </w:p>
    <w:p w14:paraId="1DC49C81">
      <w:pPr>
        <w:spacing w:line="360" w:lineRule="auto"/>
        <w:ind w:left="1218" w:leftChars="580"/>
        <w:rPr>
          <w:rFonts w:ascii="Times New Roman" w:hAnsi="Times New Roman" w:eastAsia="黑体" w:cs="Times New Roman"/>
          <w:b/>
          <w:bCs/>
          <w:color w:val="000000" w:themeColor="text1"/>
          <w:sz w:val="28"/>
          <w:szCs w:val="28"/>
        </w:rPr>
      </w:pPr>
    </w:p>
    <w:p w14:paraId="790372D2">
      <w:pPr>
        <w:jc w:val="center"/>
        <w:rPr>
          <w:rFonts w:ascii="Times New Roman" w:hAnsi="Times New Roman" w:eastAsia="黑体" w:cs="Times New Roman"/>
          <w:b/>
          <w:bCs/>
          <w:color w:val="000000" w:themeColor="text1"/>
          <w:sz w:val="28"/>
          <w:szCs w:val="28"/>
        </w:rPr>
      </w:pPr>
      <w:r>
        <w:rPr>
          <w:rFonts w:ascii="Times New Roman" w:hAnsi="Times New Roman" w:eastAsia="黑体" w:cs="Times New Roman"/>
          <w:b/>
          <w:bCs/>
          <w:color w:val="000000" w:themeColor="text1"/>
          <w:sz w:val="28"/>
          <w:szCs w:val="28"/>
        </w:rPr>
        <w:t>20</w:t>
      </w:r>
      <w:r>
        <w:rPr>
          <w:rFonts w:hint="eastAsia" w:ascii="Times New Roman" w:hAnsi="Times New Roman" w:eastAsia="黑体" w:cs="Times New Roman"/>
          <w:b/>
          <w:bCs/>
          <w:color w:val="000000" w:themeColor="text1"/>
          <w:sz w:val="28"/>
          <w:szCs w:val="28"/>
        </w:rPr>
        <w:t>2</w:t>
      </w:r>
      <w:r>
        <w:rPr>
          <w:rFonts w:hint="eastAsia" w:ascii="Times New Roman" w:hAnsi="Times New Roman" w:eastAsia="黑体" w:cs="Times New Roman"/>
          <w:b/>
          <w:bCs/>
          <w:color w:val="000000" w:themeColor="text1"/>
          <w:sz w:val="28"/>
          <w:szCs w:val="28"/>
          <w:lang w:val="en-US" w:eastAsia="zh-CN"/>
        </w:rPr>
        <w:t>5</w:t>
      </w:r>
      <w:r>
        <w:rPr>
          <w:rFonts w:ascii="Times New Roman" w:hAnsi="Times New Roman" w:eastAsia="黑体" w:cs="Times New Roman"/>
          <w:b/>
          <w:bCs/>
          <w:color w:val="000000" w:themeColor="text1"/>
          <w:sz w:val="28"/>
          <w:szCs w:val="28"/>
        </w:rPr>
        <w:t>年</w:t>
      </w:r>
      <w:r>
        <w:rPr>
          <w:rFonts w:hint="eastAsia" w:ascii="Times New Roman" w:hAnsi="Times New Roman" w:eastAsia="黑体" w:cs="Times New Roman"/>
          <w:b/>
          <w:bCs/>
          <w:color w:val="000000" w:themeColor="text1"/>
          <w:sz w:val="28"/>
          <w:szCs w:val="28"/>
        </w:rPr>
        <w:t>5</w:t>
      </w:r>
      <w:r>
        <w:rPr>
          <w:rFonts w:ascii="Times New Roman" w:hAnsi="Times New Roman" w:eastAsia="黑体" w:cs="Times New Roman"/>
          <w:b/>
          <w:bCs/>
          <w:color w:val="000000" w:themeColor="text1"/>
          <w:sz w:val="28"/>
          <w:szCs w:val="28"/>
        </w:rPr>
        <w:t>月</w:t>
      </w:r>
    </w:p>
    <w:p w14:paraId="4D48F70F">
      <w:pPr>
        <w:jc w:val="center"/>
        <w:rPr>
          <w:rFonts w:ascii="Times New Roman" w:hAnsi="Times New Roman" w:eastAsia="黑体" w:cs="Times New Roman"/>
          <w:b/>
          <w:bCs/>
          <w:color w:val="000000" w:themeColor="text1"/>
          <w:sz w:val="28"/>
          <w:szCs w:val="28"/>
        </w:rPr>
      </w:pPr>
    </w:p>
    <w:p w14:paraId="0E64910D">
      <w:pPr>
        <w:jc w:val="center"/>
        <w:rPr>
          <w:rFonts w:ascii="Times New Roman" w:hAnsi="Times New Roman" w:eastAsia="黑体" w:cs="Times New Roman"/>
          <w:b/>
          <w:bCs/>
          <w:color w:val="000000" w:themeColor="text1"/>
          <w:sz w:val="28"/>
          <w:szCs w:val="28"/>
        </w:rPr>
      </w:pPr>
    </w:p>
    <w:p w14:paraId="779E0E22">
      <w:pPr>
        <w:jc w:val="center"/>
        <w:rPr>
          <w:rFonts w:ascii="Times New Roman" w:hAnsi="Times New Roman" w:eastAsia="黑体" w:cs="Times New Roman"/>
          <w:b/>
          <w:bCs/>
          <w:color w:val="000000" w:themeColor="text1"/>
          <w:sz w:val="28"/>
          <w:szCs w:val="28"/>
        </w:rPr>
      </w:pPr>
    </w:p>
    <w:p w14:paraId="6DD61396">
      <w:pPr>
        <w:jc w:val="center"/>
        <w:rPr>
          <w:rFonts w:ascii="Times New Roman" w:hAnsi="Times New Roman" w:eastAsia="黑体" w:cs="Times New Roman"/>
          <w:b/>
          <w:bCs/>
          <w:color w:val="000000" w:themeColor="text1"/>
          <w:sz w:val="28"/>
          <w:szCs w:val="28"/>
        </w:rPr>
      </w:pPr>
    </w:p>
    <w:p w14:paraId="186AD781">
      <w:pPr>
        <w:jc w:val="center"/>
        <w:rPr>
          <w:rFonts w:ascii="Times New Roman" w:hAnsi="Times New Roman" w:eastAsia="仿宋_GB2312" w:cs="Times New Roman"/>
          <w:b/>
          <w:bCs/>
          <w:color w:val="000000" w:themeColor="text1"/>
          <w:sz w:val="28"/>
          <w:szCs w:val="28"/>
        </w:rPr>
      </w:pPr>
    </w:p>
    <w:p w14:paraId="3876E9FE">
      <w:pPr>
        <w:widowControl/>
        <w:jc w:val="left"/>
        <w:rPr>
          <w:rFonts w:ascii="Times New Roman" w:hAnsi="Times New Roman" w:eastAsia="仿宋_GB2312" w:cs="Times New Roman"/>
          <w:b/>
          <w:bCs/>
          <w:color w:val="000000" w:themeColor="text1"/>
          <w:sz w:val="28"/>
          <w:szCs w:val="28"/>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p>
    <w:p w14:paraId="5A868E56">
      <w:pPr>
        <w:spacing w:line="360" w:lineRule="auto"/>
        <w:ind w:left="420" w:leftChars="200"/>
        <w:rPr>
          <w:rFonts w:ascii="Times New Roman" w:hAnsi="Times New Roman" w:eastAsia="黑体" w:cs="Times New Roman"/>
          <w:color w:val="000000" w:themeColor="text1"/>
          <w:sz w:val="24"/>
          <w:szCs w:val="24"/>
          <w:u w:color="000000"/>
          <w:lang w:val="zh-TW" w:eastAsia="zh-TW"/>
        </w:rPr>
      </w:pPr>
      <w:r>
        <w:rPr>
          <w:rFonts w:ascii="Times New Roman" w:hAnsi="Times New Roman" w:eastAsia="黑体" w:cs="Times New Roman"/>
          <w:color w:val="000000" w:themeColor="text1"/>
          <w:sz w:val="24"/>
          <w:szCs w:val="24"/>
          <w:u w:color="000000"/>
          <w:lang w:val="zh-TW" w:eastAsia="zh-TW"/>
        </w:rPr>
        <w:t>评价小组成员：</w:t>
      </w:r>
    </w:p>
    <w:tbl>
      <w:tblPr>
        <w:tblStyle w:val="8"/>
        <w:tblpPr w:leftFromText="180" w:rightFromText="180" w:vertAnchor="text" w:horzAnchor="margin" w:tblpY="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620"/>
        <w:gridCol w:w="1620"/>
        <w:gridCol w:w="1621"/>
        <w:gridCol w:w="1621"/>
      </w:tblGrid>
      <w:tr w14:paraId="25E7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484EA3F9">
            <w:pPr>
              <w:jc w:val="center"/>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rPr>
              <w:t>评价小组</w:t>
            </w:r>
          </w:p>
          <w:p w14:paraId="07207281">
            <w:pPr>
              <w:jc w:val="center"/>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rPr>
              <w:t>机构职位</w:t>
            </w:r>
          </w:p>
        </w:tc>
        <w:tc>
          <w:tcPr>
            <w:tcW w:w="1620" w:type="dxa"/>
            <w:vAlign w:val="center"/>
          </w:tcPr>
          <w:p w14:paraId="4120C657">
            <w:pPr>
              <w:jc w:val="center"/>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rPr>
              <w:t>姓名</w:t>
            </w:r>
          </w:p>
        </w:tc>
        <w:tc>
          <w:tcPr>
            <w:tcW w:w="1620" w:type="dxa"/>
            <w:vAlign w:val="center"/>
          </w:tcPr>
          <w:p w14:paraId="0383878D">
            <w:pPr>
              <w:jc w:val="center"/>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rPr>
              <w:t>职务/职称</w:t>
            </w:r>
          </w:p>
        </w:tc>
        <w:tc>
          <w:tcPr>
            <w:tcW w:w="1621" w:type="dxa"/>
            <w:vAlign w:val="center"/>
          </w:tcPr>
          <w:p w14:paraId="49993129">
            <w:pPr>
              <w:jc w:val="center"/>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rPr>
              <w:t>所属</w:t>
            </w:r>
          </w:p>
          <w:p w14:paraId="66CE7393">
            <w:pPr>
              <w:jc w:val="center"/>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rPr>
              <w:t>单位/处室</w:t>
            </w:r>
          </w:p>
        </w:tc>
        <w:tc>
          <w:tcPr>
            <w:tcW w:w="1621" w:type="dxa"/>
            <w:vAlign w:val="center"/>
          </w:tcPr>
          <w:p w14:paraId="56851515">
            <w:pPr>
              <w:jc w:val="center"/>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rPr>
              <w:t>签字</w:t>
            </w:r>
          </w:p>
        </w:tc>
      </w:tr>
      <w:tr w14:paraId="1FD4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05E2F15B">
            <w:pPr>
              <w:jc w:val="center"/>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rPr>
              <w:t>组长</w:t>
            </w:r>
          </w:p>
        </w:tc>
        <w:tc>
          <w:tcPr>
            <w:tcW w:w="1620" w:type="dxa"/>
            <w:vAlign w:val="center"/>
          </w:tcPr>
          <w:p w14:paraId="0E541AD1">
            <w:pPr>
              <w:jc w:val="center"/>
              <w:rPr>
                <w:rFonts w:hint="eastAsia" w:ascii="Times New Roman" w:hAnsi="Times New Roman" w:eastAsia="黑体" w:cs="Times New Roman"/>
                <w:color w:val="000000" w:themeColor="text1"/>
                <w:sz w:val="24"/>
                <w:szCs w:val="24"/>
                <w:u w:color="000000"/>
                <w:lang w:val="zh-TW" w:eastAsia="zh-CN"/>
              </w:rPr>
            </w:pPr>
            <w:r>
              <w:rPr>
                <w:rFonts w:hint="eastAsia" w:ascii="Times New Roman" w:hAnsi="Times New Roman" w:eastAsia="黑体" w:cs="Times New Roman"/>
                <w:color w:val="000000" w:themeColor="text1"/>
                <w:sz w:val="24"/>
                <w:szCs w:val="24"/>
                <w:u w:color="000000"/>
                <w:lang w:val="zh-TW" w:eastAsia="zh-CN"/>
              </w:rPr>
              <w:t>常寅东</w:t>
            </w:r>
          </w:p>
        </w:tc>
        <w:tc>
          <w:tcPr>
            <w:tcW w:w="1620" w:type="dxa"/>
            <w:vAlign w:val="center"/>
          </w:tcPr>
          <w:p w14:paraId="09961FC4">
            <w:pPr>
              <w:jc w:val="center"/>
              <w:rPr>
                <w:rFonts w:ascii="Times New Roman" w:hAnsi="Times New Roman" w:eastAsia="黑体" w:cs="Times New Roman"/>
                <w:color w:val="000000" w:themeColor="text1"/>
                <w:sz w:val="24"/>
                <w:szCs w:val="24"/>
                <w:u w:color="000000"/>
                <w:lang w:val="zh-TW"/>
              </w:rPr>
            </w:pPr>
            <w:r>
              <w:rPr>
                <w:rFonts w:hint="eastAsia" w:ascii="Times New Roman" w:hAnsi="Times New Roman" w:eastAsia="黑体" w:cs="Times New Roman"/>
                <w:color w:val="000000" w:themeColor="text1"/>
                <w:sz w:val="24"/>
                <w:szCs w:val="24"/>
                <w:u w:color="000000"/>
                <w:lang w:val="zh-TW"/>
              </w:rPr>
              <w:t>主任</w:t>
            </w:r>
          </w:p>
        </w:tc>
        <w:tc>
          <w:tcPr>
            <w:tcW w:w="1621" w:type="dxa"/>
          </w:tcPr>
          <w:p w14:paraId="05465524">
            <w:pPr>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eastAsia="zh-TW"/>
              </w:rPr>
              <w:t>寻甸回族彝族自治县</w:t>
            </w:r>
            <w:r>
              <w:rPr>
                <w:rFonts w:hint="eastAsia" w:ascii="Times New Roman" w:hAnsi="Times New Roman" w:eastAsia="黑体" w:cs="Times New Roman"/>
                <w:color w:val="000000" w:themeColor="text1"/>
                <w:sz w:val="24"/>
                <w:szCs w:val="24"/>
                <w:u w:color="000000"/>
                <w:lang w:val="zh-TW"/>
              </w:rPr>
              <w:t>融媒体中心</w:t>
            </w:r>
          </w:p>
        </w:tc>
        <w:tc>
          <w:tcPr>
            <w:tcW w:w="1621" w:type="dxa"/>
          </w:tcPr>
          <w:p w14:paraId="535B9DDB">
            <w:pPr>
              <w:rPr>
                <w:rFonts w:ascii="Times New Roman" w:hAnsi="Times New Roman" w:eastAsia="黑体" w:cs="Times New Roman"/>
                <w:color w:val="000000" w:themeColor="text1"/>
                <w:sz w:val="24"/>
                <w:szCs w:val="24"/>
                <w:u w:color="000000"/>
                <w:lang w:val="zh-TW" w:eastAsia="zh-TW"/>
              </w:rPr>
            </w:pPr>
          </w:p>
        </w:tc>
      </w:tr>
      <w:tr w14:paraId="4D24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4FFCDCC6">
            <w:pPr>
              <w:spacing w:line="360" w:lineRule="auto"/>
              <w:jc w:val="center"/>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rPr>
              <w:t>副组长</w:t>
            </w:r>
          </w:p>
        </w:tc>
        <w:tc>
          <w:tcPr>
            <w:tcW w:w="1620" w:type="dxa"/>
            <w:vAlign w:val="center"/>
          </w:tcPr>
          <w:p w14:paraId="2353B0B4">
            <w:pPr>
              <w:spacing w:line="360" w:lineRule="auto"/>
              <w:jc w:val="center"/>
              <w:rPr>
                <w:rFonts w:ascii="Times New Roman" w:hAnsi="Times New Roman" w:eastAsia="黑体" w:cs="Times New Roman"/>
                <w:color w:val="000000" w:themeColor="text1"/>
                <w:sz w:val="24"/>
                <w:szCs w:val="24"/>
                <w:u w:color="000000"/>
                <w:lang w:val="zh-TW"/>
              </w:rPr>
            </w:pPr>
            <w:r>
              <w:rPr>
                <w:rFonts w:hint="eastAsia" w:ascii="Times New Roman" w:hAnsi="Times New Roman" w:eastAsia="黑体" w:cs="Times New Roman"/>
                <w:color w:val="000000" w:themeColor="text1"/>
                <w:sz w:val="24"/>
                <w:szCs w:val="24"/>
                <w:u w:color="000000"/>
                <w:lang w:val="zh-TW"/>
              </w:rPr>
              <w:t>韩奇</w:t>
            </w:r>
          </w:p>
        </w:tc>
        <w:tc>
          <w:tcPr>
            <w:tcW w:w="1620" w:type="dxa"/>
            <w:vAlign w:val="center"/>
          </w:tcPr>
          <w:p w14:paraId="4847A4BF">
            <w:pPr>
              <w:spacing w:line="360" w:lineRule="auto"/>
              <w:jc w:val="center"/>
              <w:rPr>
                <w:rFonts w:ascii="Times New Roman" w:hAnsi="Times New Roman" w:eastAsia="黑体" w:cs="Times New Roman"/>
                <w:color w:val="000000" w:themeColor="text1"/>
                <w:sz w:val="24"/>
                <w:szCs w:val="24"/>
                <w:u w:color="000000"/>
                <w:lang w:val="zh-TW"/>
              </w:rPr>
            </w:pPr>
            <w:r>
              <w:rPr>
                <w:rFonts w:hint="eastAsia" w:ascii="Times New Roman" w:hAnsi="Times New Roman" w:eastAsia="黑体" w:cs="Times New Roman"/>
                <w:color w:val="000000" w:themeColor="text1"/>
                <w:sz w:val="24"/>
                <w:szCs w:val="24"/>
                <w:u w:color="000000"/>
                <w:lang w:val="zh-TW"/>
              </w:rPr>
              <w:t>副主任</w:t>
            </w:r>
          </w:p>
        </w:tc>
        <w:tc>
          <w:tcPr>
            <w:tcW w:w="1621" w:type="dxa"/>
          </w:tcPr>
          <w:p w14:paraId="2742D719">
            <w:pPr>
              <w:spacing w:line="360" w:lineRule="auto"/>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eastAsia="zh-TW"/>
              </w:rPr>
              <w:t>寻甸回族彝族自治县</w:t>
            </w:r>
            <w:r>
              <w:rPr>
                <w:rFonts w:hint="eastAsia" w:ascii="Times New Roman" w:hAnsi="Times New Roman" w:eastAsia="黑体" w:cs="Times New Roman"/>
                <w:color w:val="000000" w:themeColor="text1"/>
                <w:sz w:val="24"/>
                <w:szCs w:val="24"/>
                <w:u w:color="000000"/>
                <w:lang w:val="zh-TW"/>
              </w:rPr>
              <w:t>融媒体中心</w:t>
            </w:r>
          </w:p>
        </w:tc>
        <w:tc>
          <w:tcPr>
            <w:tcW w:w="1621" w:type="dxa"/>
          </w:tcPr>
          <w:p w14:paraId="3860ED94">
            <w:pPr>
              <w:spacing w:line="360" w:lineRule="auto"/>
              <w:rPr>
                <w:rFonts w:ascii="Times New Roman" w:hAnsi="Times New Roman" w:eastAsia="黑体" w:cs="Times New Roman"/>
                <w:color w:val="000000" w:themeColor="text1"/>
                <w:sz w:val="24"/>
                <w:szCs w:val="24"/>
                <w:u w:color="000000"/>
                <w:lang w:val="zh-TW" w:eastAsia="zh-TW"/>
              </w:rPr>
            </w:pPr>
          </w:p>
        </w:tc>
      </w:tr>
      <w:tr w14:paraId="21D4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4EEA403A">
            <w:pPr>
              <w:spacing w:line="360" w:lineRule="auto"/>
              <w:jc w:val="center"/>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rPr>
              <w:t>成员</w:t>
            </w:r>
          </w:p>
        </w:tc>
        <w:tc>
          <w:tcPr>
            <w:tcW w:w="1620" w:type="dxa"/>
            <w:vAlign w:val="center"/>
          </w:tcPr>
          <w:p w14:paraId="3FA2CB8C">
            <w:pPr>
              <w:spacing w:line="360" w:lineRule="auto"/>
              <w:jc w:val="center"/>
              <w:rPr>
                <w:rFonts w:hint="eastAsia" w:ascii="Times New Roman" w:hAnsi="Times New Roman" w:eastAsia="黑体" w:cs="Times New Roman"/>
                <w:color w:val="000000" w:themeColor="text1"/>
                <w:sz w:val="24"/>
                <w:szCs w:val="24"/>
                <w:u w:color="000000"/>
                <w:lang w:val="zh-TW" w:eastAsia="zh-CN"/>
              </w:rPr>
            </w:pPr>
            <w:r>
              <w:rPr>
                <w:rFonts w:hint="eastAsia" w:ascii="Times New Roman" w:hAnsi="Times New Roman" w:eastAsia="黑体" w:cs="Times New Roman"/>
                <w:color w:val="000000" w:themeColor="text1"/>
                <w:sz w:val="24"/>
                <w:szCs w:val="24"/>
                <w:u w:color="000000"/>
                <w:lang w:val="zh-TW" w:eastAsia="zh-CN"/>
              </w:rPr>
              <w:t>张益恒</w:t>
            </w:r>
          </w:p>
        </w:tc>
        <w:tc>
          <w:tcPr>
            <w:tcW w:w="1620" w:type="dxa"/>
            <w:vAlign w:val="center"/>
          </w:tcPr>
          <w:p w14:paraId="25016C5D">
            <w:pPr>
              <w:spacing w:line="360" w:lineRule="auto"/>
              <w:jc w:val="center"/>
              <w:rPr>
                <w:rFonts w:hint="eastAsia" w:ascii="Times New Roman" w:hAnsi="Times New Roman" w:eastAsia="黑体" w:cs="Times New Roman"/>
                <w:color w:val="000000" w:themeColor="text1"/>
                <w:sz w:val="24"/>
                <w:szCs w:val="24"/>
                <w:u w:color="000000"/>
                <w:lang w:val="zh-TW" w:eastAsia="zh-CN"/>
              </w:rPr>
            </w:pPr>
            <w:r>
              <w:rPr>
                <w:rFonts w:hint="eastAsia" w:ascii="Times New Roman" w:hAnsi="Times New Roman" w:eastAsia="黑体" w:cs="Times New Roman"/>
                <w:color w:val="000000" w:themeColor="text1"/>
                <w:sz w:val="24"/>
                <w:szCs w:val="24"/>
                <w:u w:color="000000"/>
                <w:lang w:val="zh-TW"/>
              </w:rPr>
              <w:t>办公室主任</w:t>
            </w:r>
            <w:r>
              <w:rPr>
                <w:rFonts w:hint="eastAsia" w:ascii="Times New Roman" w:hAnsi="Times New Roman" w:eastAsia="黑体" w:cs="Times New Roman"/>
                <w:color w:val="000000" w:themeColor="text1"/>
                <w:sz w:val="24"/>
                <w:szCs w:val="24"/>
                <w:u w:color="000000"/>
                <w:lang w:val="zh-TW" w:eastAsia="zh-CN"/>
              </w:rPr>
              <w:t>、出纳</w:t>
            </w:r>
          </w:p>
        </w:tc>
        <w:tc>
          <w:tcPr>
            <w:tcW w:w="1621" w:type="dxa"/>
          </w:tcPr>
          <w:p w14:paraId="3863B313">
            <w:pPr>
              <w:spacing w:line="360" w:lineRule="auto"/>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eastAsia="zh-TW"/>
              </w:rPr>
              <w:t>寻甸回族彝族自治县</w:t>
            </w:r>
            <w:r>
              <w:rPr>
                <w:rFonts w:hint="eastAsia" w:ascii="Times New Roman" w:hAnsi="Times New Roman" w:eastAsia="黑体" w:cs="Times New Roman"/>
                <w:color w:val="000000" w:themeColor="text1"/>
                <w:sz w:val="24"/>
                <w:szCs w:val="24"/>
                <w:u w:color="000000"/>
                <w:lang w:val="zh-TW"/>
              </w:rPr>
              <w:t>融媒体中心</w:t>
            </w:r>
          </w:p>
        </w:tc>
        <w:tc>
          <w:tcPr>
            <w:tcW w:w="1621" w:type="dxa"/>
          </w:tcPr>
          <w:p w14:paraId="32EA1B02">
            <w:pPr>
              <w:spacing w:line="360" w:lineRule="auto"/>
              <w:rPr>
                <w:rFonts w:ascii="Times New Roman" w:hAnsi="Times New Roman" w:eastAsia="黑体" w:cs="Times New Roman"/>
                <w:color w:val="000000" w:themeColor="text1"/>
                <w:sz w:val="24"/>
                <w:szCs w:val="24"/>
                <w:u w:color="000000"/>
                <w:lang w:val="zh-TW" w:eastAsia="zh-TW"/>
              </w:rPr>
            </w:pPr>
          </w:p>
        </w:tc>
      </w:tr>
      <w:tr w14:paraId="6304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72DC3DA8">
            <w:pPr>
              <w:spacing w:line="360" w:lineRule="auto"/>
              <w:jc w:val="center"/>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rPr>
              <w:t>成员</w:t>
            </w:r>
          </w:p>
        </w:tc>
        <w:tc>
          <w:tcPr>
            <w:tcW w:w="1620" w:type="dxa"/>
            <w:vAlign w:val="center"/>
          </w:tcPr>
          <w:p w14:paraId="7A3CAE20">
            <w:pPr>
              <w:spacing w:line="360" w:lineRule="auto"/>
              <w:jc w:val="center"/>
              <w:rPr>
                <w:rFonts w:ascii="Times New Roman" w:hAnsi="Times New Roman" w:eastAsia="黑体" w:cs="Times New Roman"/>
                <w:color w:val="000000" w:themeColor="text1"/>
                <w:sz w:val="24"/>
                <w:szCs w:val="24"/>
                <w:u w:color="000000"/>
                <w:lang w:val="zh-TW"/>
              </w:rPr>
            </w:pPr>
            <w:r>
              <w:rPr>
                <w:rFonts w:hint="eastAsia" w:ascii="Times New Roman" w:hAnsi="Times New Roman" w:eastAsia="黑体" w:cs="Times New Roman"/>
                <w:color w:val="000000" w:themeColor="text1"/>
                <w:sz w:val="24"/>
                <w:szCs w:val="24"/>
                <w:u w:color="000000"/>
                <w:lang w:val="zh-TW"/>
              </w:rPr>
              <w:t>郑燕</w:t>
            </w:r>
          </w:p>
        </w:tc>
        <w:tc>
          <w:tcPr>
            <w:tcW w:w="1620" w:type="dxa"/>
            <w:vAlign w:val="center"/>
          </w:tcPr>
          <w:p w14:paraId="6D278C79">
            <w:pPr>
              <w:spacing w:line="360" w:lineRule="auto"/>
              <w:jc w:val="center"/>
              <w:rPr>
                <w:rFonts w:ascii="Times New Roman" w:hAnsi="Times New Roman" w:eastAsia="黑体" w:cs="Times New Roman"/>
                <w:color w:val="000000" w:themeColor="text1"/>
                <w:sz w:val="24"/>
                <w:szCs w:val="24"/>
                <w:u w:color="000000"/>
                <w:lang w:val="zh-TW"/>
              </w:rPr>
            </w:pPr>
            <w:r>
              <w:rPr>
                <w:rFonts w:hint="eastAsia" w:ascii="Times New Roman" w:hAnsi="Times New Roman" w:eastAsia="黑体" w:cs="Times New Roman"/>
                <w:color w:val="000000" w:themeColor="text1"/>
                <w:sz w:val="24"/>
                <w:szCs w:val="24"/>
                <w:u w:color="000000"/>
                <w:lang w:val="zh-TW"/>
              </w:rPr>
              <w:t>会计</w:t>
            </w:r>
          </w:p>
        </w:tc>
        <w:tc>
          <w:tcPr>
            <w:tcW w:w="1621" w:type="dxa"/>
          </w:tcPr>
          <w:p w14:paraId="38531230">
            <w:pPr>
              <w:spacing w:line="360" w:lineRule="auto"/>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eastAsia="zh-TW"/>
              </w:rPr>
              <w:t>寻甸回族彝族自治县</w:t>
            </w:r>
            <w:r>
              <w:rPr>
                <w:rFonts w:hint="eastAsia" w:ascii="Times New Roman" w:hAnsi="Times New Roman" w:eastAsia="黑体" w:cs="Times New Roman"/>
                <w:color w:val="000000" w:themeColor="text1"/>
                <w:sz w:val="24"/>
                <w:szCs w:val="24"/>
                <w:u w:color="000000"/>
                <w:lang w:val="zh-TW"/>
              </w:rPr>
              <w:t>融媒体中心</w:t>
            </w:r>
          </w:p>
        </w:tc>
        <w:tc>
          <w:tcPr>
            <w:tcW w:w="1621" w:type="dxa"/>
          </w:tcPr>
          <w:p w14:paraId="5A611A47">
            <w:pPr>
              <w:spacing w:line="360" w:lineRule="auto"/>
              <w:rPr>
                <w:rFonts w:ascii="Times New Roman" w:hAnsi="Times New Roman" w:eastAsia="黑体" w:cs="Times New Roman"/>
                <w:color w:val="000000" w:themeColor="text1"/>
                <w:sz w:val="24"/>
                <w:szCs w:val="24"/>
                <w:u w:color="000000"/>
                <w:lang w:val="zh-TW" w:eastAsia="zh-TW"/>
              </w:rPr>
            </w:pPr>
          </w:p>
        </w:tc>
      </w:tr>
      <w:tr w14:paraId="2464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8102" w:type="dxa"/>
            <w:gridSpan w:val="5"/>
          </w:tcPr>
          <w:p w14:paraId="2E19E1FE">
            <w:pPr>
              <w:spacing w:line="360" w:lineRule="auto"/>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rPr>
              <w:t>报告撰写人（签字）：</w:t>
            </w:r>
          </w:p>
          <w:p w14:paraId="3954F0E1">
            <w:pPr>
              <w:spacing w:line="360" w:lineRule="auto"/>
              <w:rPr>
                <w:rFonts w:ascii="Times New Roman" w:hAnsi="Times New Roman" w:eastAsia="黑体" w:cs="Times New Roman"/>
                <w:color w:val="000000" w:themeColor="text1"/>
                <w:sz w:val="24"/>
                <w:szCs w:val="24"/>
                <w:u w:color="000000"/>
                <w:lang w:val="zh-TW"/>
              </w:rPr>
            </w:pPr>
          </w:p>
          <w:p w14:paraId="5AE8E551">
            <w:pPr>
              <w:spacing w:line="360" w:lineRule="auto"/>
              <w:rPr>
                <w:rFonts w:ascii="Times New Roman" w:hAnsi="Times New Roman" w:eastAsia="黑体" w:cs="Times New Roman"/>
                <w:color w:val="000000" w:themeColor="text1"/>
                <w:sz w:val="24"/>
                <w:szCs w:val="24"/>
                <w:u w:color="000000"/>
                <w:lang w:val="zh-TW"/>
              </w:rPr>
            </w:pPr>
          </w:p>
          <w:p w14:paraId="2864D125">
            <w:pPr>
              <w:wordWrap w:val="0"/>
              <w:spacing w:line="360" w:lineRule="auto"/>
              <w:jc w:val="right"/>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rPr>
              <w:t>年    月    日</w:t>
            </w:r>
          </w:p>
        </w:tc>
      </w:tr>
      <w:tr w14:paraId="5B82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8102" w:type="dxa"/>
            <w:gridSpan w:val="5"/>
          </w:tcPr>
          <w:p w14:paraId="356E3982">
            <w:pPr>
              <w:spacing w:line="360" w:lineRule="auto"/>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rPr>
              <w:t>评价工作负责人（签字）：</w:t>
            </w:r>
          </w:p>
          <w:p w14:paraId="549D7D51">
            <w:pPr>
              <w:spacing w:line="360" w:lineRule="auto"/>
              <w:rPr>
                <w:rFonts w:ascii="Times New Roman" w:hAnsi="Times New Roman" w:eastAsia="黑体" w:cs="Times New Roman"/>
                <w:color w:val="000000" w:themeColor="text1"/>
                <w:sz w:val="24"/>
                <w:szCs w:val="24"/>
                <w:u w:color="000000"/>
                <w:lang w:val="zh-TW"/>
              </w:rPr>
            </w:pPr>
          </w:p>
          <w:p w14:paraId="340E49A8">
            <w:pPr>
              <w:spacing w:line="360" w:lineRule="auto"/>
              <w:rPr>
                <w:rFonts w:ascii="Times New Roman" w:hAnsi="Times New Roman" w:eastAsia="黑体" w:cs="Times New Roman"/>
                <w:color w:val="000000" w:themeColor="text1"/>
                <w:sz w:val="24"/>
                <w:szCs w:val="24"/>
                <w:u w:color="000000"/>
                <w:lang w:val="zh-TW"/>
              </w:rPr>
            </w:pPr>
          </w:p>
          <w:p w14:paraId="667958BE">
            <w:pPr>
              <w:wordWrap w:val="0"/>
              <w:spacing w:line="360" w:lineRule="auto"/>
              <w:jc w:val="right"/>
              <w:rPr>
                <w:rFonts w:ascii="Times New Roman" w:hAnsi="Times New Roman" w:eastAsia="黑体" w:cs="Times New Roman"/>
                <w:color w:val="000000" w:themeColor="text1"/>
                <w:sz w:val="24"/>
                <w:szCs w:val="24"/>
                <w:u w:color="000000"/>
                <w:lang w:val="zh-TW"/>
              </w:rPr>
            </w:pPr>
            <w:r>
              <w:rPr>
                <w:rFonts w:ascii="Times New Roman" w:hAnsi="Times New Roman" w:eastAsia="黑体" w:cs="Times New Roman"/>
                <w:color w:val="000000" w:themeColor="text1"/>
                <w:sz w:val="24"/>
                <w:szCs w:val="24"/>
                <w:u w:color="000000"/>
                <w:lang w:val="zh-TW"/>
              </w:rPr>
              <w:t>年    月    日</w:t>
            </w:r>
          </w:p>
        </w:tc>
      </w:tr>
    </w:tbl>
    <w:p w14:paraId="7885542D">
      <w:pPr>
        <w:spacing w:line="360" w:lineRule="auto"/>
        <w:ind w:firstLine="566" w:firstLineChars="236"/>
        <w:rPr>
          <w:rFonts w:ascii="Times New Roman" w:hAnsi="Times New Roman" w:eastAsia="PMingLiU" w:cs="Times New Roman"/>
          <w:color w:val="000000" w:themeColor="text1"/>
          <w:sz w:val="24"/>
          <w:szCs w:val="24"/>
          <w:u w:color="000000"/>
          <w:lang w:val="zh-TW" w:eastAsia="zh-TW"/>
        </w:rPr>
      </w:pPr>
    </w:p>
    <w:p w14:paraId="1801076A">
      <w:pPr>
        <w:spacing w:line="360" w:lineRule="auto"/>
        <w:rPr>
          <w:rFonts w:ascii="Times New Roman" w:hAnsi="Times New Roman" w:eastAsia="宋体" w:cs="Times New Roman"/>
          <w:color w:val="000000" w:themeColor="text1"/>
          <w:sz w:val="24"/>
          <w:szCs w:val="24"/>
          <w:u w:color="000000"/>
          <w:lang w:val="zh-TW"/>
        </w:rPr>
        <w:sectPr>
          <w:pgSz w:w="11906" w:h="16838"/>
          <w:pgMar w:top="1440" w:right="1800" w:bottom="1440" w:left="1800" w:header="851" w:footer="992" w:gutter="0"/>
          <w:cols w:space="425" w:num="1"/>
          <w:docGrid w:type="lines" w:linePitch="312" w:charSpace="0"/>
        </w:sectPr>
      </w:pPr>
    </w:p>
    <w:p w14:paraId="4844E29A">
      <w:pPr>
        <w:keepNext/>
        <w:keepLines/>
        <w:widowControl/>
        <w:spacing w:before="480" w:line="276" w:lineRule="auto"/>
        <w:jc w:val="center"/>
        <w:rPr>
          <w:rFonts w:ascii="Times New Roman" w:hAnsi="Times New Roman" w:eastAsia="方正小标宋_GBK" w:cs="Times New Roman"/>
          <w:bCs/>
          <w:color w:val="000000" w:themeColor="text1"/>
          <w:kern w:val="0"/>
          <w:sz w:val="28"/>
          <w:szCs w:val="28"/>
        </w:rPr>
      </w:pPr>
      <w:r>
        <w:rPr>
          <w:rFonts w:ascii="Times New Roman" w:hAnsi="Times New Roman" w:eastAsia="方正小标宋_GBK" w:cs="Times New Roman"/>
          <w:bCs/>
          <w:color w:val="000000" w:themeColor="text1"/>
          <w:kern w:val="0"/>
          <w:sz w:val="28"/>
          <w:szCs w:val="28"/>
          <w:lang w:val="zh-CN"/>
        </w:rPr>
        <w:t>目录</w:t>
      </w:r>
    </w:p>
    <w:p w14:paraId="6BB5C0EE">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一、部门概况</w:t>
      </w:r>
    </w:p>
    <w:p w14:paraId="134EDAC4">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（一）部门机构设置、编制</w:t>
      </w:r>
    </w:p>
    <w:p w14:paraId="204F9F0F">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（二）部门职能</w:t>
      </w:r>
    </w:p>
    <w:p w14:paraId="6DD6DC50">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（三）部门工作完成情况</w:t>
      </w:r>
    </w:p>
    <w:p w14:paraId="63DE4664">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（四）部门管理制度</w:t>
      </w:r>
    </w:p>
    <w:p w14:paraId="72B9690C">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（五）部门资金来源及使用情况</w:t>
      </w:r>
    </w:p>
    <w:p w14:paraId="7FE4ED27">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（六）政府采购情况</w:t>
      </w:r>
    </w:p>
    <w:p w14:paraId="016252EE">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（七）固定资产情况</w:t>
      </w:r>
    </w:p>
    <w:p w14:paraId="48F43994">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二、绩效目标</w:t>
      </w:r>
    </w:p>
    <w:p w14:paraId="41003093">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三、评价思路和过程</w:t>
      </w:r>
    </w:p>
    <w:p w14:paraId="55BAA6B9">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（一）评价思路</w:t>
      </w:r>
    </w:p>
    <w:p w14:paraId="290061AD">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（二）评价目的</w:t>
      </w:r>
    </w:p>
    <w:p w14:paraId="632B14E9">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（三）评价依据</w:t>
      </w:r>
    </w:p>
    <w:p w14:paraId="43FE8BFA">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（四）评价对象及评价时段</w:t>
      </w:r>
    </w:p>
    <w:p w14:paraId="57411C22">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四、评价结论和绩效分析</w:t>
      </w:r>
    </w:p>
    <w:p w14:paraId="731E291B">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（一）评价结论</w:t>
      </w:r>
    </w:p>
    <w:p w14:paraId="0C5AE112">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（二）具体绩效分析</w:t>
      </w:r>
    </w:p>
    <w:p w14:paraId="76C0DFE5">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五、主要经验做法</w:t>
      </w:r>
    </w:p>
    <w:p w14:paraId="40101CE4">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六、存在的问题</w:t>
      </w:r>
    </w:p>
    <w:p w14:paraId="6A4CB805">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七、改进措施及建议</w:t>
      </w:r>
    </w:p>
    <w:p w14:paraId="75C9A525">
      <w:pPr>
        <w:spacing w:line="400" w:lineRule="exact"/>
        <w:ind w:firstLine="420" w:firstLineChars="200"/>
        <w:jc w:val="left"/>
        <w:rPr>
          <w:rFonts w:ascii="Times New Roman" w:hAnsi="Times New Roman" w:eastAsia="黑体" w:cs="Times New Roman"/>
          <w:color w:val="000000" w:themeColor="text1"/>
          <w:szCs w:val="32"/>
        </w:rPr>
      </w:pPr>
    </w:p>
    <w:p w14:paraId="452A8909">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附件1 成本费用分析报告</w:t>
      </w:r>
    </w:p>
    <w:p w14:paraId="02F2E85C">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附件2 部门职能分解及</w:t>
      </w:r>
      <w:r>
        <w:rPr>
          <w:rFonts w:hint="eastAsia" w:ascii="Times New Roman" w:hAnsi="Times New Roman" w:eastAsia="黑体" w:cs="Times New Roman"/>
          <w:color w:val="000000" w:themeColor="text1"/>
          <w:szCs w:val="32"/>
          <w:lang w:eastAsia="zh-CN"/>
        </w:rPr>
        <w:t>2024</w:t>
      </w:r>
      <w:r>
        <w:rPr>
          <w:rFonts w:ascii="Times New Roman" w:hAnsi="Times New Roman" w:eastAsia="黑体" w:cs="Times New Roman"/>
          <w:color w:val="000000" w:themeColor="text1"/>
          <w:szCs w:val="32"/>
        </w:rPr>
        <w:t>年工作完成情况</w:t>
      </w:r>
    </w:p>
    <w:p w14:paraId="422E9232">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附件3评价指标体系</w:t>
      </w:r>
    </w:p>
    <w:p w14:paraId="03521E5F">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附件4问卷调查报告</w:t>
      </w:r>
    </w:p>
    <w:p w14:paraId="40EC7FFF">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附件5工作底稿</w:t>
      </w:r>
    </w:p>
    <w:p w14:paraId="3C72DA4D">
      <w:pPr>
        <w:spacing w:line="400" w:lineRule="exact"/>
        <w:ind w:firstLine="420" w:firstLineChars="200"/>
        <w:jc w:val="left"/>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附件6 寻甸回族彝族自治县</w:t>
      </w:r>
      <w:r>
        <w:rPr>
          <w:rFonts w:hint="eastAsia" w:ascii="Times New Roman" w:hAnsi="Times New Roman" w:eastAsia="黑体" w:cs="Times New Roman"/>
          <w:color w:val="000000" w:themeColor="text1"/>
          <w:szCs w:val="32"/>
        </w:rPr>
        <w:t>融媒体中心</w:t>
      </w:r>
      <w:r>
        <w:rPr>
          <w:rFonts w:hint="eastAsia" w:ascii="Times New Roman" w:hAnsi="Times New Roman" w:eastAsia="黑体" w:cs="Times New Roman"/>
          <w:color w:val="000000" w:themeColor="text1"/>
          <w:szCs w:val="32"/>
          <w:lang w:eastAsia="zh-CN"/>
        </w:rPr>
        <w:t>2024</w:t>
      </w:r>
      <w:r>
        <w:rPr>
          <w:rFonts w:ascii="Times New Roman" w:hAnsi="Times New Roman" w:eastAsia="黑体" w:cs="Times New Roman"/>
          <w:color w:val="000000" w:themeColor="text1"/>
          <w:szCs w:val="32"/>
        </w:rPr>
        <w:t>年</w:t>
      </w:r>
      <w:r>
        <w:rPr>
          <w:rFonts w:hint="eastAsia" w:ascii="Times New Roman" w:hAnsi="Times New Roman" w:eastAsia="黑体" w:cs="Times New Roman"/>
          <w:color w:val="000000" w:themeColor="text1"/>
          <w:szCs w:val="32"/>
          <w:lang w:eastAsia="zh-CN"/>
        </w:rPr>
        <w:t>收入支出决算总表</w:t>
      </w:r>
      <w:r>
        <w:rPr>
          <w:rFonts w:ascii="Times New Roman" w:hAnsi="Times New Roman" w:eastAsia="黑体" w:cs="Times New Roman"/>
          <w:color w:val="000000" w:themeColor="text1"/>
          <w:szCs w:val="32"/>
        </w:rPr>
        <w:t>（单位：元）</w:t>
      </w:r>
    </w:p>
    <w:p w14:paraId="6BFE134F">
      <w:pPr>
        <w:spacing w:line="600" w:lineRule="exact"/>
        <w:ind w:firstLine="420" w:firstLineChars="200"/>
        <w:jc w:val="left"/>
        <w:rPr>
          <w:rFonts w:ascii="Times New Roman" w:hAnsi="Times New Roman" w:eastAsia="黑体" w:cs="Times New Roman"/>
          <w:color w:val="000000" w:themeColor="text1"/>
          <w:szCs w:val="32"/>
        </w:rPr>
      </w:pPr>
    </w:p>
    <w:p w14:paraId="736F9810">
      <w:pPr>
        <w:spacing w:line="600" w:lineRule="exact"/>
        <w:ind w:firstLine="420" w:firstLineChars="200"/>
        <w:jc w:val="left"/>
        <w:rPr>
          <w:rFonts w:ascii="Times New Roman" w:hAnsi="Times New Roman" w:eastAsia="黑体" w:cs="Times New Roman"/>
          <w:color w:val="000000" w:themeColor="text1"/>
          <w:szCs w:val="32"/>
        </w:rPr>
      </w:pPr>
    </w:p>
    <w:p w14:paraId="68F1BD4E">
      <w:pPr>
        <w:spacing w:line="600" w:lineRule="exact"/>
        <w:ind w:firstLine="420" w:firstLineChars="200"/>
        <w:jc w:val="center"/>
        <w:rPr>
          <w:rFonts w:ascii="Times New Roman" w:hAnsi="Times New Roman" w:eastAsia="方正小标宋_GBK" w:cs="Times New Roman"/>
          <w:color w:val="000000" w:themeColor="text1"/>
          <w:szCs w:val="32"/>
        </w:rPr>
      </w:pPr>
    </w:p>
    <w:p w14:paraId="04696958">
      <w:pPr>
        <w:spacing w:line="520" w:lineRule="exact"/>
        <w:ind w:firstLine="480" w:firstLineChars="200"/>
        <w:jc w:val="center"/>
        <w:rPr>
          <w:rFonts w:ascii="Times New Roman" w:hAnsi="Times New Roman" w:eastAsia="方正小标宋_GBK" w:cs="Times New Roman"/>
          <w:color w:val="000000" w:themeColor="text1"/>
          <w:sz w:val="36"/>
          <w:szCs w:val="36"/>
        </w:rPr>
      </w:pPr>
      <w:r>
        <w:rPr>
          <w:rFonts w:ascii="Times New Roman" w:hAnsi="Times New Roman" w:eastAsia="方正小标宋_GBK" w:cs="Times New Roman"/>
          <w:color w:val="000000" w:themeColor="text1"/>
          <w:sz w:val="24"/>
          <w:szCs w:val="24"/>
        </w:rPr>
        <w:t>寻甸</w:t>
      </w:r>
      <w:r>
        <w:rPr>
          <w:rFonts w:hint="eastAsia" w:ascii="Times New Roman" w:hAnsi="Times New Roman" w:eastAsia="方正小标宋_GBK" w:cs="Times New Roman"/>
          <w:color w:val="000000" w:themeColor="text1"/>
          <w:sz w:val="24"/>
          <w:szCs w:val="24"/>
        </w:rPr>
        <w:t>回族彝族自治县</w:t>
      </w:r>
      <w:r>
        <w:rPr>
          <w:rFonts w:ascii="Times New Roman" w:hAnsi="Times New Roman" w:eastAsia="方正小标宋_GBK" w:cs="Times New Roman"/>
          <w:color w:val="000000" w:themeColor="text1"/>
          <w:sz w:val="24"/>
          <w:szCs w:val="24"/>
        </w:rPr>
        <w:t>融媒体中心</w:t>
      </w:r>
      <w:r>
        <w:rPr>
          <w:rFonts w:hint="eastAsia" w:ascii="Times New Roman" w:hAnsi="Times New Roman" w:eastAsia="方正小标宋_GBK" w:cs="Times New Roman"/>
          <w:color w:val="000000" w:themeColor="text1"/>
          <w:sz w:val="24"/>
          <w:szCs w:val="24"/>
          <w:lang w:eastAsia="zh-CN"/>
        </w:rPr>
        <w:t>2024</w:t>
      </w:r>
      <w:r>
        <w:rPr>
          <w:rFonts w:ascii="Times New Roman" w:hAnsi="Times New Roman" w:eastAsia="方正小标宋_GBK" w:cs="Times New Roman"/>
          <w:color w:val="000000" w:themeColor="text1"/>
          <w:sz w:val="24"/>
          <w:szCs w:val="24"/>
        </w:rPr>
        <w:t>年度部门整体支出绩效评价报告</w:t>
      </w:r>
    </w:p>
    <w:p w14:paraId="7CFC6186">
      <w:pPr>
        <w:topLinePunct/>
        <w:spacing w:line="520" w:lineRule="exact"/>
        <w:ind w:firstLine="525" w:firstLineChars="250"/>
        <w:rPr>
          <w:rFonts w:ascii="Times New Roman" w:hAnsi="Times New Roman" w:eastAsia="黑体" w:cs="Times New Roman"/>
          <w:color w:val="000000" w:themeColor="text1"/>
          <w:szCs w:val="32"/>
        </w:rPr>
      </w:pPr>
    </w:p>
    <w:p w14:paraId="6FA57308">
      <w:pPr>
        <w:topLinePunct/>
        <w:spacing w:line="520" w:lineRule="exact"/>
        <w:ind w:firstLine="420" w:firstLineChars="200"/>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一、部门概况</w:t>
      </w:r>
    </w:p>
    <w:p w14:paraId="0E77A1BC">
      <w:pPr>
        <w:topLinePunct/>
        <w:spacing w:line="520" w:lineRule="exact"/>
        <w:ind w:firstLine="420" w:firstLineChars="200"/>
        <w:rPr>
          <w:rFonts w:ascii="Times New Roman" w:hAnsi="Times New Roman" w:eastAsia="楷体" w:cs="Times New Roman"/>
          <w:color w:val="000000" w:themeColor="text1"/>
          <w:szCs w:val="32"/>
        </w:rPr>
      </w:pPr>
      <w:r>
        <w:rPr>
          <w:rFonts w:ascii="Times New Roman" w:hAnsi="Times New Roman" w:eastAsia="楷体" w:cs="Times New Roman"/>
          <w:color w:val="000000" w:themeColor="text1"/>
          <w:szCs w:val="32"/>
        </w:rPr>
        <w:t>（一）部门机构设置、编制。</w:t>
      </w:r>
    </w:p>
    <w:p w14:paraId="292C6337">
      <w:pPr>
        <w:topLinePunct/>
        <w:spacing w:line="520" w:lineRule="exact"/>
        <w:ind w:firstLine="420" w:firstLineChars="200"/>
        <w:rPr>
          <w:rFonts w:ascii="Times New Roman" w:hAnsi="Times New Roman" w:eastAsia="仿宋_GB2312" w:cs="Times New Roman"/>
          <w:color w:val="000000" w:themeColor="text1"/>
          <w:szCs w:val="32"/>
        </w:rPr>
      </w:pPr>
      <w:r>
        <w:rPr>
          <w:rFonts w:ascii="Times New Roman" w:hAnsi="Times New Roman" w:eastAsia="仿宋_GB2312" w:cs="Times New Roman"/>
          <w:color w:val="000000" w:themeColor="text1"/>
          <w:szCs w:val="32"/>
        </w:rPr>
        <w:t>寻甸回族彝族自治县</w:t>
      </w:r>
      <w:r>
        <w:rPr>
          <w:rFonts w:hint="eastAsia" w:ascii="Times New Roman" w:hAnsi="Times New Roman" w:eastAsia="仿宋_GB2312" w:cs="Times New Roman"/>
          <w:color w:val="000000" w:themeColor="text1"/>
          <w:szCs w:val="32"/>
        </w:rPr>
        <w:t>融媒体中心为财政全额拨款事业单位，机构性质为公益一类，隶属于中共寻甸县委，归口县委宣传部管理。统一社会信用代码:12530129MBOR84800T。内设办公室、新闻部、</w:t>
      </w:r>
      <w:r>
        <w:rPr>
          <w:rFonts w:hint="eastAsia" w:ascii="Times New Roman" w:hAnsi="Times New Roman" w:eastAsia="仿宋_GB2312" w:cs="Times New Roman"/>
          <w:color w:val="000000" w:themeColor="text1"/>
          <w:szCs w:val="32"/>
          <w:lang w:eastAsia="zh-CN"/>
        </w:rPr>
        <w:t>外联</w:t>
      </w:r>
      <w:r>
        <w:rPr>
          <w:rFonts w:hint="eastAsia" w:ascii="Times New Roman" w:hAnsi="Times New Roman" w:eastAsia="仿宋_GB2312" w:cs="Times New Roman"/>
          <w:color w:val="000000" w:themeColor="text1"/>
          <w:szCs w:val="32"/>
        </w:rPr>
        <w:t>部、全媒体</w:t>
      </w:r>
      <w:r>
        <w:rPr>
          <w:rFonts w:hint="eastAsia" w:ascii="Times New Roman" w:hAnsi="Times New Roman" w:eastAsia="仿宋_GB2312" w:cs="Times New Roman"/>
          <w:color w:val="000000" w:themeColor="text1"/>
          <w:szCs w:val="32"/>
          <w:lang w:eastAsia="zh-CN"/>
        </w:rPr>
        <w:t>策划运营</w:t>
      </w:r>
      <w:r>
        <w:rPr>
          <w:rFonts w:hint="eastAsia" w:ascii="Times New Roman" w:hAnsi="Times New Roman" w:eastAsia="仿宋_GB2312" w:cs="Times New Roman"/>
          <w:color w:val="000000" w:themeColor="text1"/>
          <w:szCs w:val="32"/>
        </w:rPr>
        <w:t>部、安全和技术保障部、信息数据部6个科室。核定事业编制28名，其中:管理人员编制</w:t>
      </w:r>
      <w:r>
        <w:rPr>
          <w:rFonts w:hint="eastAsia" w:ascii="Times New Roman" w:hAnsi="Times New Roman" w:eastAsia="仿宋_GB2312" w:cs="Times New Roman"/>
          <w:color w:val="000000" w:themeColor="text1"/>
          <w:szCs w:val="32"/>
          <w:lang w:val="en-US" w:eastAsia="zh-CN"/>
        </w:rPr>
        <w:t>4</w:t>
      </w:r>
      <w:r>
        <w:rPr>
          <w:rFonts w:hint="eastAsia" w:ascii="Times New Roman" w:hAnsi="Times New Roman" w:eastAsia="仿宋_GB2312" w:cs="Times New Roman"/>
          <w:color w:val="000000" w:themeColor="text1"/>
          <w:szCs w:val="32"/>
        </w:rPr>
        <w:t>名，专业技术人员编制2</w:t>
      </w:r>
      <w:r>
        <w:rPr>
          <w:rFonts w:hint="eastAsia" w:ascii="Times New Roman" w:hAnsi="Times New Roman" w:eastAsia="仿宋_GB2312" w:cs="Times New Roman"/>
          <w:color w:val="000000" w:themeColor="text1"/>
          <w:szCs w:val="32"/>
          <w:lang w:val="en-US" w:eastAsia="zh-CN"/>
        </w:rPr>
        <w:t>4</w:t>
      </w:r>
      <w:r>
        <w:rPr>
          <w:rFonts w:hint="eastAsia" w:ascii="Times New Roman" w:hAnsi="Times New Roman" w:eastAsia="仿宋_GB2312" w:cs="Times New Roman"/>
          <w:color w:val="000000" w:themeColor="text1"/>
          <w:szCs w:val="32"/>
        </w:rPr>
        <w:t>名。设主任1名(正科级)，副主任3名(副科级)，设中层领导职数6名。</w:t>
      </w:r>
    </w:p>
    <w:p w14:paraId="2FA6C688">
      <w:pPr>
        <w:topLinePunct/>
        <w:spacing w:line="520" w:lineRule="exact"/>
        <w:ind w:firstLine="420" w:firstLineChars="200"/>
        <w:rPr>
          <w:rFonts w:ascii="Times New Roman" w:hAnsi="Times New Roman" w:eastAsia="仿宋_GB2312" w:cs="Times New Roman"/>
          <w:color w:val="000000" w:themeColor="text1"/>
          <w:szCs w:val="32"/>
        </w:rPr>
      </w:pPr>
      <w:r>
        <w:rPr>
          <w:rFonts w:hint="eastAsia" w:ascii="Times New Roman" w:hAnsi="Times New Roman" w:eastAsia="仿宋_GB2312" w:cs="Times New Roman"/>
          <w:color w:val="000000" w:themeColor="text1"/>
          <w:szCs w:val="32"/>
          <w:lang w:eastAsia="zh-CN"/>
        </w:rPr>
        <w:t>2024</w:t>
      </w:r>
      <w:r>
        <w:rPr>
          <w:rFonts w:hint="eastAsia" w:ascii="Times New Roman" w:hAnsi="Times New Roman" w:eastAsia="仿宋_GB2312" w:cs="Times New Roman"/>
          <w:color w:val="000000" w:themeColor="text1"/>
          <w:szCs w:val="32"/>
        </w:rPr>
        <w:t>年年末在职人员共3</w:t>
      </w:r>
      <w:r>
        <w:rPr>
          <w:rFonts w:hint="eastAsia" w:ascii="Times New Roman" w:hAnsi="Times New Roman" w:eastAsia="仿宋_GB2312" w:cs="Times New Roman"/>
          <w:color w:val="000000" w:themeColor="text1"/>
          <w:szCs w:val="32"/>
          <w:lang w:val="en-US" w:eastAsia="zh-CN"/>
        </w:rPr>
        <w:t>8</w:t>
      </w:r>
      <w:r>
        <w:rPr>
          <w:rFonts w:hint="eastAsia" w:ascii="Times New Roman" w:hAnsi="Times New Roman" w:eastAsia="仿宋_GB2312" w:cs="Times New Roman"/>
          <w:color w:val="000000" w:themeColor="text1"/>
          <w:szCs w:val="32"/>
        </w:rPr>
        <w:t>人。其中:编内人员</w:t>
      </w:r>
      <w:r>
        <w:rPr>
          <w:rFonts w:hint="eastAsia" w:ascii="Times New Roman" w:hAnsi="Times New Roman" w:eastAsia="仿宋_GB2312" w:cs="Times New Roman"/>
          <w:color w:val="000000" w:themeColor="text1"/>
          <w:szCs w:val="32"/>
          <w:lang w:val="en-US" w:eastAsia="zh-CN"/>
        </w:rPr>
        <w:t>23</w:t>
      </w:r>
      <w:r>
        <w:rPr>
          <w:rFonts w:hint="eastAsia" w:ascii="Times New Roman" w:hAnsi="Times New Roman" w:eastAsia="仿宋_GB2312" w:cs="Times New Roman"/>
          <w:color w:val="000000" w:themeColor="text1"/>
          <w:szCs w:val="32"/>
        </w:rPr>
        <w:t>人，劳务派遣15人。寻甸回族彝族自治县融媒体中心</w:t>
      </w:r>
      <w:r>
        <w:rPr>
          <w:rFonts w:ascii="Times New Roman" w:hAnsi="Times New Roman" w:eastAsia="仿宋_GB2312" w:cs="Times New Roman"/>
          <w:color w:val="000000" w:themeColor="text1"/>
          <w:szCs w:val="32"/>
        </w:rPr>
        <w:t>执行《</w:t>
      </w:r>
      <w:r>
        <w:rPr>
          <w:rFonts w:hint="eastAsia" w:ascii="Times New Roman" w:hAnsi="Times New Roman" w:eastAsia="仿宋_GB2312" w:cs="Times New Roman"/>
          <w:color w:val="000000" w:themeColor="text1"/>
          <w:szCs w:val="32"/>
        </w:rPr>
        <w:t>政府会计</w:t>
      </w:r>
      <w:r>
        <w:rPr>
          <w:rFonts w:ascii="Times New Roman" w:hAnsi="Times New Roman" w:eastAsia="仿宋_GB2312" w:cs="Times New Roman"/>
          <w:color w:val="000000" w:themeColor="text1"/>
          <w:szCs w:val="32"/>
        </w:rPr>
        <w:t>制度》。</w:t>
      </w:r>
    </w:p>
    <w:p w14:paraId="0E368CEA">
      <w:pPr>
        <w:topLinePunct/>
        <w:spacing w:line="520" w:lineRule="exact"/>
        <w:ind w:firstLine="420" w:firstLineChars="200"/>
        <w:rPr>
          <w:rFonts w:ascii="Times New Roman" w:hAnsi="Times New Roman" w:eastAsia="楷体" w:cs="Times New Roman"/>
          <w:color w:val="000000" w:themeColor="text1"/>
          <w:szCs w:val="32"/>
        </w:rPr>
      </w:pPr>
      <w:r>
        <w:rPr>
          <w:rFonts w:ascii="Times New Roman" w:hAnsi="Times New Roman" w:eastAsia="楷体" w:cs="Times New Roman"/>
          <w:color w:val="000000" w:themeColor="text1"/>
          <w:szCs w:val="32"/>
        </w:rPr>
        <w:t>（二）部门职能。</w:t>
      </w:r>
    </w:p>
    <w:p w14:paraId="1EEFA3B2">
      <w:pPr>
        <w:topLinePunct/>
        <w:spacing w:line="520" w:lineRule="exact"/>
        <w:ind w:firstLine="420" w:firstLineChars="200"/>
        <w:rPr>
          <w:rFonts w:ascii="Times New Roman" w:hAnsi="Times New Roman" w:eastAsia="仿宋_GB2312" w:cs="Times New Roman"/>
          <w:color w:val="000000" w:themeColor="text1"/>
          <w:szCs w:val="32"/>
        </w:rPr>
      </w:pPr>
      <w:r>
        <w:rPr>
          <w:rFonts w:hint="eastAsia" w:ascii="Times New Roman" w:hAnsi="Times New Roman" w:eastAsia="仿宋_GB2312" w:cs="Times New Roman"/>
          <w:color w:val="000000" w:themeColor="text1"/>
          <w:szCs w:val="32"/>
        </w:rPr>
        <w:t>1、贯彻落实党的新闻宣传方针政策，宣传党的理论、路线和各项方针政策，了解和究社会舆论动向，把握新闻宣传基调，坚持正面宣传为主的舆论导向。2、充分发挥政府的喉舌作用，围绕县委、县政府的中心工作积极组织开展新闻宣传工作，及时宣传道县内政治、经济、文化、社会、生态和党的建设等各方面工作中的新闻信息。3、负责县级广播电视节目的采集、编辑、制作和播出。4、负责县级新媒体信息的采集、编辑、制作和传播，对所属媒体平台进行融合，进行全媒体发布。5、负责公益广告的策划、制作及播出。6、充分发挥融媒体的服务功能，做好全县新闻资讯、党建、政务、民生等领域的服务工作。7、负责全县新闻宣传通联工作，及时向上级新闻媒体提供全县有报道价值的新闻线索，抓好通讯员队伍、通讯员网络建设，做好新闻工作者的思想政治工作。负责组织参加各级各类媒体协会、新闻学会、记者协会的新闻评奖、评优活动。8、完成县委、县政府和县委宣传部交办的其他工作。</w:t>
      </w:r>
    </w:p>
    <w:p w14:paraId="3ACA3711">
      <w:pPr>
        <w:topLinePunct/>
        <w:spacing w:line="520" w:lineRule="exact"/>
        <w:ind w:firstLine="420" w:firstLineChars="200"/>
        <w:rPr>
          <w:rFonts w:ascii="Times New Roman" w:hAnsi="Times New Roman" w:eastAsia="楷体" w:cs="Times New Roman"/>
          <w:color w:val="000000" w:themeColor="text1"/>
          <w:szCs w:val="32"/>
        </w:rPr>
      </w:pPr>
      <w:r>
        <w:rPr>
          <w:rFonts w:ascii="Times New Roman" w:hAnsi="Times New Roman" w:eastAsia="楷体" w:cs="Times New Roman"/>
          <w:color w:val="000000" w:themeColor="text1"/>
          <w:szCs w:val="32"/>
        </w:rPr>
        <w:t>（三）部门工作完成情况。</w:t>
      </w:r>
    </w:p>
    <w:p w14:paraId="4D5A8D1C">
      <w:pPr>
        <w:topLinePunct/>
        <w:spacing w:line="520" w:lineRule="exact"/>
        <w:ind w:firstLine="420" w:firstLineChars="200"/>
        <w:rPr>
          <w:rFonts w:ascii="Times New Roman" w:hAnsi="Times New Roman" w:eastAsia="仿宋_GB2312" w:cs="Times New Roman"/>
          <w:color w:val="000000" w:themeColor="text1"/>
          <w:szCs w:val="32"/>
        </w:rPr>
      </w:pPr>
      <w:r>
        <w:rPr>
          <w:rFonts w:hint="eastAsia" w:ascii="Times New Roman" w:hAnsi="Times New Roman" w:eastAsia="仿宋_GB2312" w:cs="Times New Roman"/>
          <w:color w:val="000000" w:themeColor="text1"/>
          <w:szCs w:val="32"/>
        </w:rPr>
        <w:t>1.寻甸县融媒体中心隶属于中共寻甸县委，归口县委宣传部管理，根据中共寻甸回族彝族自治县委目督办关于下达《县委宣传部</w:t>
      </w:r>
      <w:r>
        <w:rPr>
          <w:rFonts w:hint="eastAsia" w:ascii="Times New Roman" w:hAnsi="Times New Roman" w:eastAsia="仿宋_GB2312" w:cs="Times New Roman"/>
          <w:color w:val="000000" w:themeColor="text1"/>
          <w:szCs w:val="32"/>
          <w:lang w:eastAsia="zh-CN"/>
        </w:rPr>
        <w:t>2024</w:t>
      </w:r>
      <w:r>
        <w:rPr>
          <w:rFonts w:hint="eastAsia" w:ascii="Times New Roman" w:hAnsi="Times New Roman" w:eastAsia="仿宋_GB2312" w:cs="Times New Roman"/>
          <w:color w:val="000000" w:themeColor="text1"/>
          <w:szCs w:val="32"/>
        </w:rPr>
        <w:t>年工作目标》的通知，属于寻甸县融媒体中心履职范围内的年度工作目标已完成，完成率100％；</w:t>
      </w:r>
    </w:p>
    <w:p w14:paraId="62A5767E">
      <w:pPr>
        <w:topLinePunct/>
        <w:spacing w:line="520" w:lineRule="exact"/>
        <w:ind w:firstLine="420" w:firstLineChars="200"/>
        <w:rPr>
          <w:rFonts w:ascii="Times New Roman" w:hAnsi="Times New Roman" w:eastAsia="仿宋_GB2312" w:cs="Times New Roman"/>
          <w:color w:val="000000" w:themeColor="text1"/>
          <w:szCs w:val="32"/>
        </w:rPr>
      </w:pPr>
      <w:r>
        <w:rPr>
          <w:rFonts w:hint="eastAsia" w:ascii="Times New Roman" w:hAnsi="Times New Roman" w:eastAsia="仿宋_GB2312" w:cs="Times New Roman"/>
          <w:color w:val="000000" w:themeColor="text1"/>
          <w:szCs w:val="32"/>
        </w:rPr>
        <w:t>2.寻甸县融媒体中心履职范围内确定的主要工作目标任务在规定时限内已实际完成了</w:t>
      </w:r>
    </w:p>
    <w:p w14:paraId="4D7598F6">
      <w:pPr>
        <w:topLinePunct/>
        <w:spacing w:line="520" w:lineRule="exact"/>
        <w:rPr>
          <w:rFonts w:ascii="Times New Roman" w:hAnsi="Times New Roman" w:eastAsia="仿宋_GB2312" w:cs="Times New Roman"/>
          <w:color w:val="000000" w:themeColor="text1"/>
          <w:szCs w:val="32"/>
        </w:rPr>
      </w:pPr>
      <w:r>
        <w:rPr>
          <w:rFonts w:hint="eastAsia" w:ascii="Times New Roman" w:hAnsi="Times New Roman" w:eastAsia="仿宋_GB2312" w:cs="Times New Roman"/>
          <w:color w:val="000000" w:themeColor="text1"/>
          <w:szCs w:val="32"/>
        </w:rPr>
        <w:t>相应的工作任务数，完成及时率为100％；</w:t>
      </w:r>
    </w:p>
    <w:p w14:paraId="5A99690B">
      <w:pPr>
        <w:topLinePunct/>
        <w:spacing w:line="520" w:lineRule="exact"/>
        <w:ind w:firstLine="420" w:firstLineChars="200"/>
        <w:rPr>
          <w:rFonts w:ascii="Times New Roman" w:hAnsi="Times New Roman" w:eastAsia="仿宋_GB2312" w:cs="Times New Roman"/>
          <w:color w:val="000000" w:themeColor="text1"/>
          <w:szCs w:val="32"/>
        </w:rPr>
      </w:pPr>
      <w:r>
        <w:rPr>
          <w:rFonts w:hint="eastAsia" w:ascii="Times New Roman" w:hAnsi="Times New Roman" w:eastAsia="仿宋_GB2312" w:cs="Times New Roman"/>
          <w:color w:val="000000" w:themeColor="text1"/>
          <w:szCs w:val="32"/>
        </w:rPr>
        <w:t>3.寻甸县融媒体中心隶属于中共寻甸县委，归口县委宣传部管理，依据中共寻甸回族彝族自治县委、寻甸回族彝族自治县人民政府《关于</w:t>
      </w:r>
      <w:r>
        <w:rPr>
          <w:rFonts w:hint="eastAsia" w:ascii="Times New Roman" w:hAnsi="Times New Roman" w:eastAsia="仿宋_GB2312" w:cs="Times New Roman"/>
          <w:color w:val="000000" w:themeColor="text1"/>
          <w:szCs w:val="32"/>
          <w:lang w:eastAsia="zh-CN"/>
        </w:rPr>
        <w:t>2024</w:t>
      </w:r>
      <w:r>
        <w:rPr>
          <w:rFonts w:hint="eastAsia" w:ascii="Times New Roman" w:hAnsi="Times New Roman" w:eastAsia="仿宋_GB2312" w:cs="Times New Roman"/>
          <w:color w:val="000000" w:themeColor="text1"/>
          <w:szCs w:val="32"/>
        </w:rPr>
        <w:t>年度目标管理绩效考核结果的通报》考核结果，寻甸县委宣传部</w:t>
      </w:r>
      <w:r>
        <w:rPr>
          <w:rFonts w:hint="eastAsia" w:ascii="Times New Roman" w:hAnsi="Times New Roman" w:eastAsia="仿宋_GB2312" w:cs="Times New Roman"/>
          <w:color w:val="000000" w:themeColor="text1"/>
          <w:szCs w:val="32"/>
          <w:lang w:eastAsia="zh-CN"/>
        </w:rPr>
        <w:t>（含融媒体中心）</w:t>
      </w:r>
      <w:r>
        <w:rPr>
          <w:rFonts w:hint="eastAsia" w:ascii="Times New Roman" w:hAnsi="Times New Roman" w:eastAsia="仿宋_GB2312" w:cs="Times New Roman"/>
          <w:color w:val="000000" w:themeColor="text1"/>
          <w:szCs w:val="32"/>
        </w:rPr>
        <w:t>考核得分为</w:t>
      </w:r>
      <w:r>
        <w:rPr>
          <w:rFonts w:hint="eastAsia" w:ascii="Times New Roman" w:hAnsi="Times New Roman" w:eastAsia="仿宋_GB2312" w:cs="Times New Roman"/>
          <w:color w:val="000000" w:themeColor="text1"/>
          <w:szCs w:val="32"/>
          <w:lang w:val="en-US" w:eastAsia="zh-CN"/>
        </w:rPr>
        <w:t>97.81</w:t>
      </w:r>
      <w:r>
        <w:rPr>
          <w:rFonts w:hint="eastAsia" w:ascii="Times New Roman" w:hAnsi="Times New Roman" w:eastAsia="仿宋_GB2312" w:cs="Times New Roman"/>
          <w:color w:val="000000" w:themeColor="text1"/>
          <w:szCs w:val="32"/>
        </w:rPr>
        <w:t>分，按照总分100分计算，职责履行质量达标率为</w:t>
      </w:r>
      <w:r>
        <w:rPr>
          <w:rFonts w:hint="eastAsia" w:ascii="Times New Roman" w:hAnsi="Times New Roman" w:eastAsia="仿宋_GB2312" w:cs="Times New Roman"/>
          <w:color w:val="000000" w:themeColor="text1"/>
          <w:szCs w:val="32"/>
          <w:lang w:val="en-US" w:eastAsia="zh-CN"/>
        </w:rPr>
        <w:t>97.81</w:t>
      </w:r>
      <w:r>
        <w:rPr>
          <w:rFonts w:hint="eastAsia" w:ascii="Times New Roman" w:hAnsi="Times New Roman" w:eastAsia="仿宋_GB2312" w:cs="Times New Roman"/>
          <w:color w:val="000000" w:themeColor="text1"/>
          <w:szCs w:val="32"/>
        </w:rPr>
        <w:t>％。</w:t>
      </w:r>
    </w:p>
    <w:p w14:paraId="4BCFD29C">
      <w:pPr>
        <w:topLinePunct/>
        <w:spacing w:line="520" w:lineRule="exact"/>
        <w:ind w:firstLine="420" w:firstLineChars="200"/>
        <w:rPr>
          <w:rFonts w:hint="eastAsia" w:ascii="Times New Roman" w:hAnsi="Times New Roman" w:eastAsia="仿宋_GB2312" w:cs="Times New Roman"/>
          <w:color w:val="000000" w:themeColor="text1"/>
          <w:szCs w:val="32"/>
          <w:lang w:val="en-US" w:eastAsia="zh-CN"/>
        </w:rPr>
      </w:pPr>
      <w:r>
        <w:rPr>
          <w:rFonts w:hint="eastAsia" w:ascii="Times New Roman" w:hAnsi="Times New Roman" w:eastAsia="仿宋_GB2312" w:cs="Times New Roman"/>
          <w:color w:val="000000" w:themeColor="text1"/>
          <w:szCs w:val="32"/>
        </w:rPr>
        <w:t>4.</w:t>
      </w:r>
      <w:r>
        <w:rPr>
          <w:rFonts w:hint="eastAsia" w:ascii="Times New Roman" w:hAnsi="Times New Roman" w:eastAsia="仿宋_GB2312" w:cs="Times New Roman"/>
          <w:color w:val="000000" w:themeColor="text1"/>
          <w:szCs w:val="32"/>
          <w:lang w:eastAsia="zh-CN"/>
        </w:rPr>
        <w:t>2024</w:t>
      </w:r>
      <w:r>
        <w:rPr>
          <w:rFonts w:hint="eastAsia" w:ascii="Times New Roman" w:hAnsi="Times New Roman" w:eastAsia="仿宋_GB2312" w:cs="Times New Roman"/>
          <w:color w:val="000000" w:themeColor="text1"/>
          <w:szCs w:val="32"/>
        </w:rPr>
        <w:t>年度，寻甸县融媒体中心重点工作目标</w:t>
      </w:r>
      <w:r>
        <w:rPr>
          <w:rFonts w:hint="eastAsia" w:ascii="Times New Roman" w:hAnsi="Times New Roman" w:eastAsia="仿宋_GB2312" w:cs="Times New Roman"/>
          <w:color w:val="000000" w:themeColor="text1"/>
          <w:szCs w:val="32"/>
          <w:lang w:val="en-US" w:eastAsia="zh-CN"/>
        </w:rPr>
        <w:t>7</w:t>
      </w:r>
      <w:r>
        <w:rPr>
          <w:rFonts w:hint="eastAsia" w:ascii="Times New Roman" w:hAnsi="Times New Roman" w:eastAsia="仿宋_GB2312" w:cs="Times New Roman"/>
          <w:color w:val="000000" w:themeColor="text1"/>
          <w:szCs w:val="32"/>
        </w:rPr>
        <w:t>项：</w:t>
      </w:r>
      <w:r>
        <w:rPr>
          <w:rFonts w:hint="eastAsia" w:ascii="Times New Roman" w:hAnsi="Times New Roman" w:eastAsia="仿宋_GB2312" w:cs="Times New Roman"/>
          <w:color w:val="000000" w:themeColor="text1"/>
          <w:szCs w:val="32"/>
          <w:lang w:val="en-US" w:eastAsia="zh-CN"/>
        </w:rPr>
        <w:t>（一）</w:t>
      </w:r>
      <w:r>
        <w:rPr>
          <w:rFonts w:hint="eastAsia" w:ascii="Times New Roman" w:hAnsi="Times New Roman" w:eastAsia="仿宋_GB2312" w:cs="Times New Roman"/>
          <w:color w:val="000000" w:themeColor="text1"/>
          <w:szCs w:val="32"/>
        </w:rPr>
        <w:t>守正创新，凝聚力量</w:t>
      </w:r>
      <w:r>
        <w:rPr>
          <w:rFonts w:hint="eastAsia" w:ascii="Times New Roman" w:hAnsi="Times New Roman" w:eastAsia="仿宋_GB2312" w:cs="Times New Roman"/>
          <w:color w:val="000000" w:themeColor="text1"/>
          <w:szCs w:val="32"/>
          <w:lang w:eastAsia="zh-CN"/>
        </w:rPr>
        <w:t>。</w:t>
      </w:r>
      <w:r>
        <w:rPr>
          <w:rFonts w:hint="eastAsia" w:ascii="Times New Roman" w:hAnsi="Times New Roman" w:eastAsia="仿宋_GB2312" w:cs="Times New Roman"/>
          <w:color w:val="000000" w:themeColor="text1"/>
          <w:szCs w:val="32"/>
          <w:lang w:val="en-US" w:eastAsia="zh-CN"/>
        </w:rPr>
        <w:t>县融媒体中心紧扣全县工作大局，引领新舆论、唱响主旋律、弘扬正能量，为全县经济社会发展凝聚强大精神力量。精心策划，深入采访，推出一系列有深度、有影响力的电视新闻报道，并积极探索新媒体报道方式，通过微信公众号、微博、抖音等平台发布信息，以更加生动、直观的形式展现新闻内容，全面展示了寻甸重点工作推进、经验成效、特色亮点，以进一步全面深化改革引领高质量“五区一城”建设，为实现县委“55111”奋斗目标、谱写中国式现代化寻甸篇章提供强大舆论支持。截至10月25日，共播出新闻237组、采写新闻稿件1196篇，在每月最后一周播出自制栏目《走近寻甸》、《人间难得几回寻》、《山水寻甸》等自制短视频，通过形式多样的节目讲好寻甸故事；在保证数量的同时，更加注重新闻报道的质量，不断提高新闻的时效性、准确性和深度。在平时的工作中，除保障正常的时政新闻报道外，还把关注民生、反映民意作为新闻报道的出发点和落脚点，积极倾听群众呼声，反映群众诉求。在教育、医疗、就业、产业发展等民生领域，精心策划并推出一系列新闻主题报道，如《争当排头兵 奋进新征程 寻甸产业园区一批项目陆续投产》、《又是一年丰收季 金源乡稻谷成熟 开镰收割》、《东西部协作见真效结硕果 深化帮扶协作 寻甸乡村振兴添助力》等，深入挖掘了我县在经济发展、社会民生、文化建设等方面的成就和亮点，为推动全县各项工作的开展发挥了积极的舆论引导作用。</w:t>
      </w:r>
      <w:r>
        <w:rPr>
          <w:rFonts w:hint="eastAsia" w:ascii="Times New Roman" w:hAnsi="Times New Roman" w:eastAsia="仿宋_GB2312" w:cs="Times New Roman"/>
          <w:color w:val="000000" w:themeColor="text1"/>
          <w:szCs w:val="32"/>
        </w:rPr>
        <w:t>（二）强化阵地管理，落实主体责任</w:t>
      </w:r>
      <w:r>
        <w:rPr>
          <w:rFonts w:hint="eastAsia" w:ascii="Times New Roman" w:hAnsi="Times New Roman" w:eastAsia="仿宋_GB2312" w:cs="Times New Roman"/>
          <w:color w:val="000000" w:themeColor="text1"/>
          <w:szCs w:val="32"/>
          <w:lang w:eastAsia="zh-CN"/>
        </w:rPr>
        <w:t>。</w:t>
      </w:r>
      <w:r>
        <w:rPr>
          <w:rFonts w:hint="eastAsia" w:ascii="Times New Roman" w:hAnsi="Times New Roman" w:eastAsia="仿宋_GB2312" w:cs="Times New Roman"/>
          <w:color w:val="000000" w:themeColor="text1"/>
          <w:szCs w:val="32"/>
          <w:lang w:val="en-US" w:eastAsia="zh-CN"/>
        </w:rPr>
        <w:t>1.贯彻落实意识形态责任制。</w:t>
      </w:r>
      <w:r>
        <w:rPr>
          <w:rFonts w:hint="eastAsia" w:ascii="Times New Roman" w:hAnsi="Times New Roman" w:eastAsia="仿宋_GB2312" w:cs="Times New Roman"/>
          <w:color w:val="000000" w:themeColor="text1"/>
          <w:szCs w:val="32"/>
        </w:rPr>
        <w:t>中心高度重视意识形态工作，将意识形态工作纳入重要议事日程、纳入党建工作责任制、纳入干部目标管理，与主责主业同部署、同落实、同检查、同考核。切实落实意识形态工作主体责任，主要负责人履行“第一责任人”职责，分管负责人协助抓好统筹协调指导工作，严格执行“一岗双责”制度。</w:t>
      </w:r>
      <w:r>
        <w:rPr>
          <w:rFonts w:hint="eastAsia" w:ascii="Times New Roman" w:hAnsi="Times New Roman" w:eastAsia="仿宋_GB2312" w:cs="Times New Roman"/>
          <w:color w:val="000000" w:themeColor="text1"/>
          <w:szCs w:val="32"/>
          <w:lang w:val="en-US" w:eastAsia="zh-CN"/>
        </w:rPr>
        <w:t>2.加强分析研判。</w:t>
      </w:r>
      <w:r>
        <w:rPr>
          <w:rFonts w:hint="eastAsia" w:ascii="Times New Roman" w:hAnsi="Times New Roman" w:eastAsia="仿宋_GB2312" w:cs="Times New Roman"/>
          <w:color w:val="000000" w:themeColor="text1"/>
          <w:szCs w:val="32"/>
        </w:rPr>
        <w:t>严格落实《意识形态工作分析研判制度》，每</w:t>
      </w:r>
      <w:r>
        <w:rPr>
          <w:rFonts w:hint="eastAsia" w:ascii="Times New Roman" w:hAnsi="Times New Roman" w:eastAsia="仿宋_GB2312" w:cs="Times New Roman"/>
          <w:color w:val="000000" w:themeColor="text1"/>
          <w:szCs w:val="32"/>
          <w:lang w:eastAsia="zh-CN"/>
        </w:rPr>
        <w:t>季度至少召开</w:t>
      </w:r>
      <w:r>
        <w:rPr>
          <w:rFonts w:hint="eastAsia" w:ascii="Times New Roman" w:hAnsi="Times New Roman" w:eastAsia="仿宋_GB2312" w:cs="Times New Roman"/>
          <w:color w:val="000000" w:themeColor="text1"/>
          <w:szCs w:val="32"/>
          <w:lang w:val="en-US" w:eastAsia="zh-CN"/>
        </w:rPr>
        <w:t>1</w:t>
      </w:r>
      <w:r>
        <w:rPr>
          <w:rFonts w:hint="eastAsia" w:ascii="Times New Roman" w:hAnsi="Times New Roman" w:eastAsia="仿宋_GB2312" w:cs="Times New Roman"/>
          <w:color w:val="000000" w:themeColor="text1"/>
          <w:szCs w:val="32"/>
        </w:rPr>
        <w:t>次专题研究部署。会上学习传达《习近平总书记关于意识形态工作的重要论述》等文件精神，阶段性总结当前意识形态工作开展情况，并开展研讨交流。同时，摸排意识形态领域三重包保方面存在的问题，围绕新闻导向、稿件审核、以职务身份在公开平台注册账号等方面开展自查自纠，全媒体平台均能严格落实播前三审、重播重审等制度等，严把节目审核关口</w:t>
      </w:r>
      <w:r>
        <w:rPr>
          <w:rFonts w:hint="eastAsia" w:ascii="Times New Roman" w:hAnsi="Times New Roman" w:eastAsia="仿宋_GB2312" w:cs="Times New Roman"/>
          <w:color w:val="000000" w:themeColor="text1"/>
          <w:szCs w:val="32"/>
          <w:lang w:eastAsia="zh-CN"/>
        </w:rPr>
        <w:t>。</w:t>
      </w:r>
      <w:r>
        <w:rPr>
          <w:rFonts w:hint="eastAsia" w:ascii="Times New Roman" w:hAnsi="Times New Roman" w:eastAsia="仿宋_GB2312" w:cs="Times New Roman"/>
          <w:color w:val="000000" w:themeColor="text1"/>
          <w:szCs w:val="32"/>
          <w:lang w:val="en-US" w:eastAsia="zh-CN"/>
        </w:rPr>
        <w:t xml:space="preserve">（三）立足本土，扩宽影响。2024年，县融媒体                                                                                                                                                                                                                                                                                                                                                                                                                                                                                                                                                                                                                                                                                                                                                                                                                                                                                                                                                                                                                                                                                                                                                                                                                                                                                                                                                                                                                                                                                                                                                                                                                                                                                                                   </w:t>
      </w:r>
    </w:p>
    <w:p w14:paraId="0AF57C96">
      <w:pPr>
        <w:topLinePunct/>
        <w:spacing w:line="520" w:lineRule="exact"/>
        <w:rPr>
          <w:rFonts w:hint="eastAsia" w:ascii="Times New Roman" w:hAnsi="Times New Roman" w:eastAsia="仿宋_GB2312" w:cs="Times New Roman"/>
          <w:color w:val="000000" w:themeColor="text1"/>
          <w:szCs w:val="32"/>
          <w:lang w:val="en-US" w:eastAsia="zh-CN"/>
        </w:rPr>
      </w:pPr>
      <w:r>
        <w:rPr>
          <w:rFonts w:hint="eastAsia" w:ascii="Times New Roman" w:hAnsi="Times New Roman" w:eastAsia="仿宋_GB2312" w:cs="Times New Roman"/>
          <w:color w:val="000000" w:themeColor="text1"/>
          <w:szCs w:val="32"/>
          <w:lang w:val="en-US" w:eastAsia="zh-CN"/>
        </w:rPr>
        <w:t>中心牢固树立围绕中心、服务大局的理念，充分利用视频号、抖音、快手、微信、微博、寻甸融媒app等新媒体平台，为全县经济社会发展各项工作提供有力支持。通过平台影响力，策划报道发展中的典型经验和社会各界正能量。截至10月23日，共发布短视频2439个，其中，900万+作品《真正的“娃娃鱼”#童年的快乐#大鱼#记录假期好时光》1个，策划推出的《昆明的阿勒泰等你来寻》系列作品全网浏览量超700万，寻甸的阿勒泰火爆出圈，收获大量流量和粉丝好评。100万+作品《寻甸县2024年下半年98名入伍新兵带着家乡亲人的殷切希望，踏上征途、奔赴部队，投身强军兴军伟大事业》1个，50万+作品8个，10万+作品约89个。在微信公众号发布3019条信息，粉丝量年增长约2万人左右，阅读量1万+的6条。（四）强攻外宣，提升形象。2024年，县融媒体中心积极向中央和省、市级媒体推送寻甸选题、寻甸经验、寻甸亮点等外宣新闻稿件，随着信息科技发展速度的加快，传统媒体和新媒体逐步融合。县融媒体中心主动适应传播手段的变化，以优质内容为核心，以抢时效为抓手，提高宣传“速度”，做大做强寻甸融媒品牌。2023年11月至2024年10月共收集信息3600余条，向上级媒体推送1500余条，上级媒体刊发信息2800余条，其中国家级媒体刊发300余条，省级媒体刊发1500余条，市级媒体刊发1000余条。同时，2024年寻甸火把节、花山节、丰收节等活动在视频号直播3场，腾讯会议直播寻甸教育高质量发展大会等重大活动、重大会议6场次。（五）提高技术，狠抓安全播出。2024年，县融媒体中心积极坚持安全发展理念，把防范安全事故作为重中之重，切实加强日常监督，狠抓安全播出管理，通过强化组织保障、制度保障，措施保障、提升业务能力等工作方式，切实做到思想到位、认识到位、部署到位，过去一年圆满完成各节假日及全国两会的重保期安播工作；同时，规范机房管理、值班备勤、安全管理等一系列制度，修改了应急协调、突发事件应急、事故处置等应急预案，完善了安全播出指挥系统，切实把安全播出、网络安全、安全保卫等各个环节工作做严、做细、做深、做实，形成了“全面动员、全员参与、上下联动、齐抓共管”的责任体系，实现融媒体中心安全播出无事故。设备器材维护和各项保障工作圆满完成。（六）强化思想，服务大局。2024年，县融媒体中心在党的建设、内部管理优化、服务效能提升等多项工作取得了较好成绩。利用每周例会和专题学习会深入贯彻党的方针政策，强化政治理论学习，提升了全体干部职工的政治站位和思想觉悟，为融媒体事业的健康发展奠定了坚实的政治基础。完善各项规章制度，提高团队协作效率和工作执行力。注重服务效能的提升，关注员工需求，营造了和谐、高效、富有活力的办公环境。同时，加强了财务监督，确保财务信息的真实性和准确性，为融媒体事业的健康发展提供了坚实的财务保障。</w:t>
      </w:r>
    </w:p>
    <w:p w14:paraId="6AFF948B">
      <w:pPr>
        <w:topLinePunct/>
        <w:spacing w:line="520" w:lineRule="exact"/>
        <w:rPr>
          <w:rFonts w:hint="eastAsia" w:ascii="Times New Roman" w:hAnsi="Times New Roman" w:eastAsia="仿宋_GB2312" w:cs="Times New Roman"/>
          <w:color w:val="000000" w:themeColor="text1"/>
          <w:szCs w:val="32"/>
        </w:rPr>
      </w:pPr>
      <w:r>
        <w:rPr>
          <w:rFonts w:hint="eastAsia" w:ascii="Times New Roman" w:hAnsi="Times New Roman" w:eastAsia="仿宋_GB2312" w:cs="Times New Roman"/>
          <w:color w:val="000000" w:themeColor="text1"/>
          <w:szCs w:val="32"/>
          <w:lang w:val="en-US" w:eastAsia="zh-CN"/>
        </w:rPr>
        <w:t>（七）扩宽渠道，强化“造血”。县融媒体中心是连接政府、企业和公众的桥梁。2024年，县融媒体中心已完成宣传合作10余项，其中包括与寻甸农商行、凤龙湾童话镇、永腾江山阅、拜逗单车、寻甸县智慧停车项目部、寻甸五洲医院等单位的深度合作。这些合作项目不仅增强了县融媒体中心自身的造血能力，还为中心带来了显著的效益和正面、积极的影响。在电视、微信、抖音、快手等各平台实现了广告收入共计20余万元，为融媒体中心的运营提供了有力的资金保障。同时，中心按照县委、县政府的工作部署，对县委县政府重点项目、重点工作做好协调对接和宣传服务保障工作。积极协调微信、微博、抖音、快手、app等平台，及时做好宣传报道各行各业典型人物、感人瞬间、经验教训，圆满完成了交办的宣传片拍摄制作任务。协调拍摄了东西部协作成效片《小心愿》1部，经济发展六条赛道竞赛成效片2部，以及《寻才兴语》专栏3期、政协面对面2期等，同时制作了其他各类宣传片10余个。这些宣传作品不仅展示了寻甸县的发展成果和亮点，还增强了人民群众对家乡的认同感和自豪感，为地方经济社会发展营造了良好的舆论氛围。</w:t>
      </w:r>
    </w:p>
    <w:p w14:paraId="628F22D9">
      <w:pPr>
        <w:topLinePunct/>
        <w:spacing w:line="520" w:lineRule="exact"/>
        <w:ind w:firstLine="420" w:firstLineChars="200"/>
        <w:rPr>
          <w:rFonts w:ascii="Times New Roman" w:hAnsi="Times New Roman" w:eastAsia="仿宋_GB2312" w:cs="Times New Roman"/>
          <w:color w:val="000000" w:themeColor="text1"/>
          <w:szCs w:val="32"/>
        </w:rPr>
      </w:pPr>
      <w:r>
        <w:rPr>
          <w:rFonts w:hint="eastAsia" w:ascii="Times New Roman" w:hAnsi="Times New Roman" w:eastAsia="仿宋_GB2312" w:cs="Times New Roman"/>
          <w:color w:val="000000" w:themeColor="text1"/>
          <w:szCs w:val="32"/>
        </w:rPr>
        <w:t>5.</w:t>
      </w:r>
      <w:r>
        <w:rPr>
          <w:rFonts w:hint="eastAsia" w:ascii="Times New Roman" w:hAnsi="Times New Roman" w:eastAsia="仿宋_GB2312" w:cs="Times New Roman"/>
          <w:color w:val="000000" w:themeColor="text1"/>
          <w:szCs w:val="32"/>
          <w:lang w:eastAsia="zh-CN"/>
        </w:rPr>
        <w:t>2024</w:t>
      </w:r>
      <w:r>
        <w:rPr>
          <w:rFonts w:hint="eastAsia" w:ascii="Times New Roman" w:hAnsi="Times New Roman" w:eastAsia="仿宋_GB2312" w:cs="Times New Roman"/>
          <w:color w:val="000000" w:themeColor="text1"/>
          <w:szCs w:val="32"/>
        </w:rPr>
        <w:t>年度，寻甸县融媒体中心新闻稿件数量上升，大多讲述老百姓身边的故事;寻甸县融媒体中心除新闻栏目外，对外采购了部分栏目、电视剧、电影、动画片等片源，内容丰富多彩：</w:t>
      </w:r>
    </w:p>
    <w:p w14:paraId="6D2B4672">
      <w:pPr>
        <w:topLinePunct/>
        <w:spacing w:line="520" w:lineRule="exact"/>
        <w:ind w:firstLine="420" w:firstLineChars="200"/>
        <w:rPr>
          <w:rFonts w:ascii="Times New Roman" w:hAnsi="Times New Roman" w:eastAsia="仿宋_GB2312" w:cs="Times New Roman"/>
          <w:color w:val="000000" w:themeColor="text1"/>
          <w:szCs w:val="32"/>
        </w:rPr>
      </w:pPr>
      <w:r>
        <w:rPr>
          <w:rFonts w:hint="eastAsia" w:ascii="Times New Roman" w:hAnsi="Times New Roman" w:eastAsia="仿宋_GB2312" w:cs="Times New Roman"/>
          <w:color w:val="000000" w:themeColor="text1"/>
          <w:szCs w:val="32"/>
        </w:rPr>
        <w:t>6.</w:t>
      </w:r>
      <w:r>
        <w:rPr>
          <w:rFonts w:hint="eastAsia" w:ascii="仿宋_GB2312" w:hAnsi="华文仿宋" w:eastAsia="仿宋_GB2312"/>
          <w:sz w:val="32"/>
          <w:szCs w:val="32"/>
        </w:rPr>
        <w:t xml:space="preserve"> </w:t>
      </w:r>
      <w:r>
        <w:rPr>
          <w:rFonts w:hint="eastAsia" w:ascii="仿宋_GB2312" w:hAnsi="华文仿宋" w:eastAsia="仿宋_GB2312"/>
          <w:szCs w:val="21"/>
        </w:rPr>
        <w:t>按照“新闻立台”和“政治家办台”的工作要求，坚定政治意识不动摇，宣传大政方针不走样，不断改进新闻服务保障水平，《寻甸新闻》不论在数量和质量上，都有明显提升</w:t>
      </w:r>
      <w:r>
        <w:rPr>
          <w:rFonts w:hint="eastAsia" w:ascii="仿宋_GB2312" w:hAnsi="华文仿宋" w:eastAsia="仿宋_GB2312"/>
          <w:szCs w:val="21"/>
          <w:lang w:eastAsia="zh-CN"/>
        </w:rPr>
        <w:t>。全年</w:t>
      </w:r>
      <w:r>
        <w:rPr>
          <w:rFonts w:hint="eastAsia" w:ascii="仿宋_GB2312" w:hAnsi="华文仿宋" w:eastAsia="仿宋_GB2312"/>
          <w:szCs w:val="21"/>
          <w:lang w:val="en-US" w:eastAsia="zh-CN"/>
        </w:rPr>
        <w:t>共收集信息3600余条，向上级媒体推送1500余条，上级媒体刊发信息2800余条，其中国家级媒体刊发300余条，省级媒体刊发1500余条，市级媒体刊发1000余条。同时，2024年寻甸火把节、花山节、丰收节等活动在视频号直播3场，腾讯会议直播寻甸教育高质量发展大会等重大活动、重大会议6场次。</w:t>
      </w:r>
      <w:r>
        <w:rPr>
          <w:rFonts w:hint="eastAsia" w:ascii="Times New Roman" w:hAnsi="Times New Roman" w:eastAsia="仿宋_GB2312" w:cs="Times New Roman"/>
          <w:color w:val="000000" w:themeColor="text1"/>
          <w:szCs w:val="32"/>
        </w:rPr>
        <w:t>寻甸县融媒体中心较圆满的完成了工作目标，取得了良好的社会效益。</w:t>
      </w:r>
    </w:p>
    <w:p w14:paraId="3A70B518">
      <w:pPr>
        <w:topLinePunct/>
        <w:spacing w:line="520" w:lineRule="exact"/>
        <w:ind w:firstLine="420" w:firstLineChars="200"/>
        <w:rPr>
          <w:rFonts w:ascii="Times New Roman" w:hAnsi="Times New Roman" w:eastAsia="楷体" w:cs="Times New Roman"/>
          <w:color w:val="000000" w:themeColor="text1"/>
          <w:szCs w:val="32"/>
        </w:rPr>
      </w:pPr>
      <w:r>
        <w:rPr>
          <w:rFonts w:ascii="Times New Roman" w:hAnsi="Times New Roman" w:eastAsia="楷体" w:cs="Times New Roman"/>
          <w:color w:val="000000" w:themeColor="text1"/>
          <w:szCs w:val="32"/>
        </w:rPr>
        <w:t>（四）部门管理制度。</w:t>
      </w:r>
    </w:p>
    <w:p w14:paraId="1F4523AB">
      <w:pPr>
        <w:topLinePunct/>
        <w:spacing w:line="520" w:lineRule="exact"/>
        <w:ind w:firstLine="420" w:firstLineChars="200"/>
        <w:rPr>
          <w:rFonts w:ascii="Times New Roman" w:hAnsi="Times New Roman" w:eastAsia="仿宋_GB2312" w:cs="Times New Roman"/>
          <w:color w:val="000000" w:themeColor="text1"/>
          <w:szCs w:val="32"/>
        </w:rPr>
      </w:pPr>
      <w:r>
        <w:rPr>
          <w:rFonts w:hint="eastAsia" w:ascii="Times New Roman" w:hAnsi="Times New Roman" w:eastAsia="仿宋_GB2312" w:cs="Times New Roman"/>
          <w:color w:val="000000" w:themeColor="text1"/>
          <w:szCs w:val="32"/>
        </w:rPr>
        <w:t>寻甸回族彝族自治县融媒体中心</w:t>
      </w:r>
      <w:r>
        <w:rPr>
          <w:rFonts w:ascii="Times New Roman" w:hAnsi="Times New Roman" w:eastAsia="仿宋_GB2312" w:cs="Times New Roman"/>
          <w:color w:val="000000" w:themeColor="text1"/>
          <w:szCs w:val="32"/>
        </w:rPr>
        <w:t>在《中华人民共和国会计法》、《中华人民共和国预算法》、《</w:t>
      </w:r>
      <w:r>
        <w:rPr>
          <w:rFonts w:hint="eastAsia" w:ascii="Times New Roman" w:hAnsi="Times New Roman" w:eastAsia="仿宋_GB2312" w:cs="Times New Roman"/>
          <w:color w:val="000000" w:themeColor="text1"/>
          <w:szCs w:val="32"/>
        </w:rPr>
        <w:t>事业</w:t>
      </w:r>
      <w:r>
        <w:rPr>
          <w:rFonts w:ascii="Times New Roman" w:hAnsi="Times New Roman" w:eastAsia="仿宋_GB2312" w:cs="Times New Roman"/>
          <w:color w:val="000000" w:themeColor="text1"/>
          <w:szCs w:val="32"/>
        </w:rPr>
        <w:t>单位财务规则》、《</w:t>
      </w:r>
      <w:r>
        <w:rPr>
          <w:rFonts w:hint="eastAsia" w:ascii="Times New Roman" w:hAnsi="Times New Roman" w:eastAsia="仿宋_GB2312" w:cs="Times New Roman"/>
          <w:color w:val="000000" w:themeColor="text1"/>
          <w:szCs w:val="32"/>
        </w:rPr>
        <w:t>政府</w:t>
      </w:r>
      <w:r>
        <w:rPr>
          <w:rFonts w:ascii="Times New Roman" w:hAnsi="Times New Roman" w:eastAsia="仿宋_GB2312" w:cs="Times New Roman"/>
          <w:color w:val="000000" w:themeColor="text1"/>
          <w:szCs w:val="32"/>
        </w:rPr>
        <w:t>会计制度》的基础上，制定了《</w:t>
      </w:r>
      <w:r>
        <w:rPr>
          <w:rFonts w:hint="eastAsia" w:ascii="Times New Roman" w:hAnsi="Times New Roman" w:eastAsia="仿宋_GB2312" w:cs="Times New Roman"/>
          <w:color w:val="000000" w:themeColor="text1"/>
          <w:szCs w:val="32"/>
        </w:rPr>
        <w:t>寻甸回族彝族自治县融媒体中心</w:t>
      </w:r>
      <w:r>
        <w:rPr>
          <w:rFonts w:ascii="Times New Roman" w:hAnsi="Times New Roman" w:eastAsia="仿宋_GB2312" w:cs="Times New Roman"/>
          <w:color w:val="000000" w:themeColor="text1"/>
          <w:szCs w:val="32"/>
        </w:rPr>
        <w:t>财务管理</w:t>
      </w:r>
      <w:r>
        <w:rPr>
          <w:rFonts w:hint="eastAsia" w:ascii="Times New Roman" w:hAnsi="Times New Roman" w:eastAsia="仿宋_GB2312" w:cs="Times New Roman"/>
          <w:color w:val="000000" w:themeColor="text1"/>
          <w:szCs w:val="32"/>
        </w:rPr>
        <w:t>办法</w:t>
      </w:r>
      <w:r>
        <w:rPr>
          <w:rFonts w:ascii="Times New Roman" w:hAnsi="Times New Roman" w:eastAsia="仿宋_GB2312" w:cs="Times New Roman"/>
          <w:color w:val="000000" w:themeColor="text1"/>
          <w:szCs w:val="32"/>
        </w:rPr>
        <w:t>》</w:t>
      </w:r>
      <w:r>
        <w:rPr>
          <w:rFonts w:hint="eastAsia" w:ascii="Times New Roman" w:hAnsi="Times New Roman" w:eastAsia="仿宋_GB2312" w:cs="Times New Roman"/>
          <w:color w:val="000000" w:themeColor="text1"/>
          <w:szCs w:val="32"/>
        </w:rPr>
        <w:t>；寻甸县融媒体中心除遵守国家法律、法规、规章制度、政策文件外，还制定了《寻甸回族彝族自治县融媒体中心工作制度》、《寻回族彝族自治县融媒体中心职务责任》，管理制度合法、合规、</w:t>
      </w:r>
      <w:r>
        <w:rPr>
          <w:rFonts w:ascii="Times New Roman" w:hAnsi="Times New Roman" w:eastAsia="仿宋_GB2312" w:cs="Times New Roman"/>
          <w:color w:val="000000" w:themeColor="text1"/>
          <w:szCs w:val="32"/>
        </w:rPr>
        <w:t>基本健全。</w:t>
      </w:r>
    </w:p>
    <w:p w14:paraId="5DF9E1D3">
      <w:pPr>
        <w:topLinePunct/>
        <w:spacing w:line="520" w:lineRule="exact"/>
        <w:ind w:firstLine="420" w:firstLineChars="200"/>
        <w:rPr>
          <w:rFonts w:ascii="Times New Roman" w:hAnsi="Times New Roman" w:eastAsia="楷体" w:cs="Times New Roman"/>
          <w:color w:val="000000" w:themeColor="text1"/>
          <w:szCs w:val="32"/>
        </w:rPr>
      </w:pPr>
      <w:r>
        <w:rPr>
          <w:rFonts w:ascii="Times New Roman" w:hAnsi="Times New Roman" w:eastAsia="楷体" w:cs="Times New Roman"/>
          <w:color w:val="000000" w:themeColor="text1"/>
          <w:szCs w:val="32"/>
        </w:rPr>
        <w:t>（五）部门资金来源及使用情况。</w:t>
      </w:r>
    </w:p>
    <w:p w14:paraId="7B818E0D">
      <w:pPr>
        <w:pStyle w:val="3"/>
        <w:spacing w:line="5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（1）资金总体情况</w:t>
      </w:r>
    </w:p>
    <w:p w14:paraId="4170D997">
      <w:pPr>
        <w:widowControl/>
        <w:shd w:val="clear" w:color="auto" w:fill="FFFFFF"/>
        <w:spacing w:line="580" w:lineRule="exact"/>
        <w:ind w:firstLine="420" w:firstLineChars="200"/>
        <w:jc w:val="left"/>
        <w:rPr>
          <w:rFonts w:hint="default" w:ascii="Times New Roman" w:hAnsi="Times New Roman" w:eastAsia="仿宋_GB2312" w:cs="Times New Roman"/>
          <w:color w:val="000000" w:themeColor="text1"/>
          <w:kern w:val="0"/>
          <w:szCs w:val="21"/>
          <w:lang w:val="en-US" w:eastAsia="zh-CN"/>
        </w:rPr>
      </w:pPr>
      <w:r>
        <w:rPr>
          <w:rFonts w:hint="eastAsia" w:ascii="Times New Roman" w:hAnsi="Times New Roman" w:eastAsia="仿宋_GB2312" w:cs="Times New Roman"/>
          <w:color w:val="000000" w:themeColor="text1"/>
          <w:kern w:val="0"/>
          <w:szCs w:val="21"/>
          <w:lang w:eastAsia="zh-CN"/>
        </w:rPr>
        <w:t>2024</w:t>
      </w:r>
      <w:r>
        <w:rPr>
          <w:rFonts w:ascii="Times New Roman" w:hAnsi="Times New Roman" w:eastAsia="仿宋_GB2312" w:cs="Times New Roman"/>
          <w:color w:val="000000" w:themeColor="text1"/>
          <w:kern w:val="0"/>
          <w:szCs w:val="21"/>
        </w:rPr>
        <w:t>年度公共预算资金</w:t>
      </w:r>
      <w:r>
        <w:rPr>
          <w:rFonts w:hint="eastAsia" w:ascii="Times New Roman" w:hAnsi="Times New Roman" w:eastAsia="仿宋_GB2312" w:cs="Times New Roman"/>
          <w:color w:val="000000" w:themeColor="text1"/>
          <w:kern w:val="0"/>
          <w:szCs w:val="21"/>
          <w:lang w:val="en-US" w:eastAsia="zh-CN"/>
        </w:rPr>
        <w:t>421.09万元</w:t>
      </w:r>
      <w:r>
        <w:rPr>
          <w:rFonts w:ascii="Times New Roman" w:hAnsi="Times New Roman" w:eastAsia="仿宋_GB2312" w:cs="Times New Roman"/>
          <w:color w:val="000000" w:themeColor="text1"/>
          <w:kern w:val="0"/>
          <w:szCs w:val="21"/>
        </w:rPr>
        <w:t>，</w:t>
      </w:r>
      <w:r>
        <w:rPr>
          <w:rFonts w:hint="eastAsia" w:ascii="Times New Roman" w:hAnsi="Times New Roman" w:eastAsia="仿宋_GB2312" w:cs="Times New Roman"/>
          <w:color w:val="000000" w:themeColor="text1"/>
          <w:kern w:val="0"/>
          <w:szCs w:val="21"/>
        </w:rPr>
        <w:t>基本支出</w:t>
      </w:r>
      <w:r>
        <w:rPr>
          <w:rFonts w:hint="eastAsia" w:ascii="Times New Roman" w:hAnsi="Times New Roman" w:eastAsia="仿宋_GB2312" w:cs="Times New Roman"/>
          <w:color w:val="000000" w:themeColor="text1"/>
          <w:kern w:val="0"/>
          <w:szCs w:val="21"/>
          <w:lang w:val="en-US" w:eastAsia="zh-CN"/>
        </w:rPr>
        <w:t>387.97</w:t>
      </w:r>
      <w:r>
        <w:rPr>
          <w:rFonts w:hint="eastAsia" w:ascii="Times New Roman" w:hAnsi="Times New Roman" w:eastAsia="仿宋_GB2312" w:cs="Times New Roman"/>
          <w:color w:val="000000" w:themeColor="text1"/>
          <w:kern w:val="0"/>
          <w:szCs w:val="21"/>
        </w:rPr>
        <w:t>万元（</w:t>
      </w:r>
      <w:r>
        <w:rPr>
          <w:rFonts w:ascii="Times New Roman" w:hAnsi="Times New Roman" w:eastAsia="仿宋_GB2312" w:cs="Times New Roman"/>
          <w:color w:val="000000" w:themeColor="text1"/>
          <w:kern w:val="0"/>
          <w:szCs w:val="21"/>
        </w:rPr>
        <w:t>其中人员经费</w:t>
      </w:r>
      <w:r>
        <w:rPr>
          <w:rFonts w:hint="eastAsia" w:ascii="Times New Roman" w:hAnsi="Times New Roman" w:eastAsia="仿宋_GB2312" w:cs="Times New Roman"/>
          <w:color w:val="000000" w:themeColor="text1"/>
          <w:kern w:val="0"/>
          <w:szCs w:val="21"/>
          <w:lang w:val="en-US" w:eastAsia="zh-CN"/>
        </w:rPr>
        <w:t>377.64</w:t>
      </w:r>
      <w:r>
        <w:rPr>
          <w:rFonts w:ascii="Times New Roman" w:hAnsi="Times New Roman" w:eastAsia="仿宋_GB2312" w:cs="Times New Roman"/>
          <w:color w:val="000000" w:themeColor="text1"/>
          <w:kern w:val="0"/>
          <w:szCs w:val="21"/>
        </w:rPr>
        <w:t>万元，公用经费</w:t>
      </w:r>
      <w:r>
        <w:rPr>
          <w:rFonts w:hint="eastAsia" w:ascii="Times New Roman" w:hAnsi="Times New Roman" w:eastAsia="仿宋_GB2312" w:cs="Times New Roman"/>
          <w:color w:val="000000" w:themeColor="text1"/>
          <w:kern w:val="0"/>
          <w:szCs w:val="21"/>
          <w:lang w:val="en-US" w:eastAsia="zh-CN"/>
        </w:rPr>
        <w:t>10.33</w:t>
      </w:r>
      <w:r>
        <w:rPr>
          <w:rFonts w:ascii="Times New Roman" w:hAnsi="Times New Roman" w:eastAsia="仿宋_GB2312" w:cs="Times New Roman"/>
          <w:color w:val="000000" w:themeColor="text1"/>
          <w:kern w:val="0"/>
          <w:szCs w:val="21"/>
        </w:rPr>
        <w:t>万元</w:t>
      </w:r>
      <w:r>
        <w:rPr>
          <w:rFonts w:hint="eastAsia" w:ascii="Times New Roman" w:hAnsi="Times New Roman" w:eastAsia="仿宋_GB2312" w:cs="Times New Roman"/>
          <w:color w:val="000000" w:themeColor="text1"/>
          <w:kern w:val="0"/>
          <w:szCs w:val="21"/>
        </w:rPr>
        <w:t>）</w:t>
      </w:r>
      <w:r>
        <w:rPr>
          <w:rFonts w:hint="eastAsia" w:ascii="Times New Roman" w:hAnsi="Times New Roman" w:eastAsia="仿宋_GB2312" w:cs="Times New Roman"/>
          <w:color w:val="000000" w:themeColor="text1"/>
          <w:kern w:val="0"/>
          <w:szCs w:val="21"/>
          <w:lang w:eastAsia="zh-CN"/>
        </w:rPr>
        <w:t>，项目支出</w:t>
      </w:r>
      <w:r>
        <w:rPr>
          <w:rFonts w:hint="eastAsia" w:ascii="Times New Roman" w:hAnsi="Times New Roman" w:eastAsia="仿宋_GB2312" w:cs="Times New Roman"/>
          <w:color w:val="000000" w:themeColor="text1"/>
          <w:kern w:val="0"/>
          <w:szCs w:val="21"/>
          <w:lang w:val="en-US" w:eastAsia="zh-CN"/>
        </w:rPr>
        <w:t>33.12万元</w:t>
      </w:r>
      <w:r>
        <w:rPr>
          <w:rFonts w:ascii="Times New Roman" w:hAnsi="Times New Roman" w:eastAsia="仿宋_GB2312" w:cs="Times New Roman"/>
          <w:color w:val="000000" w:themeColor="text1"/>
          <w:kern w:val="0"/>
          <w:szCs w:val="21"/>
        </w:rPr>
        <w:t>。</w:t>
      </w:r>
      <w:r>
        <w:rPr>
          <w:rFonts w:hint="eastAsia" w:ascii="Times New Roman" w:hAnsi="Times New Roman" w:eastAsia="仿宋_GB2312" w:cs="Times New Roman"/>
          <w:color w:val="000000" w:themeColor="text1"/>
          <w:kern w:val="0"/>
          <w:szCs w:val="21"/>
          <w:lang w:eastAsia="zh-CN"/>
        </w:rPr>
        <w:t>基本支出</w:t>
      </w:r>
      <w:r>
        <w:rPr>
          <w:rFonts w:hint="eastAsia" w:ascii="Times New Roman" w:hAnsi="Times New Roman" w:eastAsia="仿宋_GB2312" w:cs="Times New Roman"/>
          <w:color w:val="000000" w:themeColor="text1"/>
          <w:kern w:val="0"/>
          <w:szCs w:val="21"/>
        </w:rPr>
        <w:t>中:工资福利支出</w:t>
      </w:r>
      <w:r>
        <w:rPr>
          <w:rFonts w:hint="eastAsia" w:ascii="Times New Roman" w:hAnsi="Times New Roman" w:eastAsia="仿宋_GB2312" w:cs="Times New Roman"/>
          <w:color w:val="000000" w:themeColor="text1"/>
          <w:kern w:val="0"/>
          <w:szCs w:val="21"/>
          <w:lang w:val="en-US" w:eastAsia="zh-CN"/>
        </w:rPr>
        <w:t>298.14</w:t>
      </w:r>
      <w:r>
        <w:rPr>
          <w:rFonts w:hint="eastAsia" w:ascii="Times New Roman" w:hAnsi="Times New Roman" w:eastAsia="仿宋_GB2312" w:cs="Times New Roman"/>
          <w:color w:val="000000" w:themeColor="text1"/>
          <w:kern w:val="0"/>
          <w:szCs w:val="21"/>
        </w:rPr>
        <w:t>万元，商品和服务支出</w:t>
      </w:r>
      <w:r>
        <w:rPr>
          <w:rFonts w:hint="eastAsia" w:ascii="Times New Roman" w:hAnsi="Times New Roman" w:eastAsia="仿宋_GB2312" w:cs="Times New Roman"/>
          <w:color w:val="000000" w:themeColor="text1"/>
          <w:kern w:val="0"/>
          <w:szCs w:val="21"/>
          <w:lang w:val="en-US" w:eastAsia="zh-CN"/>
        </w:rPr>
        <w:t>10.63万</w:t>
      </w:r>
      <w:r>
        <w:rPr>
          <w:rFonts w:hint="eastAsia" w:ascii="Times New Roman" w:hAnsi="Times New Roman" w:eastAsia="仿宋_GB2312" w:cs="Times New Roman"/>
          <w:color w:val="000000" w:themeColor="text1"/>
          <w:kern w:val="0"/>
          <w:szCs w:val="21"/>
        </w:rPr>
        <w:t>元</w:t>
      </w:r>
      <w:r>
        <w:rPr>
          <w:rFonts w:hint="eastAsia" w:ascii="Times New Roman" w:hAnsi="Times New Roman" w:eastAsia="仿宋_GB2312" w:cs="Times New Roman"/>
          <w:color w:val="000000" w:themeColor="text1"/>
          <w:kern w:val="0"/>
          <w:szCs w:val="21"/>
          <w:lang w:eastAsia="zh-CN"/>
        </w:rPr>
        <w:t>，社会福利和救助</w:t>
      </w:r>
      <w:r>
        <w:rPr>
          <w:rFonts w:hint="eastAsia" w:ascii="Times New Roman" w:hAnsi="Times New Roman" w:eastAsia="仿宋_GB2312" w:cs="Times New Roman"/>
          <w:color w:val="000000" w:themeColor="text1"/>
          <w:kern w:val="0"/>
          <w:szCs w:val="21"/>
          <w:lang w:val="en-US" w:eastAsia="zh-CN"/>
        </w:rPr>
        <w:t>79.2万元</w:t>
      </w:r>
      <w:r>
        <w:rPr>
          <w:rFonts w:hint="eastAsia" w:ascii="Times New Roman" w:hAnsi="Times New Roman" w:eastAsia="仿宋_GB2312" w:cs="Times New Roman"/>
          <w:color w:val="000000" w:themeColor="text1"/>
          <w:kern w:val="0"/>
          <w:szCs w:val="21"/>
        </w:rPr>
        <w:t>。</w:t>
      </w:r>
      <w:r>
        <w:rPr>
          <w:rFonts w:hint="eastAsia" w:ascii="Times New Roman" w:hAnsi="Times New Roman" w:eastAsia="仿宋_GB2312" w:cs="Times New Roman"/>
          <w:color w:val="000000" w:themeColor="text1"/>
          <w:kern w:val="0"/>
          <w:szCs w:val="21"/>
          <w:lang w:eastAsia="zh-CN"/>
        </w:rPr>
        <w:t>2024</w:t>
      </w:r>
      <w:r>
        <w:rPr>
          <w:rFonts w:ascii="Times New Roman" w:hAnsi="Times New Roman" w:eastAsia="仿宋_GB2312" w:cs="Times New Roman"/>
          <w:color w:val="000000" w:themeColor="text1"/>
          <w:kern w:val="0"/>
          <w:szCs w:val="21"/>
        </w:rPr>
        <w:t>年度预算资金</w:t>
      </w:r>
      <w:r>
        <w:rPr>
          <w:rFonts w:hint="eastAsia" w:ascii="Times New Roman" w:hAnsi="Times New Roman" w:eastAsia="仿宋_GB2312" w:cs="Times New Roman"/>
          <w:color w:val="000000" w:themeColor="text1"/>
          <w:kern w:val="0"/>
          <w:szCs w:val="21"/>
          <w:lang w:eastAsia="zh-CN"/>
        </w:rPr>
        <w:t>，其中：文化旅游体育与传媒支出</w:t>
      </w:r>
      <w:r>
        <w:rPr>
          <w:rFonts w:hint="eastAsia" w:ascii="Times New Roman" w:hAnsi="Times New Roman" w:eastAsia="仿宋_GB2312" w:cs="Times New Roman"/>
          <w:color w:val="000000" w:themeColor="text1"/>
          <w:kern w:val="0"/>
          <w:szCs w:val="21"/>
          <w:lang w:val="en-US" w:eastAsia="zh-CN"/>
        </w:rPr>
        <w:t>327.23万元，</w:t>
      </w:r>
      <w:r>
        <w:rPr>
          <w:rFonts w:hint="eastAsia" w:ascii="Times New Roman" w:hAnsi="Times New Roman" w:eastAsia="仿宋_GB2312" w:cs="Times New Roman"/>
          <w:color w:val="000000" w:themeColor="text1"/>
          <w:kern w:val="0"/>
          <w:szCs w:val="21"/>
          <w:lang w:eastAsia="zh-CN"/>
        </w:rPr>
        <w:t>社会保障和就业</w:t>
      </w:r>
      <w:r>
        <w:rPr>
          <w:rFonts w:hint="eastAsia" w:ascii="Times New Roman" w:hAnsi="Times New Roman" w:eastAsia="仿宋_GB2312" w:cs="Times New Roman"/>
          <w:color w:val="000000" w:themeColor="text1"/>
          <w:kern w:val="0"/>
          <w:szCs w:val="21"/>
        </w:rPr>
        <w:t>支出</w:t>
      </w:r>
      <w:r>
        <w:rPr>
          <w:rFonts w:hint="eastAsia" w:ascii="Times New Roman" w:hAnsi="Times New Roman" w:eastAsia="仿宋_GB2312" w:cs="Times New Roman"/>
          <w:color w:val="000000" w:themeColor="text1"/>
          <w:kern w:val="0"/>
          <w:szCs w:val="21"/>
          <w:lang w:val="en-US" w:eastAsia="zh-CN"/>
        </w:rPr>
        <w:t>40.62</w:t>
      </w:r>
      <w:r>
        <w:rPr>
          <w:rFonts w:hint="eastAsia" w:ascii="Times New Roman" w:hAnsi="Times New Roman" w:eastAsia="仿宋_GB2312" w:cs="Times New Roman"/>
          <w:color w:val="000000" w:themeColor="text1"/>
          <w:kern w:val="0"/>
          <w:szCs w:val="21"/>
        </w:rPr>
        <w:t>万元，住房</w:t>
      </w:r>
      <w:r>
        <w:rPr>
          <w:rFonts w:hint="eastAsia" w:ascii="Times New Roman" w:hAnsi="Times New Roman" w:eastAsia="仿宋_GB2312" w:cs="Times New Roman"/>
          <w:color w:val="000000" w:themeColor="text1"/>
          <w:kern w:val="0"/>
          <w:szCs w:val="21"/>
          <w:lang w:eastAsia="zh-CN"/>
        </w:rPr>
        <w:t>保障</w:t>
      </w:r>
      <w:r>
        <w:rPr>
          <w:rFonts w:hint="eastAsia" w:ascii="Times New Roman" w:hAnsi="Times New Roman" w:eastAsia="仿宋_GB2312" w:cs="Times New Roman"/>
          <w:color w:val="000000" w:themeColor="text1"/>
          <w:kern w:val="0"/>
          <w:szCs w:val="21"/>
        </w:rPr>
        <w:t>支出</w:t>
      </w:r>
      <w:r>
        <w:rPr>
          <w:rFonts w:hint="eastAsia" w:ascii="Times New Roman" w:hAnsi="Times New Roman" w:eastAsia="仿宋_GB2312" w:cs="Times New Roman"/>
          <w:color w:val="000000" w:themeColor="text1"/>
          <w:kern w:val="0"/>
          <w:szCs w:val="21"/>
          <w:lang w:val="en-US" w:eastAsia="zh-CN"/>
        </w:rPr>
        <w:t>24.35</w:t>
      </w:r>
      <w:r>
        <w:rPr>
          <w:rFonts w:hint="eastAsia" w:ascii="Times New Roman" w:hAnsi="Times New Roman" w:eastAsia="仿宋_GB2312" w:cs="Times New Roman"/>
          <w:color w:val="000000" w:themeColor="text1"/>
          <w:kern w:val="0"/>
          <w:szCs w:val="21"/>
        </w:rPr>
        <w:t>万元</w:t>
      </w:r>
      <w:r>
        <w:rPr>
          <w:rFonts w:hint="eastAsia" w:ascii="Times New Roman" w:hAnsi="Times New Roman" w:eastAsia="仿宋_GB2312" w:cs="Times New Roman"/>
          <w:color w:val="000000" w:themeColor="text1"/>
          <w:kern w:val="0"/>
          <w:szCs w:val="21"/>
          <w:lang w:eastAsia="zh-CN"/>
        </w:rPr>
        <w:t>，卫生健康支出</w:t>
      </w:r>
      <w:r>
        <w:rPr>
          <w:rFonts w:hint="eastAsia" w:ascii="Times New Roman" w:hAnsi="Times New Roman" w:eastAsia="仿宋_GB2312" w:cs="Times New Roman"/>
          <w:color w:val="000000" w:themeColor="text1"/>
          <w:kern w:val="0"/>
          <w:szCs w:val="21"/>
          <w:lang w:val="en-US" w:eastAsia="zh-CN"/>
        </w:rPr>
        <w:t>28.89</w:t>
      </w:r>
      <w:r>
        <w:rPr>
          <w:rFonts w:hint="eastAsia" w:ascii="Times New Roman" w:hAnsi="Times New Roman" w:eastAsia="仿宋_GB2312" w:cs="Times New Roman"/>
          <w:color w:val="000000" w:themeColor="text1"/>
          <w:kern w:val="0"/>
          <w:szCs w:val="21"/>
        </w:rPr>
        <w:t>。</w:t>
      </w:r>
    </w:p>
    <w:p w14:paraId="6F57CD13">
      <w:pPr>
        <w:widowControl/>
        <w:shd w:val="clear" w:color="auto" w:fill="FFFFFF"/>
        <w:spacing w:line="580" w:lineRule="exact"/>
        <w:ind w:firstLine="420" w:firstLineChars="200"/>
        <w:jc w:val="left"/>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lang w:eastAsia="zh-CN"/>
        </w:rPr>
        <w:t>2024</w:t>
      </w:r>
      <w:r>
        <w:rPr>
          <w:rFonts w:ascii="Times New Roman" w:hAnsi="Times New Roman" w:eastAsia="仿宋_GB2312" w:cs="Times New Roman"/>
          <w:color w:val="000000" w:themeColor="text1"/>
          <w:kern w:val="0"/>
          <w:szCs w:val="21"/>
        </w:rPr>
        <w:t>年实际总收入</w:t>
      </w:r>
      <w:r>
        <w:rPr>
          <w:rFonts w:hint="eastAsia" w:ascii="Times New Roman" w:hAnsi="Times New Roman" w:eastAsia="仿宋_GB2312" w:cs="Times New Roman"/>
          <w:color w:val="000000" w:themeColor="text1"/>
          <w:kern w:val="0"/>
          <w:szCs w:val="21"/>
          <w:lang w:val="en-US" w:eastAsia="zh-CN"/>
        </w:rPr>
        <w:t>532.44</w:t>
      </w:r>
      <w:r>
        <w:rPr>
          <w:rFonts w:ascii="Times New Roman" w:hAnsi="Times New Roman" w:eastAsia="仿宋_GB2312" w:cs="Times New Roman"/>
          <w:color w:val="000000" w:themeColor="text1"/>
          <w:kern w:val="0"/>
          <w:szCs w:val="21"/>
        </w:rPr>
        <w:t>万元（其中财政拨款收入</w:t>
      </w:r>
      <w:r>
        <w:rPr>
          <w:rFonts w:hint="eastAsia" w:ascii="Times New Roman" w:hAnsi="Times New Roman" w:eastAsia="仿宋_GB2312" w:cs="Times New Roman"/>
          <w:color w:val="000000" w:themeColor="text1"/>
          <w:kern w:val="0"/>
          <w:szCs w:val="21"/>
          <w:lang w:val="en-US" w:eastAsia="zh-CN"/>
        </w:rPr>
        <w:t>522.08</w:t>
      </w:r>
      <w:r>
        <w:rPr>
          <w:rFonts w:ascii="Times New Roman" w:hAnsi="Times New Roman" w:eastAsia="仿宋_GB2312" w:cs="Times New Roman"/>
          <w:color w:val="000000" w:themeColor="text1"/>
          <w:kern w:val="0"/>
          <w:szCs w:val="21"/>
        </w:rPr>
        <w:t>万元，其他收入</w:t>
      </w:r>
      <w:r>
        <w:rPr>
          <w:rFonts w:hint="eastAsia" w:ascii="Times New Roman" w:hAnsi="Times New Roman" w:eastAsia="仿宋_GB2312" w:cs="Times New Roman"/>
          <w:color w:val="000000" w:themeColor="text1"/>
          <w:kern w:val="0"/>
          <w:szCs w:val="21"/>
          <w:lang w:val="en-US" w:eastAsia="zh-CN"/>
        </w:rPr>
        <w:t>10.36</w:t>
      </w:r>
      <w:r>
        <w:rPr>
          <w:rFonts w:ascii="Times New Roman" w:hAnsi="Times New Roman" w:eastAsia="仿宋_GB2312" w:cs="Times New Roman"/>
          <w:color w:val="000000" w:themeColor="text1"/>
          <w:kern w:val="0"/>
          <w:szCs w:val="21"/>
        </w:rPr>
        <w:t>万元），总支出</w:t>
      </w:r>
      <w:r>
        <w:rPr>
          <w:rFonts w:hint="eastAsia" w:ascii="Times New Roman" w:hAnsi="Times New Roman" w:eastAsia="仿宋_GB2312" w:cs="Times New Roman"/>
          <w:color w:val="000000" w:themeColor="text1"/>
          <w:kern w:val="0"/>
          <w:szCs w:val="21"/>
          <w:lang w:val="en-US" w:eastAsia="zh-CN"/>
        </w:rPr>
        <w:t>535.08</w:t>
      </w:r>
      <w:r>
        <w:rPr>
          <w:rFonts w:ascii="Times New Roman" w:hAnsi="Times New Roman" w:eastAsia="仿宋_GB2312" w:cs="Times New Roman"/>
          <w:color w:val="000000" w:themeColor="text1"/>
          <w:kern w:val="0"/>
          <w:szCs w:val="21"/>
        </w:rPr>
        <w:t>万元。</w:t>
      </w:r>
    </w:p>
    <w:p w14:paraId="5B7ECC4E">
      <w:pPr>
        <w:pStyle w:val="3"/>
        <w:spacing w:line="580" w:lineRule="exact"/>
        <w:ind w:firstLine="420" w:firstLineChars="200"/>
        <w:rPr>
          <w:rFonts w:ascii="Times New Roman" w:hAnsi="Times New Roman" w:eastAsia="仿宋_GB2312" w:cs="Times New Roman"/>
        </w:rPr>
      </w:pPr>
      <w:r>
        <w:rPr>
          <w:rFonts w:ascii="Times New Roman" w:hAnsi="Times New Roman" w:eastAsia="仿宋_GB2312" w:cs="Times New Roman"/>
        </w:rPr>
        <w:t>（2）资金收支具体情况</w:t>
      </w:r>
    </w:p>
    <w:p w14:paraId="6D1965EF">
      <w:pPr>
        <w:pStyle w:val="3"/>
        <w:spacing w:line="5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1.收入情况：</w:t>
      </w:r>
    </w:p>
    <w:p w14:paraId="2BC88076">
      <w:pPr>
        <w:spacing w:line="580" w:lineRule="exact"/>
        <w:ind w:firstLine="420" w:firstLineChars="200"/>
        <w:rPr>
          <w:rFonts w:ascii="Times New Roman" w:hAnsi="Times New Roman" w:eastAsia="仿宋_GB2312" w:cs="Times New Roman"/>
          <w:color w:val="000000" w:themeColor="text1"/>
          <w:szCs w:val="21"/>
        </w:rPr>
      </w:pPr>
      <w:r>
        <w:rPr>
          <w:rFonts w:hint="eastAsia" w:ascii="Times New Roman" w:hAnsi="Times New Roman" w:eastAsia="仿宋_GB2312" w:cs="Times New Roman"/>
          <w:color w:val="000000" w:themeColor="text1"/>
          <w:szCs w:val="21"/>
          <w:lang w:eastAsia="zh-CN"/>
        </w:rPr>
        <w:t>2024</w:t>
      </w:r>
      <w:r>
        <w:rPr>
          <w:rFonts w:ascii="Times New Roman" w:hAnsi="Times New Roman" w:eastAsia="仿宋_GB2312" w:cs="Times New Roman"/>
          <w:color w:val="000000" w:themeColor="text1"/>
          <w:szCs w:val="21"/>
        </w:rPr>
        <w:t>年共收入</w:t>
      </w:r>
      <w:r>
        <w:rPr>
          <w:rFonts w:hint="eastAsia" w:ascii="Times New Roman" w:hAnsi="Times New Roman" w:eastAsia="仿宋_GB2312" w:cs="Times New Roman"/>
          <w:color w:val="000000" w:themeColor="text1"/>
          <w:kern w:val="0"/>
          <w:szCs w:val="21"/>
          <w:lang w:val="en-US" w:eastAsia="zh-CN"/>
        </w:rPr>
        <w:t>532.44</w:t>
      </w:r>
      <w:r>
        <w:rPr>
          <w:rFonts w:ascii="Times New Roman" w:hAnsi="Times New Roman" w:eastAsia="仿宋_GB2312" w:cs="Times New Roman"/>
          <w:color w:val="000000" w:themeColor="text1"/>
          <w:szCs w:val="21"/>
        </w:rPr>
        <w:t>万元。其中：县财政拨款</w:t>
      </w:r>
      <w:r>
        <w:rPr>
          <w:rFonts w:hint="eastAsia" w:ascii="Times New Roman" w:hAnsi="Times New Roman" w:eastAsia="仿宋_GB2312" w:cs="Times New Roman"/>
          <w:color w:val="000000" w:themeColor="text1"/>
          <w:kern w:val="0"/>
          <w:szCs w:val="21"/>
          <w:lang w:val="en-US" w:eastAsia="zh-CN"/>
        </w:rPr>
        <w:t>522.08</w:t>
      </w:r>
      <w:r>
        <w:rPr>
          <w:rFonts w:ascii="Times New Roman" w:hAnsi="Times New Roman" w:eastAsia="仿宋_GB2312" w:cs="Times New Roman"/>
          <w:color w:val="000000" w:themeColor="text1"/>
          <w:szCs w:val="21"/>
        </w:rPr>
        <w:t>万元，其他收入</w:t>
      </w:r>
      <w:r>
        <w:rPr>
          <w:rFonts w:hint="eastAsia" w:ascii="Times New Roman" w:hAnsi="Times New Roman" w:eastAsia="仿宋_GB2312" w:cs="Times New Roman"/>
          <w:color w:val="000000" w:themeColor="text1"/>
          <w:kern w:val="0"/>
          <w:szCs w:val="21"/>
          <w:lang w:val="en-US" w:eastAsia="zh-CN"/>
        </w:rPr>
        <w:t>10.36</w:t>
      </w:r>
      <w:r>
        <w:rPr>
          <w:rFonts w:ascii="Times New Roman" w:hAnsi="Times New Roman" w:eastAsia="仿宋_GB2312" w:cs="Times New Roman"/>
          <w:color w:val="000000" w:themeColor="text1"/>
          <w:szCs w:val="21"/>
        </w:rPr>
        <w:t>万元。</w:t>
      </w:r>
    </w:p>
    <w:p w14:paraId="402E7CD9">
      <w:pPr>
        <w:spacing w:line="580" w:lineRule="exact"/>
        <w:ind w:firstLine="420" w:firstLineChars="200"/>
        <w:rPr>
          <w:rFonts w:ascii="Times New Roman" w:hAnsi="Times New Roman" w:eastAsia="仿宋_GB2312" w:cs="Times New Roman"/>
          <w:color w:val="000000" w:themeColor="text1"/>
          <w:szCs w:val="21"/>
        </w:rPr>
      </w:pPr>
      <w:r>
        <w:rPr>
          <w:rFonts w:ascii="Times New Roman" w:hAnsi="Times New Roman" w:eastAsia="仿宋_GB2312" w:cs="Times New Roman"/>
          <w:color w:val="000000" w:themeColor="text1"/>
          <w:szCs w:val="21"/>
        </w:rPr>
        <w:t>2.支出情况：</w:t>
      </w:r>
    </w:p>
    <w:p w14:paraId="575CC065">
      <w:pPr>
        <w:spacing w:line="580" w:lineRule="exact"/>
        <w:ind w:firstLine="420" w:firstLineChars="200"/>
        <w:rPr>
          <w:rFonts w:ascii="Times New Roman" w:hAnsi="Times New Roman" w:eastAsia="仿宋_GB2312" w:cs="Times New Roman"/>
          <w:color w:val="000000" w:themeColor="text1"/>
          <w:szCs w:val="21"/>
        </w:rPr>
      </w:pPr>
      <w:r>
        <w:rPr>
          <w:rFonts w:hint="eastAsia" w:ascii="Times New Roman" w:hAnsi="Times New Roman" w:eastAsia="仿宋_GB2312" w:cs="Times New Roman"/>
          <w:color w:val="000000" w:themeColor="text1"/>
          <w:szCs w:val="21"/>
          <w:lang w:eastAsia="zh-CN"/>
        </w:rPr>
        <w:t>2024</w:t>
      </w:r>
      <w:r>
        <w:rPr>
          <w:rFonts w:ascii="Times New Roman" w:hAnsi="Times New Roman" w:eastAsia="仿宋_GB2312" w:cs="Times New Roman"/>
          <w:color w:val="000000" w:themeColor="text1"/>
          <w:szCs w:val="21"/>
        </w:rPr>
        <w:t>年共支出</w:t>
      </w:r>
      <w:r>
        <w:rPr>
          <w:rFonts w:hint="eastAsia" w:ascii="Times New Roman" w:hAnsi="Times New Roman" w:eastAsia="仿宋_GB2312" w:cs="Times New Roman"/>
          <w:color w:val="000000" w:themeColor="text1"/>
          <w:kern w:val="0"/>
          <w:szCs w:val="21"/>
          <w:lang w:val="en-US" w:eastAsia="zh-CN"/>
        </w:rPr>
        <w:t>535.08</w:t>
      </w:r>
      <w:r>
        <w:rPr>
          <w:rFonts w:ascii="Times New Roman" w:hAnsi="Times New Roman" w:eastAsia="仿宋_GB2312" w:cs="Times New Roman"/>
          <w:color w:val="000000" w:themeColor="text1"/>
          <w:szCs w:val="21"/>
        </w:rPr>
        <w:t>万元。其中：</w:t>
      </w:r>
      <w:r>
        <w:rPr>
          <w:rFonts w:hint="eastAsia" w:ascii="Times New Roman" w:hAnsi="Times New Roman" w:eastAsia="仿宋_GB2312" w:cs="Times New Roman"/>
          <w:color w:val="000000" w:themeColor="text1"/>
          <w:szCs w:val="21"/>
        </w:rPr>
        <w:t>工资福利</w:t>
      </w:r>
      <w:r>
        <w:rPr>
          <w:rFonts w:ascii="Times New Roman" w:hAnsi="Times New Roman" w:eastAsia="仿宋_GB2312" w:cs="Times New Roman"/>
          <w:color w:val="000000" w:themeColor="text1"/>
          <w:szCs w:val="21"/>
        </w:rPr>
        <w:t>支出</w:t>
      </w:r>
      <w:r>
        <w:rPr>
          <w:rFonts w:hint="eastAsia" w:ascii="Times New Roman" w:hAnsi="Times New Roman" w:eastAsia="仿宋_GB2312" w:cs="Times New Roman"/>
          <w:color w:val="000000" w:themeColor="text1"/>
          <w:szCs w:val="21"/>
          <w:lang w:val="en-US" w:eastAsia="zh-CN"/>
        </w:rPr>
        <w:t>324.13</w:t>
      </w:r>
      <w:r>
        <w:rPr>
          <w:rFonts w:hint="eastAsia" w:ascii="Times New Roman" w:hAnsi="Times New Roman" w:eastAsia="仿宋_GB2312" w:cs="Times New Roman"/>
          <w:color w:val="000000" w:themeColor="text1"/>
          <w:szCs w:val="21"/>
        </w:rPr>
        <w:t>万</w:t>
      </w:r>
      <w:r>
        <w:rPr>
          <w:rFonts w:ascii="Times New Roman" w:hAnsi="Times New Roman" w:eastAsia="仿宋_GB2312" w:cs="Times New Roman"/>
          <w:color w:val="000000" w:themeColor="text1"/>
          <w:szCs w:val="21"/>
        </w:rPr>
        <w:t>元；</w:t>
      </w:r>
      <w:r>
        <w:rPr>
          <w:rFonts w:hint="eastAsia" w:ascii="Times New Roman" w:hAnsi="Times New Roman" w:eastAsia="仿宋_GB2312" w:cs="Times New Roman"/>
          <w:color w:val="000000" w:themeColor="text1"/>
          <w:szCs w:val="21"/>
        </w:rPr>
        <w:t>商品和服务</w:t>
      </w:r>
      <w:r>
        <w:rPr>
          <w:rFonts w:ascii="Times New Roman" w:hAnsi="Times New Roman" w:eastAsia="仿宋_GB2312" w:cs="Times New Roman"/>
          <w:color w:val="000000" w:themeColor="text1"/>
          <w:szCs w:val="21"/>
        </w:rPr>
        <w:t>支出</w:t>
      </w:r>
      <w:r>
        <w:rPr>
          <w:rFonts w:hint="eastAsia" w:ascii="Times New Roman" w:hAnsi="Times New Roman" w:eastAsia="仿宋_GB2312" w:cs="Times New Roman"/>
          <w:color w:val="000000" w:themeColor="text1"/>
          <w:szCs w:val="21"/>
          <w:lang w:val="en-US" w:eastAsia="zh-CN"/>
        </w:rPr>
        <w:t>52.09万元；对个人和家庭的补助78.95万元；资本性支出79.91万元。</w:t>
      </w:r>
    </w:p>
    <w:p w14:paraId="5F323EED">
      <w:pPr>
        <w:pStyle w:val="3"/>
        <w:spacing w:line="5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（3）预算资金管理情况</w:t>
      </w:r>
    </w:p>
    <w:p w14:paraId="6F2E58A5">
      <w:pPr>
        <w:pStyle w:val="3"/>
        <w:spacing w:line="5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1.预算管理状况</w:t>
      </w:r>
    </w:p>
    <w:p w14:paraId="1B619DAE">
      <w:pPr>
        <w:widowControl/>
        <w:shd w:val="clear" w:color="auto" w:fill="FFFFFF"/>
        <w:spacing w:line="580" w:lineRule="exact"/>
        <w:ind w:firstLine="420" w:firstLineChars="200"/>
        <w:jc w:val="left"/>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寻甸回族彝族自治县融媒体中心</w:t>
      </w:r>
      <w:r>
        <w:rPr>
          <w:rFonts w:ascii="Times New Roman" w:hAnsi="Times New Roman" w:eastAsia="仿宋_GB2312" w:cs="Times New Roman"/>
          <w:color w:val="000000" w:themeColor="text1"/>
          <w:kern w:val="0"/>
          <w:szCs w:val="21"/>
        </w:rPr>
        <w:t>严格按照年初预算执行，预算管理基本到位</w:t>
      </w:r>
      <w:r>
        <w:rPr>
          <w:rFonts w:hint="eastAsia" w:ascii="Times New Roman" w:hAnsi="Times New Roman" w:eastAsia="仿宋_GB2312" w:cs="Times New Roman"/>
          <w:color w:val="000000" w:themeColor="text1"/>
          <w:kern w:val="0"/>
          <w:szCs w:val="21"/>
        </w:rPr>
        <w:t>，</w:t>
      </w:r>
      <w:r>
        <w:rPr>
          <w:rFonts w:ascii="Times New Roman" w:hAnsi="Times New Roman" w:eastAsia="仿宋_GB2312" w:cs="Times New Roman"/>
          <w:color w:val="000000" w:themeColor="text1"/>
          <w:kern w:val="0"/>
          <w:szCs w:val="21"/>
        </w:rPr>
        <w:t>预算完成率较高。</w:t>
      </w:r>
      <w:r>
        <w:rPr>
          <w:rFonts w:hint="eastAsia" w:ascii="Times New Roman" w:hAnsi="Times New Roman" w:eastAsia="仿宋_GB2312" w:cs="Times New Roman"/>
          <w:color w:val="000000" w:themeColor="text1"/>
          <w:kern w:val="0"/>
          <w:szCs w:val="21"/>
        </w:rPr>
        <w:t>202</w:t>
      </w:r>
      <w:r>
        <w:rPr>
          <w:rFonts w:hint="eastAsia" w:ascii="Times New Roman" w:hAnsi="Times New Roman" w:eastAsia="仿宋_GB2312" w:cs="Times New Roman"/>
          <w:color w:val="000000" w:themeColor="text1"/>
          <w:kern w:val="0"/>
          <w:szCs w:val="21"/>
          <w:lang w:val="en-US" w:eastAsia="zh-CN"/>
        </w:rPr>
        <w:t>3</w:t>
      </w:r>
      <w:r>
        <w:rPr>
          <w:rFonts w:ascii="Times New Roman" w:hAnsi="Times New Roman" w:eastAsia="仿宋_GB2312" w:cs="Times New Roman"/>
          <w:color w:val="000000" w:themeColor="text1"/>
          <w:kern w:val="0"/>
          <w:szCs w:val="21"/>
        </w:rPr>
        <w:t>年三公经费实际支出</w:t>
      </w:r>
      <w:r>
        <w:rPr>
          <w:rFonts w:hint="eastAsia" w:ascii="Times New Roman" w:hAnsi="Times New Roman" w:eastAsia="仿宋_GB2312" w:cs="Times New Roman"/>
          <w:color w:val="000000" w:themeColor="text1"/>
          <w:kern w:val="0"/>
          <w:szCs w:val="21"/>
          <w:lang w:val="en-US" w:eastAsia="zh-CN"/>
        </w:rPr>
        <w:t>2.62</w:t>
      </w:r>
      <w:r>
        <w:rPr>
          <w:rFonts w:ascii="Times New Roman" w:hAnsi="Times New Roman" w:eastAsia="仿宋_GB2312" w:cs="Times New Roman"/>
          <w:color w:val="000000" w:themeColor="text1"/>
          <w:kern w:val="0"/>
          <w:szCs w:val="21"/>
        </w:rPr>
        <w:t>万元，</w:t>
      </w:r>
      <w:r>
        <w:rPr>
          <w:rFonts w:hint="eastAsia" w:ascii="Times New Roman" w:hAnsi="Times New Roman" w:eastAsia="仿宋_GB2312" w:cs="Times New Roman"/>
          <w:color w:val="000000" w:themeColor="text1"/>
          <w:kern w:val="0"/>
          <w:szCs w:val="21"/>
          <w:lang w:eastAsia="zh-CN"/>
        </w:rPr>
        <w:t>2024</w:t>
      </w:r>
      <w:r>
        <w:rPr>
          <w:rFonts w:ascii="Times New Roman" w:hAnsi="Times New Roman" w:eastAsia="仿宋_GB2312" w:cs="Times New Roman"/>
          <w:color w:val="000000" w:themeColor="text1"/>
          <w:kern w:val="0"/>
          <w:szCs w:val="21"/>
        </w:rPr>
        <w:t>年三公经费实际支出</w:t>
      </w:r>
      <w:r>
        <w:rPr>
          <w:rFonts w:hint="eastAsia" w:ascii="Times New Roman" w:hAnsi="Times New Roman" w:eastAsia="仿宋_GB2312" w:cs="Times New Roman"/>
          <w:color w:val="000000" w:themeColor="text1"/>
          <w:kern w:val="0"/>
          <w:szCs w:val="21"/>
          <w:lang w:val="en-US" w:eastAsia="zh-CN"/>
        </w:rPr>
        <w:t>2.40</w:t>
      </w:r>
      <w:r>
        <w:rPr>
          <w:rFonts w:ascii="Times New Roman" w:hAnsi="Times New Roman" w:eastAsia="仿宋_GB2312" w:cs="Times New Roman"/>
          <w:color w:val="000000" w:themeColor="text1"/>
          <w:kern w:val="0"/>
          <w:szCs w:val="21"/>
        </w:rPr>
        <w:t>万元</w:t>
      </w:r>
      <w:r>
        <w:rPr>
          <w:rFonts w:hint="eastAsia" w:ascii="Times New Roman" w:hAnsi="Times New Roman" w:eastAsia="仿宋_GB2312" w:cs="Times New Roman"/>
          <w:color w:val="000000" w:themeColor="text1"/>
          <w:kern w:val="0"/>
          <w:szCs w:val="21"/>
        </w:rPr>
        <w:t>，</w:t>
      </w:r>
      <w:r>
        <w:rPr>
          <w:rFonts w:ascii="Times New Roman" w:hAnsi="Times New Roman" w:eastAsia="仿宋_GB2312" w:cs="Times New Roman"/>
          <w:color w:val="000000" w:themeColor="text1"/>
          <w:kern w:val="0"/>
          <w:szCs w:val="21"/>
        </w:rPr>
        <w:t>三公经费使用</w:t>
      </w:r>
      <w:r>
        <w:rPr>
          <w:rFonts w:hint="eastAsia" w:ascii="Times New Roman" w:hAnsi="Times New Roman" w:eastAsia="仿宋_GB2312" w:cs="Times New Roman"/>
          <w:color w:val="000000" w:themeColor="text1"/>
          <w:kern w:val="0"/>
          <w:szCs w:val="21"/>
          <w:lang w:eastAsia="zh-CN"/>
        </w:rPr>
        <w:t>下降</w:t>
      </w:r>
      <w:r>
        <w:rPr>
          <w:rFonts w:ascii="Times New Roman" w:hAnsi="Times New Roman" w:eastAsia="仿宋_GB2312" w:cs="Times New Roman"/>
          <w:color w:val="000000" w:themeColor="text1"/>
          <w:kern w:val="0"/>
          <w:szCs w:val="21"/>
        </w:rPr>
        <w:t>了</w:t>
      </w:r>
      <w:r>
        <w:rPr>
          <w:rFonts w:hint="eastAsia" w:ascii="Times New Roman" w:hAnsi="Times New Roman" w:eastAsia="仿宋_GB2312" w:cs="Times New Roman"/>
          <w:color w:val="000000" w:themeColor="text1"/>
          <w:kern w:val="0"/>
          <w:szCs w:val="21"/>
          <w:lang w:val="en-US" w:eastAsia="zh-CN"/>
        </w:rPr>
        <w:t>0.22万元，原因是2024年减少了公务用车维修费</w:t>
      </w:r>
      <w:r>
        <w:rPr>
          <w:rFonts w:ascii="Times New Roman" w:hAnsi="Times New Roman" w:eastAsia="仿宋_GB2312" w:cs="Times New Roman"/>
          <w:color w:val="000000" w:themeColor="text1"/>
          <w:kern w:val="0"/>
          <w:szCs w:val="21"/>
        </w:rPr>
        <w:t>。</w:t>
      </w:r>
    </w:p>
    <w:p w14:paraId="71AE5E1E">
      <w:pPr>
        <w:widowControl/>
        <w:shd w:val="clear" w:color="auto" w:fill="FFFFFF"/>
        <w:spacing w:line="580" w:lineRule="exact"/>
        <w:ind w:firstLine="420" w:firstLineChars="200"/>
        <w:jc w:val="left"/>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szCs w:val="21"/>
        </w:rPr>
        <w:t>2.制度建设及执行状况：</w:t>
      </w:r>
    </w:p>
    <w:p w14:paraId="44C1B7C3">
      <w:pPr>
        <w:widowControl/>
        <w:shd w:val="clear" w:color="auto" w:fill="FFFFFF"/>
        <w:spacing w:line="580" w:lineRule="exact"/>
        <w:ind w:firstLine="420" w:firstLineChars="200"/>
        <w:jc w:val="left"/>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寻甸回族彝族自治县融媒体中心</w:t>
      </w:r>
      <w:r>
        <w:rPr>
          <w:rFonts w:ascii="Times New Roman" w:hAnsi="Times New Roman" w:eastAsia="仿宋_GB2312" w:cs="Times New Roman"/>
          <w:color w:val="000000" w:themeColor="text1"/>
          <w:kern w:val="0"/>
          <w:szCs w:val="21"/>
        </w:rPr>
        <w:t>对公务外出差旅费、公务接待费提出了具体标准和要求，对会议费等公用费用进一步规范审批流程，不断规范费用管理。</w:t>
      </w:r>
    </w:p>
    <w:p w14:paraId="1A1E3D13">
      <w:pPr>
        <w:widowControl/>
        <w:shd w:val="clear" w:color="auto" w:fill="FFFFFF"/>
        <w:spacing w:line="520" w:lineRule="exact"/>
        <w:ind w:firstLine="420" w:firstLineChars="200"/>
        <w:jc w:val="left"/>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寻甸回族彝族自治县融媒体中心</w:t>
      </w:r>
      <w:r>
        <w:rPr>
          <w:rFonts w:ascii="Times New Roman" w:hAnsi="Times New Roman" w:eastAsia="仿宋_GB2312" w:cs="Times New Roman"/>
          <w:color w:val="000000" w:themeColor="text1"/>
          <w:kern w:val="0"/>
          <w:szCs w:val="21"/>
        </w:rPr>
        <w:t>日常公用经费管理能严格执行相关制度，费用报销按照报账流程审核审批，由分管领导、归口管理处室、财务人员按费用性质、类别最后把关审批。</w:t>
      </w:r>
    </w:p>
    <w:p w14:paraId="6DD7A702">
      <w:pPr>
        <w:topLinePunct/>
        <w:spacing w:line="520" w:lineRule="exact"/>
        <w:ind w:firstLine="420" w:firstLineChars="200"/>
        <w:rPr>
          <w:rFonts w:ascii="Times New Roman" w:hAnsi="Times New Roman" w:eastAsia="楷体" w:cs="Times New Roman"/>
          <w:color w:val="000000" w:themeColor="text1"/>
          <w:szCs w:val="32"/>
        </w:rPr>
      </w:pPr>
      <w:r>
        <w:rPr>
          <w:rFonts w:ascii="Times New Roman" w:hAnsi="Times New Roman" w:eastAsia="楷体" w:cs="Times New Roman"/>
          <w:color w:val="000000" w:themeColor="text1"/>
          <w:szCs w:val="32"/>
        </w:rPr>
        <w:t>（六）政府采购情况。</w:t>
      </w:r>
    </w:p>
    <w:p w14:paraId="30182517">
      <w:pPr>
        <w:spacing w:line="520" w:lineRule="exact"/>
        <w:ind w:firstLine="420" w:firstLineChars="200"/>
        <w:rPr>
          <w:rFonts w:ascii="Times New Roman" w:hAnsi="Times New Roman" w:eastAsia="仿宋_GB2312" w:cs="Times New Roman"/>
          <w:color w:val="000000" w:themeColor="text1"/>
          <w:szCs w:val="32"/>
        </w:rPr>
      </w:pPr>
      <w:r>
        <w:rPr>
          <w:rFonts w:ascii="Times New Roman" w:hAnsi="Times New Roman" w:eastAsia="仿宋_GB2312" w:cs="Times New Roman"/>
          <w:color w:val="000000" w:themeColor="text1"/>
          <w:szCs w:val="32"/>
        </w:rPr>
        <w:t>寻甸回族彝族自治县</w:t>
      </w:r>
      <w:r>
        <w:rPr>
          <w:rFonts w:hint="eastAsia" w:ascii="Times New Roman" w:hAnsi="Times New Roman" w:eastAsia="仿宋_GB2312" w:cs="Times New Roman"/>
          <w:color w:val="000000" w:themeColor="text1"/>
          <w:szCs w:val="32"/>
        </w:rPr>
        <w:t>融媒体中心</w:t>
      </w:r>
      <w:r>
        <w:rPr>
          <w:rFonts w:ascii="Times New Roman" w:hAnsi="Times New Roman" w:eastAsia="仿宋_GB2312" w:cs="Times New Roman"/>
          <w:color w:val="000000" w:themeColor="text1"/>
          <w:szCs w:val="32"/>
        </w:rPr>
        <w:t>编制年初采购预算</w:t>
      </w:r>
      <w:r>
        <w:rPr>
          <w:rFonts w:hint="eastAsia" w:ascii="Times New Roman" w:hAnsi="Times New Roman" w:eastAsia="仿宋_GB2312" w:cs="Times New Roman"/>
          <w:color w:val="000000" w:themeColor="text1"/>
          <w:szCs w:val="32"/>
          <w:lang w:val="en-US" w:eastAsia="zh-CN"/>
        </w:rPr>
        <w:t>0</w:t>
      </w:r>
      <w:r>
        <w:rPr>
          <w:rFonts w:ascii="Times New Roman" w:hAnsi="Times New Roman" w:eastAsia="仿宋_GB2312" w:cs="Times New Roman"/>
          <w:color w:val="000000" w:themeColor="text1"/>
          <w:szCs w:val="32"/>
        </w:rPr>
        <w:t>万元，寻甸回族彝族自治县</w:t>
      </w:r>
      <w:r>
        <w:rPr>
          <w:rFonts w:hint="eastAsia" w:ascii="Times New Roman" w:hAnsi="Times New Roman" w:eastAsia="仿宋_GB2312" w:cs="Times New Roman"/>
          <w:color w:val="000000" w:themeColor="text1"/>
          <w:szCs w:val="32"/>
        </w:rPr>
        <w:t>融媒体中心</w:t>
      </w:r>
      <w:r>
        <w:rPr>
          <w:rFonts w:hint="eastAsia" w:ascii="Times New Roman" w:hAnsi="Times New Roman" w:eastAsia="仿宋_GB2312" w:cs="Times New Roman"/>
          <w:color w:val="000000" w:themeColor="text1"/>
          <w:szCs w:val="32"/>
          <w:lang w:eastAsia="zh-CN"/>
        </w:rPr>
        <w:t>2024</w:t>
      </w:r>
      <w:r>
        <w:rPr>
          <w:rFonts w:hint="eastAsia" w:ascii="Times New Roman" w:hAnsi="Times New Roman" w:eastAsia="仿宋_GB2312" w:cs="Times New Roman"/>
          <w:color w:val="000000" w:themeColor="text1"/>
          <w:szCs w:val="32"/>
        </w:rPr>
        <w:t>年政府采购</w:t>
      </w:r>
      <w:r>
        <w:rPr>
          <w:rFonts w:hint="eastAsia" w:ascii="Times New Roman" w:hAnsi="Times New Roman" w:eastAsia="仿宋_GB2312" w:cs="Times New Roman"/>
          <w:color w:val="000000" w:themeColor="text1"/>
          <w:szCs w:val="32"/>
          <w:lang w:val="en-US" w:eastAsia="zh-CN"/>
        </w:rPr>
        <w:t>1.396</w:t>
      </w:r>
      <w:r>
        <w:rPr>
          <w:rFonts w:hint="eastAsia" w:ascii="Times New Roman" w:hAnsi="Times New Roman" w:eastAsia="仿宋_GB2312" w:cs="Times New Roman"/>
          <w:color w:val="000000" w:themeColor="text1"/>
          <w:szCs w:val="32"/>
        </w:rPr>
        <w:t>万元。</w:t>
      </w:r>
    </w:p>
    <w:p w14:paraId="13C9CF08">
      <w:pPr>
        <w:topLinePunct/>
        <w:spacing w:line="520" w:lineRule="exact"/>
        <w:ind w:firstLine="420" w:firstLineChars="200"/>
        <w:rPr>
          <w:rFonts w:ascii="Times New Roman" w:hAnsi="Times New Roman" w:eastAsia="楷体" w:cs="Times New Roman"/>
          <w:color w:val="000000" w:themeColor="text1"/>
          <w:szCs w:val="32"/>
        </w:rPr>
      </w:pPr>
      <w:r>
        <w:rPr>
          <w:rFonts w:ascii="Times New Roman" w:hAnsi="Times New Roman" w:eastAsia="楷体" w:cs="Times New Roman"/>
          <w:color w:val="000000" w:themeColor="text1"/>
          <w:szCs w:val="32"/>
        </w:rPr>
        <w:t>（七）固定资产情况。</w:t>
      </w:r>
    </w:p>
    <w:p w14:paraId="23DC0AB7">
      <w:pPr>
        <w:topLinePunct/>
        <w:spacing w:line="520" w:lineRule="exact"/>
        <w:ind w:firstLine="420" w:firstLineChars="200"/>
        <w:rPr>
          <w:rFonts w:ascii="Times New Roman" w:hAnsi="Times New Roman" w:eastAsia="仿宋_GB2312" w:cs="Times New Roman"/>
          <w:color w:val="000000" w:themeColor="text1"/>
          <w:szCs w:val="32"/>
        </w:rPr>
      </w:pPr>
      <w:r>
        <w:rPr>
          <w:rFonts w:ascii="Times New Roman" w:hAnsi="Times New Roman" w:eastAsia="仿宋_GB2312" w:cs="Times New Roman"/>
          <w:color w:val="000000" w:themeColor="text1"/>
          <w:szCs w:val="32"/>
        </w:rPr>
        <w:t>截至</w:t>
      </w:r>
      <w:r>
        <w:rPr>
          <w:rFonts w:hint="eastAsia" w:ascii="Times New Roman" w:hAnsi="Times New Roman" w:eastAsia="仿宋_GB2312" w:cs="Times New Roman"/>
          <w:color w:val="000000" w:themeColor="text1"/>
          <w:szCs w:val="32"/>
          <w:lang w:eastAsia="zh-CN"/>
        </w:rPr>
        <w:t>2024</w:t>
      </w:r>
      <w:r>
        <w:rPr>
          <w:rFonts w:ascii="Times New Roman" w:hAnsi="Times New Roman" w:eastAsia="仿宋_GB2312" w:cs="Times New Roman"/>
          <w:color w:val="000000" w:themeColor="text1"/>
          <w:szCs w:val="32"/>
        </w:rPr>
        <w:t>年12月31日，寻甸回族彝族自治县</w:t>
      </w:r>
      <w:r>
        <w:rPr>
          <w:rFonts w:hint="eastAsia" w:ascii="Times New Roman" w:hAnsi="Times New Roman" w:eastAsia="仿宋_GB2312" w:cs="Times New Roman"/>
          <w:color w:val="000000" w:themeColor="text1"/>
          <w:szCs w:val="32"/>
        </w:rPr>
        <w:t>融媒体中心</w:t>
      </w:r>
      <w:r>
        <w:rPr>
          <w:rFonts w:ascii="Times New Roman" w:hAnsi="Times New Roman" w:eastAsia="仿宋_GB2312" w:cs="Times New Roman"/>
          <w:color w:val="000000" w:themeColor="text1"/>
          <w:szCs w:val="32"/>
        </w:rPr>
        <w:t>总资产年末数为</w:t>
      </w:r>
      <w:r>
        <w:rPr>
          <w:rFonts w:hint="eastAsia" w:ascii="Times New Roman" w:hAnsi="Times New Roman" w:eastAsia="仿宋_GB2312" w:cs="Times New Roman"/>
          <w:color w:val="000000" w:themeColor="text1"/>
          <w:szCs w:val="32"/>
          <w:lang w:val="en-US" w:eastAsia="zh-CN"/>
        </w:rPr>
        <w:t>1853.22</w:t>
      </w:r>
      <w:r>
        <w:rPr>
          <w:rFonts w:ascii="Times New Roman" w:hAnsi="Times New Roman" w:eastAsia="仿宋_GB2312" w:cs="Times New Roman"/>
          <w:color w:val="000000" w:themeColor="text1"/>
          <w:szCs w:val="32"/>
        </w:rPr>
        <w:t>万元，流动资产年末数为</w:t>
      </w:r>
      <w:r>
        <w:rPr>
          <w:rFonts w:hint="eastAsia" w:ascii="Times New Roman" w:hAnsi="Times New Roman" w:eastAsia="仿宋_GB2312" w:cs="Times New Roman"/>
          <w:color w:val="000000" w:themeColor="text1"/>
          <w:szCs w:val="32"/>
          <w:lang w:val="en-US" w:eastAsia="zh-CN"/>
        </w:rPr>
        <w:t>44.83</w:t>
      </w:r>
      <w:r>
        <w:rPr>
          <w:rFonts w:ascii="Times New Roman" w:hAnsi="Times New Roman" w:eastAsia="仿宋_GB2312" w:cs="Times New Roman"/>
          <w:color w:val="000000" w:themeColor="text1"/>
          <w:szCs w:val="32"/>
        </w:rPr>
        <w:t>万元，其中库存现金年末数为</w:t>
      </w:r>
      <w:r>
        <w:rPr>
          <w:rFonts w:hint="eastAsia" w:ascii="Times New Roman" w:hAnsi="Times New Roman" w:eastAsia="仿宋_GB2312" w:cs="Times New Roman"/>
          <w:color w:val="000000" w:themeColor="text1"/>
          <w:szCs w:val="32"/>
        </w:rPr>
        <w:t>0</w:t>
      </w:r>
      <w:r>
        <w:rPr>
          <w:rFonts w:ascii="Times New Roman" w:hAnsi="Times New Roman" w:eastAsia="仿宋_GB2312" w:cs="Times New Roman"/>
          <w:color w:val="000000" w:themeColor="text1"/>
          <w:szCs w:val="32"/>
        </w:rPr>
        <w:t>万元，银行存款年末数为</w:t>
      </w:r>
      <w:r>
        <w:rPr>
          <w:rFonts w:hint="eastAsia" w:ascii="Times New Roman" w:hAnsi="Times New Roman" w:eastAsia="仿宋_GB2312" w:cs="Times New Roman"/>
          <w:color w:val="000000" w:themeColor="text1"/>
          <w:szCs w:val="32"/>
          <w:lang w:val="en-US" w:eastAsia="zh-CN"/>
        </w:rPr>
        <w:t>44.78</w:t>
      </w:r>
      <w:r>
        <w:rPr>
          <w:rFonts w:ascii="Times New Roman" w:hAnsi="Times New Roman" w:eastAsia="仿宋_GB2312" w:cs="Times New Roman"/>
          <w:color w:val="000000" w:themeColor="text1"/>
          <w:szCs w:val="32"/>
        </w:rPr>
        <w:t>万元，其他应</w:t>
      </w:r>
      <w:r>
        <w:rPr>
          <w:rFonts w:hint="eastAsia" w:ascii="Times New Roman" w:hAnsi="Times New Roman" w:eastAsia="仿宋_GB2312" w:cs="Times New Roman"/>
          <w:color w:val="000000" w:themeColor="text1"/>
          <w:szCs w:val="32"/>
          <w:lang w:eastAsia="zh-CN"/>
        </w:rPr>
        <w:t>交税费</w:t>
      </w:r>
      <w:r>
        <w:rPr>
          <w:rFonts w:ascii="Times New Roman" w:hAnsi="Times New Roman" w:eastAsia="仿宋_GB2312" w:cs="Times New Roman"/>
          <w:color w:val="000000" w:themeColor="text1"/>
          <w:szCs w:val="32"/>
        </w:rPr>
        <w:t>年末数为</w:t>
      </w:r>
      <w:r>
        <w:rPr>
          <w:rFonts w:hint="eastAsia" w:ascii="Times New Roman" w:hAnsi="Times New Roman" w:eastAsia="仿宋_GB2312" w:cs="Times New Roman"/>
          <w:color w:val="000000" w:themeColor="text1"/>
          <w:szCs w:val="32"/>
          <w:lang w:val="en-US" w:eastAsia="zh-CN"/>
        </w:rPr>
        <w:t>2.82</w:t>
      </w:r>
      <w:r>
        <w:rPr>
          <w:rFonts w:ascii="Times New Roman" w:hAnsi="Times New Roman" w:eastAsia="仿宋_GB2312" w:cs="Times New Roman"/>
          <w:color w:val="000000" w:themeColor="text1"/>
          <w:szCs w:val="32"/>
        </w:rPr>
        <w:t>万元，</w:t>
      </w:r>
      <w:r>
        <w:rPr>
          <w:rFonts w:hint="eastAsia" w:ascii="Times New Roman" w:hAnsi="Times New Roman" w:eastAsia="仿宋_GB2312" w:cs="Times New Roman"/>
          <w:color w:val="000000" w:themeColor="text1"/>
          <w:szCs w:val="32"/>
          <w:lang w:eastAsia="zh-CN"/>
        </w:rPr>
        <w:t>应交财政款</w:t>
      </w:r>
      <w:r>
        <w:rPr>
          <w:rFonts w:hint="eastAsia" w:ascii="Times New Roman" w:hAnsi="Times New Roman" w:eastAsia="仿宋_GB2312" w:cs="Times New Roman"/>
          <w:color w:val="000000" w:themeColor="text1"/>
          <w:szCs w:val="32"/>
          <w:lang w:val="en-US" w:eastAsia="zh-CN"/>
        </w:rPr>
        <w:t>41.53万元，</w:t>
      </w:r>
      <w:r>
        <w:rPr>
          <w:rFonts w:ascii="Times New Roman" w:hAnsi="Times New Roman" w:eastAsia="仿宋_GB2312" w:cs="Times New Roman"/>
          <w:color w:val="000000" w:themeColor="text1"/>
          <w:szCs w:val="32"/>
        </w:rPr>
        <w:t>固定资产</w:t>
      </w:r>
      <w:r>
        <w:rPr>
          <w:rFonts w:hint="eastAsia" w:ascii="Times New Roman" w:hAnsi="Times New Roman" w:eastAsia="仿宋_GB2312" w:cs="Times New Roman"/>
          <w:color w:val="000000" w:themeColor="text1"/>
          <w:szCs w:val="32"/>
        </w:rPr>
        <w:t>净值</w:t>
      </w:r>
      <w:r>
        <w:rPr>
          <w:rFonts w:ascii="Times New Roman" w:hAnsi="Times New Roman" w:eastAsia="仿宋_GB2312" w:cs="Times New Roman"/>
          <w:color w:val="000000" w:themeColor="text1"/>
          <w:szCs w:val="32"/>
        </w:rPr>
        <w:t>年末数为</w:t>
      </w:r>
      <w:r>
        <w:rPr>
          <w:rFonts w:hint="eastAsia" w:ascii="Times New Roman" w:hAnsi="Times New Roman" w:eastAsia="仿宋_GB2312" w:cs="Times New Roman"/>
          <w:color w:val="000000" w:themeColor="text1"/>
          <w:szCs w:val="32"/>
          <w:lang w:val="en-US" w:eastAsia="zh-CN"/>
        </w:rPr>
        <w:t>1787.51</w:t>
      </w:r>
      <w:r>
        <w:rPr>
          <w:rFonts w:ascii="Times New Roman" w:hAnsi="Times New Roman" w:eastAsia="仿宋_GB2312" w:cs="Times New Roman"/>
          <w:color w:val="000000" w:themeColor="text1"/>
          <w:szCs w:val="32"/>
        </w:rPr>
        <w:t>万元，负债年末数为</w:t>
      </w:r>
      <w:r>
        <w:rPr>
          <w:rFonts w:hint="eastAsia" w:ascii="Times New Roman" w:hAnsi="Times New Roman" w:eastAsia="仿宋_GB2312" w:cs="Times New Roman"/>
          <w:color w:val="000000" w:themeColor="text1"/>
          <w:szCs w:val="32"/>
          <w:lang w:val="en-US" w:eastAsia="zh-CN"/>
        </w:rPr>
        <w:t>996.16</w:t>
      </w:r>
      <w:r>
        <w:rPr>
          <w:rFonts w:ascii="Times New Roman" w:hAnsi="Times New Roman" w:eastAsia="仿宋_GB2312" w:cs="Times New Roman"/>
          <w:color w:val="000000" w:themeColor="text1"/>
          <w:szCs w:val="32"/>
        </w:rPr>
        <w:t>万元。资产分为流动资产和固定资产，具体包括：库存现金、银行存款、其他应收款和固定资产。固定资产、办公家具和用品严格按照《</w:t>
      </w:r>
      <w:r>
        <w:rPr>
          <w:rFonts w:hint="eastAsia" w:ascii="Times New Roman" w:hAnsi="Times New Roman" w:eastAsia="仿宋_GB2312" w:cs="Times New Roman"/>
          <w:color w:val="000000" w:themeColor="text1"/>
          <w:szCs w:val="32"/>
        </w:rPr>
        <w:t>寻甸回族彝族自治县融媒体中心</w:t>
      </w:r>
      <w:r>
        <w:rPr>
          <w:rFonts w:ascii="Times New Roman" w:hAnsi="Times New Roman" w:eastAsia="仿宋_GB2312" w:cs="Times New Roman"/>
          <w:color w:val="000000" w:themeColor="text1"/>
          <w:szCs w:val="32"/>
        </w:rPr>
        <w:t>财务管理</w:t>
      </w:r>
      <w:r>
        <w:rPr>
          <w:rFonts w:hint="eastAsia" w:ascii="Times New Roman" w:hAnsi="Times New Roman" w:eastAsia="仿宋_GB2312" w:cs="Times New Roman"/>
          <w:color w:val="000000" w:themeColor="text1"/>
          <w:szCs w:val="32"/>
        </w:rPr>
        <w:t>办法</w:t>
      </w:r>
      <w:r>
        <w:rPr>
          <w:rFonts w:ascii="Times New Roman" w:hAnsi="Times New Roman" w:eastAsia="仿宋_GB2312" w:cs="Times New Roman"/>
          <w:color w:val="000000" w:themeColor="text1"/>
          <w:szCs w:val="32"/>
        </w:rPr>
        <w:t>》、</w:t>
      </w:r>
      <w:r>
        <w:rPr>
          <w:rFonts w:hint="eastAsia" w:ascii="Times New Roman" w:hAnsi="Times New Roman" w:eastAsia="仿宋_GB2312" w:cs="Times New Roman"/>
          <w:color w:val="000000" w:themeColor="text1"/>
          <w:szCs w:val="32"/>
        </w:rPr>
        <w:t>《寻甸回族彝族自治县融媒体中心工作制度》、《寻回族彝族自治县融媒体中心职务责任》</w:t>
      </w:r>
      <w:r>
        <w:rPr>
          <w:rFonts w:ascii="Times New Roman" w:hAnsi="Times New Roman" w:eastAsia="仿宋_GB2312" w:cs="Times New Roman"/>
          <w:color w:val="000000" w:themeColor="text1"/>
          <w:szCs w:val="32"/>
        </w:rPr>
        <w:t>进行配置和处置。严格按照财务管理的相关要求，建立了固定资产和办公用品使用、审批、稽核等内部管理规范。</w:t>
      </w:r>
    </w:p>
    <w:p w14:paraId="11F03DFC">
      <w:pPr>
        <w:topLinePunct/>
        <w:spacing w:line="520" w:lineRule="exact"/>
        <w:ind w:firstLine="420" w:firstLineChars="200"/>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二、绩效目标</w:t>
      </w:r>
    </w:p>
    <w:p w14:paraId="50018CD6">
      <w:pPr>
        <w:topLinePunct/>
        <w:spacing w:line="520" w:lineRule="exact"/>
        <w:ind w:firstLine="420" w:firstLineChars="200"/>
        <w:rPr>
          <w:rFonts w:ascii="Times New Roman" w:hAnsi="Times New Roman" w:eastAsia="楷体" w:cs="Times New Roman"/>
          <w:color w:val="000000" w:themeColor="text1"/>
          <w:szCs w:val="32"/>
        </w:rPr>
      </w:pPr>
      <w:r>
        <w:rPr>
          <w:rFonts w:ascii="Times New Roman" w:hAnsi="Times New Roman" w:eastAsia="楷体" w:cs="Times New Roman"/>
          <w:color w:val="000000" w:themeColor="text1"/>
          <w:szCs w:val="32"/>
        </w:rPr>
        <w:t>（一）部门总目标。</w:t>
      </w:r>
    </w:p>
    <w:p w14:paraId="32EE0E88">
      <w:pPr>
        <w:topLinePunct/>
        <w:spacing w:line="520" w:lineRule="exact"/>
        <w:ind w:firstLine="420" w:firstLineChars="200"/>
        <w:rPr>
          <w:rFonts w:ascii="Times New Roman" w:hAnsi="Times New Roman" w:eastAsia="仿宋_GB2312" w:cs="Times New Roman"/>
          <w:color w:val="000000" w:themeColor="text1"/>
          <w:szCs w:val="32"/>
        </w:rPr>
      </w:pPr>
      <w:r>
        <w:rPr>
          <w:rFonts w:ascii="Times New Roman" w:hAnsi="Times New Roman" w:eastAsia="仿宋_GB2312" w:cs="Times New Roman"/>
          <w:color w:val="000000" w:themeColor="text1"/>
          <w:szCs w:val="32"/>
        </w:rPr>
        <w:t>寻甸回族彝族自治县</w:t>
      </w:r>
      <w:r>
        <w:rPr>
          <w:rFonts w:hint="eastAsia" w:ascii="Times New Roman" w:hAnsi="Times New Roman" w:eastAsia="仿宋_GB2312" w:cs="Times New Roman"/>
          <w:color w:val="000000" w:themeColor="text1"/>
          <w:szCs w:val="32"/>
        </w:rPr>
        <w:t>融媒体中心</w:t>
      </w:r>
      <w:r>
        <w:rPr>
          <w:rFonts w:ascii="Times New Roman" w:hAnsi="Times New Roman" w:eastAsia="仿宋_GB2312" w:cs="Times New Roman"/>
          <w:color w:val="000000" w:themeColor="text1"/>
          <w:szCs w:val="32"/>
        </w:rPr>
        <w:t>在县委县政府的领导下，大力推进法制建设、</w:t>
      </w:r>
      <w:r>
        <w:rPr>
          <w:rFonts w:hint="eastAsia" w:ascii="Times New Roman" w:hAnsi="Times New Roman" w:eastAsia="仿宋_GB2312" w:cs="Times New Roman"/>
          <w:color w:val="000000" w:themeColor="text1"/>
          <w:szCs w:val="32"/>
        </w:rPr>
        <w:t>新闻记者</w:t>
      </w:r>
      <w:r>
        <w:rPr>
          <w:rFonts w:ascii="Times New Roman" w:hAnsi="Times New Roman" w:eastAsia="仿宋_GB2312" w:cs="Times New Roman"/>
          <w:color w:val="000000" w:themeColor="text1"/>
          <w:szCs w:val="32"/>
        </w:rPr>
        <w:t>队伍建设、基础设施建设，不断强化社会服务意识，提高服务水平，</w:t>
      </w:r>
      <w:r>
        <w:rPr>
          <w:rFonts w:hint="eastAsia" w:ascii="Times New Roman" w:hAnsi="Times New Roman" w:eastAsia="仿宋_GB2312" w:cs="Times New Roman"/>
          <w:color w:val="000000" w:themeColor="text1"/>
          <w:szCs w:val="32"/>
        </w:rPr>
        <w:t>做好广播电视节目的采集、编辑、制作和播出;做好县级新媒体信息的采集、编辑、制作和传播;做好公益广告的策划、制作及播出;做好全县通联工作，及时向上级新闻媒体提供全县有报道价值的新闻线索，抓好通讯员队伍、网点建设，做好新闻工作者的思想政治工作;做好组织参加各类媒体协会的新闻评奖、评优活动。</w:t>
      </w:r>
      <w:r>
        <w:rPr>
          <w:rFonts w:ascii="Times New Roman" w:hAnsi="Times New Roman" w:eastAsia="仿宋_GB2312" w:cs="Times New Roman"/>
          <w:color w:val="000000" w:themeColor="text1"/>
          <w:szCs w:val="32"/>
        </w:rPr>
        <w:t>围绕目标责任书下达的目标责任开展工作，确保目标责任全面完成。</w:t>
      </w:r>
    </w:p>
    <w:p w14:paraId="3C80F76D">
      <w:pPr>
        <w:topLinePunct/>
        <w:spacing w:line="520" w:lineRule="exact"/>
        <w:ind w:firstLine="420" w:firstLineChars="200"/>
        <w:rPr>
          <w:rFonts w:ascii="Times New Roman" w:hAnsi="Times New Roman" w:eastAsia="楷体" w:cs="Times New Roman"/>
          <w:color w:val="000000" w:themeColor="text1"/>
          <w:szCs w:val="32"/>
        </w:rPr>
      </w:pPr>
      <w:r>
        <w:rPr>
          <w:rFonts w:ascii="Times New Roman" w:hAnsi="Times New Roman" w:eastAsia="楷体" w:cs="Times New Roman"/>
          <w:color w:val="000000" w:themeColor="text1"/>
          <w:szCs w:val="32"/>
        </w:rPr>
        <w:t>（二）部门项目具体计划目标。</w:t>
      </w:r>
    </w:p>
    <w:p w14:paraId="0C7332A8">
      <w:pPr>
        <w:shd w:val="clear" w:color="auto" w:fill="FFFFFF"/>
        <w:spacing w:before="100" w:beforeAutospacing="1" w:after="100" w:afterAutospacing="1" w:line="320" w:lineRule="atLeast"/>
        <w:ind w:left="-69" w:right="-65" w:firstLine="420" w:firstLineChars="200"/>
        <w:rPr>
          <w:rFonts w:ascii="仿宋_GB2312" w:hAnsi="宋体" w:eastAsia="仿宋_GB2312" w:cs="宋体"/>
          <w:kern w:val="0"/>
          <w:szCs w:val="21"/>
        </w:rPr>
      </w:pPr>
      <w:r>
        <w:rPr>
          <w:rFonts w:ascii="Times New Roman" w:hAnsi="Times New Roman" w:eastAsia="仿宋_GB2312" w:cs="Times New Roman"/>
          <w:color w:val="000000" w:themeColor="text1"/>
          <w:szCs w:val="32"/>
        </w:rPr>
        <w:t>（</w:t>
      </w:r>
      <w:r>
        <w:rPr>
          <w:rFonts w:hint="eastAsia" w:ascii="Times New Roman" w:hAnsi="Times New Roman" w:eastAsia="仿宋_GB2312" w:cs="Times New Roman"/>
          <w:color w:val="000000" w:themeColor="text1"/>
          <w:szCs w:val="32"/>
        </w:rPr>
        <w:t>1</w:t>
      </w:r>
      <w:r>
        <w:rPr>
          <w:rFonts w:ascii="Times New Roman" w:hAnsi="Times New Roman" w:eastAsia="仿宋_GB2312" w:cs="Times New Roman"/>
          <w:color w:val="000000" w:themeColor="text1"/>
          <w:szCs w:val="32"/>
        </w:rPr>
        <w:t>）</w:t>
      </w:r>
      <w:r>
        <w:rPr>
          <w:rFonts w:hint="eastAsia" w:ascii="仿宋_GB2312" w:eastAsia="仿宋_GB2312"/>
        </w:rPr>
        <w:t>加强舆论引导，抓好主题宣传</w:t>
      </w:r>
      <w:r>
        <w:rPr>
          <w:rFonts w:ascii="Times New Roman" w:hAnsi="Times New Roman" w:eastAsia="仿宋_GB2312" w:cs="Times New Roman"/>
          <w:color w:val="000000" w:themeColor="text1"/>
          <w:szCs w:val="32"/>
        </w:rPr>
        <w:t>。</w:t>
      </w:r>
      <w:r>
        <w:rPr>
          <w:rFonts w:hint="eastAsia" w:ascii="仿宋_GB2312" w:hAnsi="宋体" w:eastAsia="仿宋_GB2312" w:cs="宋体"/>
          <w:kern w:val="0"/>
          <w:szCs w:val="21"/>
        </w:rPr>
        <w:t>突出重大新闻选题的策划，突出报道方式的创新，突出与全媒体的融合，完善节目评审工作机制；</w:t>
      </w:r>
    </w:p>
    <w:p w14:paraId="5797E63F">
      <w:pPr>
        <w:spacing w:before="100" w:beforeAutospacing="1" w:after="100" w:afterAutospacing="1" w:line="390" w:lineRule="atLeast"/>
        <w:ind w:firstLine="315" w:firstLineChars="150"/>
        <w:rPr>
          <w:rFonts w:ascii="宋体" w:hAnsi="宋体" w:eastAsia="宋体" w:cs="宋体"/>
          <w:kern w:val="0"/>
          <w:szCs w:val="21"/>
        </w:rPr>
      </w:pPr>
      <w:r>
        <w:rPr>
          <w:rFonts w:ascii="Times New Roman" w:hAnsi="Times New Roman" w:eastAsia="仿宋_GB2312" w:cs="Times New Roman"/>
          <w:color w:val="000000" w:themeColor="text1"/>
          <w:szCs w:val="32"/>
        </w:rPr>
        <w:t>（</w:t>
      </w:r>
      <w:r>
        <w:rPr>
          <w:rFonts w:hint="eastAsia" w:ascii="Times New Roman" w:hAnsi="Times New Roman" w:eastAsia="仿宋_GB2312" w:cs="Times New Roman"/>
          <w:color w:val="000000" w:themeColor="text1"/>
          <w:szCs w:val="32"/>
        </w:rPr>
        <w:t>2</w:t>
      </w:r>
      <w:r>
        <w:rPr>
          <w:rFonts w:ascii="Times New Roman" w:hAnsi="Times New Roman" w:eastAsia="仿宋_GB2312" w:cs="Times New Roman"/>
          <w:color w:val="000000" w:themeColor="text1"/>
          <w:szCs w:val="32"/>
        </w:rPr>
        <w:t>）</w:t>
      </w:r>
      <w:r>
        <w:rPr>
          <w:rFonts w:hint="eastAsia" w:ascii="仿宋_GB2312" w:eastAsia="仿宋_GB2312"/>
        </w:rPr>
        <w:t>深化广播电视的供给侧改革</w:t>
      </w:r>
      <w:r>
        <w:rPr>
          <w:rFonts w:ascii="Times New Roman" w:hAnsi="Times New Roman" w:eastAsia="仿宋_GB2312" w:cs="Times New Roman"/>
          <w:color w:val="000000" w:themeColor="text1"/>
          <w:szCs w:val="32"/>
        </w:rPr>
        <w:t>。</w:t>
      </w:r>
      <w:r>
        <w:rPr>
          <w:rFonts w:hint="eastAsia" w:ascii="仿宋_GB2312" w:hAnsi="宋体" w:eastAsia="仿宋_GB2312" w:cs="宋体"/>
          <w:kern w:val="0"/>
          <w:szCs w:val="21"/>
        </w:rPr>
        <w:t>深化绩效管理改革，突出绩与效、责权利的正相比关系；实施“双低节目”淘汰机制。</w:t>
      </w:r>
    </w:p>
    <w:p w14:paraId="2F3E2434">
      <w:pPr>
        <w:spacing w:before="100" w:beforeAutospacing="1" w:after="100" w:afterAutospacing="1" w:line="390" w:lineRule="atLeast"/>
        <w:ind w:firstLine="315" w:firstLineChars="150"/>
        <w:rPr>
          <w:rFonts w:ascii="仿宋_GB2312" w:hAnsi="宋体" w:eastAsia="仿宋_GB2312" w:cs="宋体"/>
          <w:kern w:val="0"/>
          <w:szCs w:val="21"/>
        </w:rPr>
      </w:pPr>
      <w:r>
        <w:rPr>
          <w:rFonts w:ascii="Times New Roman" w:hAnsi="Times New Roman" w:eastAsia="仿宋_GB2312" w:cs="Times New Roman"/>
          <w:color w:val="000000" w:themeColor="text1"/>
          <w:szCs w:val="32"/>
        </w:rPr>
        <w:t>（</w:t>
      </w:r>
      <w:r>
        <w:rPr>
          <w:rFonts w:hint="eastAsia" w:ascii="Times New Roman" w:hAnsi="Times New Roman" w:eastAsia="仿宋_GB2312" w:cs="Times New Roman"/>
          <w:color w:val="000000" w:themeColor="text1"/>
          <w:szCs w:val="32"/>
        </w:rPr>
        <w:t>3</w:t>
      </w:r>
      <w:r>
        <w:rPr>
          <w:rFonts w:ascii="Times New Roman" w:hAnsi="Times New Roman" w:eastAsia="仿宋_GB2312" w:cs="Times New Roman"/>
          <w:color w:val="000000" w:themeColor="text1"/>
          <w:szCs w:val="32"/>
        </w:rPr>
        <w:t>）</w:t>
      </w:r>
      <w:r>
        <w:rPr>
          <w:rFonts w:hint="eastAsia" w:ascii="仿宋_GB2312" w:hAnsi="宋体" w:eastAsia="仿宋_GB2312" w:cs="宋体"/>
          <w:kern w:val="0"/>
          <w:szCs w:val="21"/>
        </w:rPr>
        <w:t>提升机关效能优化人力资源。建立常态化督办机制，提升机关服务能力；在综合管理部门和基础支持部门全面推行岗位管理。</w:t>
      </w:r>
    </w:p>
    <w:p w14:paraId="38D10CCD">
      <w:pPr>
        <w:spacing w:before="100" w:beforeAutospacing="1" w:after="100" w:afterAutospacing="1" w:line="390" w:lineRule="atLeast"/>
        <w:ind w:firstLine="210" w:firstLineChars="100"/>
        <w:rPr>
          <w:rFonts w:ascii="仿宋_GB2312" w:hAnsi="宋体" w:eastAsia="仿宋_GB2312" w:cs="宋体"/>
          <w:kern w:val="0"/>
          <w:szCs w:val="21"/>
        </w:rPr>
      </w:pPr>
      <w:r>
        <w:rPr>
          <w:rFonts w:hint="eastAsia" w:ascii="仿宋_GB2312" w:hAnsi="宋体" w:eastAsia="仿宋_GB2312" w:cs="宋体"/>
          <w:kern w:val="0"/>
          <w:szCs w:val="21"/>
        </w:rPr>
        <w:t>（4）</w:t>
      </w:r>
      <w:r>
        <w:rPr>
          <w:rFonts w:hint="eastAsia" w:ascii="仿宋_GB2312" w:eastAsia="仿宋_GB2312"/>
        </w:rPr>
        <w:t>落实党风廉政建设责任制，加强队伍建设，提高干部廉洁自律意识。</w:t>
      </w:r>
      <w:r>
        <w:rPr>
          <w:rFonts w:hint="eastAsia" w:ascii="仿宋_GB2312" w:hAnsi="宋体" w:eastAsia="仿宋_GB2312" w:cs="宋体"/>
          <w:kern w:val="0"/>
          <w:szCs w:val="21"/>
        </w:rPr>
        <w:t>利用广电大讲堂、微信平台、办公网等，抓好干部职工廉政教育，突出行业特点，落实“一岗双责”。</w:t>
      </w:r>
    </w:p>
    <w:p w14:paraId="7755C035">
      <w:pPr>
        <w:spacing w:before="100" w:beforeAutospacing="1" w:after="100" w:afterAutospacing="1" w:line="390" w:lineRule="atLeast"/>
        <w:ind w:firstLine="315" w:firstLineChars="150"/>
        <w:rPr>
          <w:rFonts w:ascii="仿宋_GB2312" w:hAnsi="宋体" w:eastAsia="仿宋_GB2312" w:cs="宋体"/>
          <w:kern w:val="0"/>
          <w:szCs w:val="21"/>
        </w:rPr>
      </w:pPr>
      <w:r>
        <w:rPr>
          <w:rFonts w:hint="eastAsia" w:ascii="仿宋_GB2312" w:hAnsi="宋体" w:eastAsia="仿宋_GB2312" w:cs="宋体"/>
          <w:kern w:val="0"/>
          <w:szCs w:val="21"/>
        </w:rPr>
        <w:t>（5）</w:t>
      </w:r>
      <w:r>
        <w:rPr>
          <w:rFonts w:hint="eastAsia" w:ascii="仿宋_GB2312" w:eastAsia="仿宋_GB2312"/>
        </w:rPr>
        <w:t>开展党建活动，抓好党员“两学一做”学习教育，夯实基层党组织。</w:t>
      </w:r>
      <w:r>
        <w:rPr>
          <w:rFonts w:hint="eastAsia" w:ascii="仿宋_GB2312" w:hAnsi="宋体" w:eastAsia="仿宋_GB2312" w:cs="宋体"/>
          <w:kern w:val="0"/>
          <w:szCs w:val="21"/>
        </w:rPr>
        <w:t>完善党建工作制度，推进党群活动常态化，加大党务工作与业务工作融合力度。</w:t>
      </w:r>
    </w:p>
    <w:p w14:paraId="122BB5CB">
      <w:pPr>
        <w:topLinePunct/>
        <w:spacing w:line="520" w:lineRule="exact"/>
        <w:ind w:firstLine="420" w:firstLineChars="200"/>
        <w:rPr>
          <w:rFonts w:ascii="Times New Roman" w:hAnsi="Times New Roman" w:eastAsia="仿宋_GB2312" w:cs="Times New Roman"/>
          <w:color w:val="000000" w:themeColor="text1"/>
          <w:szCs w:val="32"/>
        </w:rPr>
      </w:pPr>
      <w:r>
        <w:rPr>
          <w:rFonts w:hint="eastAsia" w:ascii="仿宋_GB2312" w:hAnsi="宋体" w:eastAsia="仿宋_GB2312" w:cs="宋体"/>
          <w:kern w:val="0"/>
          <w:szCs w:val="21"/>
        </w:rPr>
        <w:t>（6）</w:t>
      </w:r>
      <w:r>
        <w:rPr>
          <w:rFonts w:hint="eastAsia" w:ascii="仿宋_GB2312" w:eastAsia="仿宋_GB2312"/>
        </w:rPr>
        <w:t>核算成本，加强创收经营管理。</w:t>
      </w:r>
      <w:r>
        <w:rPr>
          <w:rFonts w:hint="eastAsia" w:ascii="仿宋_GB2312" w:hAnsi="宋体" w:eastAsia="仿宋_GB2312" w:cs="宋体"/>
          <w:kern w:val="0"/>
          <w:szCs w:val="21"/>
        </w:rPr>
        <w:t>完成全年财务收入目标，推行预算管理，确保收支平衡，制定“开源节流”工作管理办法，在抓好资金管理的同时，加强资产管理。</w:t>
      </w:r>
      <w:r>
        <w:rPr>
          <w:rFonts w:ascii="仿宋_GB2312" w:hAnsi="宋体" w:eastAsia="仿宋_GB2312" w:cs="宋体"/>
          <w:kern w:val="0"/>
          <w:szCs w:val="21"/>
        </w:rPr>
        <w:t>A</w:t>
      </w:r>
      <w:r>
        <w:rPr>
          <w:rFonts w:hint="eastAsia" w:ascii="仿宋_GB2312" w:hAnsi="宋体" w:eastAsia="仿宋_GB2312" w:cs="宋体"/>
          <w:kern w:val="0"/>
          <w:szCs w:val="21"/>
        </w:rPr>
        <w:t>.</w:t>
      </w:r>
      <w:r>
        <w:rPr>
          <w:rFonts w:ascii="Times New Roman" w:hAnsi="Times New Roman" w:eastAsia="仿宋_GB2312" w:cs="Times New Roman"/>
          <w:color w:val="000000" w:themeColor="text1"/>
          <w:szCs w:val="32"/>
        </w:rPr>
        <w:t xml:space="preserve"> 预决算公开：</w:t>
      </w:r>
      <w:r>
        <w:rPr>
          <w:rFonts w:hint="eastAsia" w:ascii="Times New Roman" w:hAnsi="Times New Roman" w:eastAsia="仿宋_GB2312" w:cs="Times New Roman"/>
          <w:color w:val="000000" w:themeColor="text1"/>
          <w:szCs w:val="32"/>
        </w:rPr>
        <w:t>寻甸回族彝族自治县融媒体中心</w:t>
      </w:r>
      <w:r>
        <w:rPr>
          <w:rFonts w:ascii="Times New Roman" w:hAnsi="Times New Roman" w:eastAsia="仿宋_GB2312" w:cs="Times New Roman"/>
          <w:color w:val="000000" w:themeColor="text1"/>
          <w:szCs w:val="32"/>
        </w:rPr>
        <w:t>按照政府统一部署</w:t>
      </w:r>
      <w:r>
        <w:rPr>
          <w:rFonts w:hint="eastAsia" w:ascii="Times New Roman" w:hAnsi="Times New Roman" w:eastAsia="仿宋_GB2312" w:cs="Times New Roman"/>
          <w:color w:val="000000" w:themeColor="text1"/>
          <w:szCs w:val="32"/>
        </w:rPr>
        <w:t>，</w:t>
      </w:r>
      <w:r>
        <w:rPr>
          <w:rFonts w:ascii="Times New Roman" w:hAnsi="Times New Roman" w:eastAsia="仿宋_GB2312" w:cs="Times New Roman"/>
          <w:color w:val="000000" w:themeColor="text1"/>
          <w:szCs w:val="32"/>
        </w:rPr>
        <w:t>在规定时间内在县人民政府网站上进行了</w:t>
      </w:r>
      <w:r>
        <w:rPr>
          <w:rFonts w:hint="eastAsia" w:ascii="Times New Roman" w:hAnsi="Times New Roman" w:eastAsia="仿宋_GB2312" w:cs="Times New Roman"/>
          <w:color w:val="000000" w:themeColor="text1"/>
          <w:szCs w:val="32"/>
          <w:lang w:eastAsia="zh-CN"/>
        </w:rPr>
        <w:t>2024</w:t>
      </w:r>
      <w:r>
        <w:rPr>
          <w:rFonts w:ascii="Times New Roman" w:hAnsi="Times New Roman" w:eastAsia="仿宋_GB2312" w:cs="Times New Roman"/>
          <w:color w:val="000000" w:themeColor="text1"/>
          <w:szCs w:val="32"/>
        </w:rPr>
        <w:t>年</w:t>
      </w:r>
      <w:r>
        <w:rPr>
          <w:rFonts w:hint="eastAsia" w:ascii="Times New Roman" w:hAnsi="Times New Roman" w:eastAsia="仿宋_GB2312" w:cs="Times New Roman"/>
          <w:color w:val="000000" w:themeColor="text1"/>
          <w:szCs w:val="32"/>
        </w:rPr>
        <w:t>度</w:t>
      </w:r>
      <w:r>
        <w:rPr>
          <w:rFonts w:ascii="Times New Roman" w:hAnsi="Times New Roman" w:eastAsia="仿宋_GB2312" w:cs="Times New Roman"/>
          <w:color w:val="000000" w:themeColor="text1"/>
          <w:szCs w:val="32"/>
        </w:rPr>
        <w:t>预算公开。B</w:t>
      </w:r>
      <w:r>
        <w:rPr>
          <w:rFonts w:hint="eastAsia" w:ascii="Times New Roman" w:hAnsi="Times New Roman" w:eastAsia="仿宋_GB2312" w:cs="Times New Roman"/>
          <w:color w:val="000000" w:themeColor="text1"/>
          <w:szCs w:val="32"/>
        </w:rPr>
        <w:t>.</w:t>
      </w:r>
      <w:r>
        <w:rPr>
          <w:rFonts w:ascii="Times New Roman" w:hAnsi="Times New Roman" w:eastAsia="仿宋_GB2312" w:cs="Times New Roman"/>
          <w:color w:val="000000" w:themeColor="text1"/>
          <w:szCs w:val="32"/>
        </w:rPr>
        <w:t>资金资产管理：资产管理按照我单位制定的《寻甸回族彝族自治县</w:t>
      </w:r>
      <w:r>
        <w:rPr>
          <w:rFonts w:hint="eastAsia" w:ascii="Times New Roman" w:hAnsi="Times New Roman" w:eastAsia="仿宋_GB2312" w:cs="Times New Roman"/>
          <w:color w:val="000000" w:themeColor="text1"/>
          <w:szCs w:val="32"/>
        </w:rPr>
        <w:t>融媒体中心</w:t>
      </w:r>
      <w:r>
        <w:rPr>
          <w:rFonts w:ascii="Times New Roman" w:hAnsi="Times New Roman" w:eastAsia="仿宋_GB2312" w:cs="Times New Roman"/>
          <w:color w:val="000000" w:themeColor="text1"/>
          <w:szCs w:val="32"/>
        </w:rPr>
        <w:t>国有资产管理办法》进行，建立了完整合规的固定资产台帐，合理有效使用固定资产，安全运行。</w:t>
      </w:r>
    </w:p>
    <w:p w14:paraId="0574683A">
      <w:pPr>
        <w:topLinePunct/>
        <w:spacing w:line="520" w:lineRule="exact"/>
        <w:ind w:firstLine="420" w:firstLineChars="200"/>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三、评价思路和过程</w:t>
      </w:r>
    </w:p>
    <w:p w14:paraId="46B7F7A0">
      <w:pPr>
        <w:topLinePunct/>
        <w:spacing w:line="520" w:lineRule="exact"/>
        <w:ind w:firstLine="420" w:firstLineChars="200"/>
        <w:rPr>
          <w:rFonts w:ascii="Times New Roman" w:hAnsi="Times New Roman" w:eastAsia="仿宋_GB2312" w:cs="Times New Roman"/>
          <w:color w:val="000000" w:themeColor="text1"/>
          <w:szCs w:val="32"/>
        </w:rPr>
      </w:pPr>
      <w:r>
        <w:rPr>
          <w:rFonts w:ascii="Times New Roman" w:hAnsi="Times New Roman" w:eastAsia="楷体" w:cs="Times New Roman"/>
          <w:color w:val="000000" w:themeColor="text1"/>
          <w:szCs w:val="32"/>
        </w:rPr>
        <w:t>（一）评价思路：</w:t>
      </w:r>
      <w:r>
        <w:rPr>
          <w:rFonts w:ascii="Times New Roman" w:hAnsi="Times New Roman" w:eastAsia="仿宋_GB2312" w:cs="Times New Roman"/>
          <w:color w:val="000000" w:themeColor="text1"/>
          <w:szCs w:val="32"/>
        </w:rPr>
        <w:t>确认当年度部门整体支出的绩效目标→梳理部门内部管理制度及存量资源→分析确定当年度部门整体支出的评价重点→构建绩效评价指标体系。</w:t>
      </w:r>
    </w:p>
    <w:p w14:paraId="589E1894">
      <w:pPr>
        <w:topLinePunct/>
        <w:spacing w:line="520" w:lineRule="exact"/>
        <w:ind w:firstLine="420" w:firstLineChars="200"/>
        <w:rPr>
          <w:rFonts w:ascii="Times New Roman" w:hAnsi="Times New Roman" w:eastAsia="仿宋_GB2312" w:cs="Times New Roman"/>
          <w:color w:val="000000" w:themeColor="text1"/>
          <w:sz w:val="28"/>
          <w:szCs w:val="28"/>
        </w:rPr>
      </w:pPr>
      <w:r>
        <w:rPr>
          <w:rFonts w:ascii="Times New Roman" w:hAnsi="Times New Roman" w:eastAsia="楷体" w:cs="Times New Roman"/>
          <w:color w:val="000000" w:themeColor="text1"/>
          <w:szCs w:val="32"/>
        </w:rPr>
        <w:t>（二）评价目的。</w:t>
      </w:r>
      <w:r>
        <w:rPr>
          <w:rFonts w:ascii="Times New Roman" w:hAnsi="Times New Roman" w:eastAsia="仿宋_GB2312" w:cs="Times New Roman"/>
          <w:color w:val="000000" w:themeColor="text1"/>
          <w:kern w:val="0"/>
          <w:szCs w:val="32"/>
        </w:rPr>
        <w:t>通过收集部门（单位）基本情况、预算制定与明细、部门中长期规划目标及组织架构等信息，分析部门（单位）资源配置的合理性及中长期规划目标完成与履职情况，总结经验做法，找出预算绩效管理中的薄弱环节，提出改进建议，提高财政资金的使用效益。</w:t>
      </w:r>
    </w:p>
    <w:p w14:paraId="282FA499">
      <w:pPr>
        <w:topLinePunct/>
        <w:spacing w:line="520" w:lineRule="exact"/>
        <w:ind w:firstLine="420" w:firstLineChars="200"/>
        <w:rPr>
          <w:rFonts w:ascii="Times New Roman" w:hAnsi="Times New Roman" w:eastAsia="楷体" w:cs="Times New Roman"/>
          <w:color w:val="000000" w:themeColor="text1"/>
          <w:szCs w:val="32"/>
        </w:rPr>
      </w:pPr>
      <w:r>
        <w:rPr>
          <w:rFonts w:ascii="Times New Roman" w:hAnsi="Times New Roman" w:eastAsia="楷体" w:cs="Times New Roman"/>
          <w:color w:val="000000" w:themeColor="text1"/>
          <w:szCs w:val="32"/>
        </w:rPr>
        <w:t>（三）评价依据。</w:t>
      </w:r>
    </w:p>
    <w:p w14:paraId="7CAE7511">
      <w:pPr>
        <w:topLinePunct/>
        <w:spacing w:line="520" w:lineRule="exact"/>
        <w:ind w:firstLine="420" w:firstLineChars="200"/>
        <w:rPr>
          <w:rFonts w:ascii="Times New Roman" w:hAnsi="Times New Roman" w:eastAsia="仿宋_GB2312" w:cs="Times New Roman"/>
          <w:color w:val="000000" w:themeColor="text1"/>
          <w:szCs w:val="32"/>
        </w:rPr>
      </w:pPr>
      <w:r>
        <w:rPr>
          <w:rFonts w:ascii="Times New Roman" w:hAnsi="Times New Roman" w:eastAsia="仿宋_GB2312" w:cs="Times New Roman"/>
          <w:color w:val="000000" w:themeColor="text1"/>
          <w:szCs w:val="32"/>
        </w:rPr>
        <w:t>1.《中华人民共和国预算法》；2.《财政部关于印发〈财政支出绩效评价管理暂行办法〉的通知》（财预〔2011〕285号）；3.《昆明市人民政府办公厅关于全面推进预算绩效管理的实施意见》（昆政办〔2013〕72号）；4.《昆明市人民政府关于全面推进预算绩效管理改革的实施意见》（昆政发〔2016〕12号）；5.《寻甸回族彝族自治县财政局关于印发《寻甸回族彝族自治县本级部门预算绩效自评管理暂行办法》的通知》（寻财绩〔2019〕9号）；6.《寻甸回族彝族自治县财政局关于印发《寻甸回族彝族自治县县本级财政支出预算事前绩效评估管理暂行办法》的通知》（寻财〔2019〕30号）；7.《寻甸回族彝族自治县财政局关于印发寻甸回族彝族自治县县本级预算绩效跟踪管理暂行办法的通知》（寻财绩〔2019〕1号）；8.寻甸回族彝族自治县</w:t>
      </w:r>
      <w:r>
        <w:rPr>
          <w:rFonts w:hint="eastAsia" w:ascii="Times New Roman" w:hAnsi="Times New Roman" w:eastAsia="仿宋_GB2312" w:cs="Times New Roman"/>
          <w:color w:val="000000" w:themeColor="text1"/>
          <w:szCs w:val="32"/>
        </w:rPr>
        <w:t>融媒体中心</w:t>
      </w:r>
      <w:r>
        <w:rPr>
          <w:rFonts w:ascii="Times New Roman" w:hAnsi="Times New Roman" w:eastAsia="仿宋_GB2312" w:cs="Times New Roman"/>
          <w:color w:val="000000" w:themeColor="text1"/>
          <w:szCs w:val="32"/>
        </w:rPr>
        <w:t>提供的基础资料；9.评价工作人员通过现场调查、核实等获得的资料等。</w:t>
      </w:r>
    </w:p>
    <w:p w14:paraId="5DD2C2EB">
      <w:pPr>
        <w:topLinePunct/>
        <w:spacing w:line="520" w:lineRule="exact"/>
        <w:ind w:firstLine="420" w:firstLineChars="200"/>
        <w:rPr>
          <w:rFonts w:ascii="Times New Roman" w:hAnsi="Times New Roman" w:eastAsia="楷体" w:cs="Times New Roman"/>
          <w:color w:val="000000" w:themeColor="text1"/>
          <w:szCs w:val="32"/>
        </w:rPr>
      </w:pPr>
      <w:r>
        <w:rPr>
          <w:rFonts w:ascii="Times New Roman" w:hAnsi="Times New Roman" w:eastAsia="楷体" w:cs="Times New Roman"/>
          <w:color w:val="000000" w:themeColor="text1"/>
          <w:szCs w:val="32"/>
        </w:rPr>
        <w:t>（四）评价对象及评价时段。</w:t>
      </w:r>
    </w:p>
    <w:p w14:paraId="7329D650">
      <w:pPr>
        <w:topLinePunct/>
        <w:spacing w:line="520" w:lineRule="exact"/>
        <w:ind w:firstLine="420" w:firstLineChars="200"/>
        <w:rPr>
          <w:rFonts w:ascii="Times New Roman" w:hAnsi="Times New Roman" w:eastAsia="仿宋_GB2312" w:cs="Times New Roman"/>
          <w:color w:val="000000" w:themeColor="text1"/>
          <w:szCs w:val="32"/>
        </w:rPr>
      </w:pPr>
      <w:r>
        <w:rPr>
          <w:rFonts w:ascii="Times New Roman" w:hAnsi="Times New Roman" w:eastAsia="仿宋_GB2312" w:cs="Times New Roman"/>
          <w:color w:val="000000" w:themeColor="text1"/>
          <w:szCs w:val="32"/>
        </w:rPr>
        <w:t>本次评价对象为寻甸回族彝族自治县</w:t>
      </w:r>
      <w:r>
        <w:rPr>
          <w:rFonts w:hint="eastAsia" w:ascii="Times New Roman" w:hAnsi="Times New Roman" w:eastAsia="仿宋_GB2312" w:cs="Times New Roman"/>
          <w:color w:val="000000" w:themeColor="text1"/>
          <w:szCs w:val="32"/>
        </w:rPr>
        <w:t>融媒体中心</w:t>
      </w:r>
      <w:r>
        <w:rPr>
          <w:rFonts w:ascii="Times New Roman" w:hAnsi="Times New Roman" w:eastAsia="仿宋_GB2312" w:cs="Times New Roman"/>
          <w:color w:val="000000" w:themeColor="text1"/>
          <w:szCs w:val="32"/>
        </w:rPr>
        <w:t>部门整体支出，评价时段为</w:t>
      </w:r>
      <w:r>
        <w:rPr>
          <w:rFonts w:hint="eastAsia" w:ascii="Times New Roman" w:hAnsi="Times New Roman" w:eastAsia="仿宋_GB2312" w:cs="Times New Roman"/>
          <w:color w:val="000000" w:themeColor="text1"/>
          <w:szCs w:val="32"/>
          <w:lang w:eastAsia="zh-CN"/>
        </w:rPr>
        <w:t>2024</w:t>
      </w:r>
      <w:r>
        <w:rPr>
          <w:rFonts w:ascii="Times New Roman" w:hAnsi="Times New Roman" w:eastAsia="仿宋_GB2312" w:cs="Times New Roman"/>
          <w:color w:val="000000" w:themeColor="text1"/>
          <w:szCs w:val="32"/>
        </w:rPr>
        <w:t>年1月1日至</w:t>
      </w:r>
      <w:r>
        <w:rPr>
          <w:rFonts w:hint="eastAsia" w:ascii="Times New Roman" w:hAnsi="Times New Roman" w:eastAsia="仿宋_GB2312" w:cs="Times New Roman"/>
          <w:color w:val="000000" w:themeColor="text1"/>
          <w:szCs w:val="32"/>
          <w:lang w:eastAsia="zh-CN"/>
        </w:rPr>
        <w:t>2024</w:t>
      </w:r>
      <w:r>
        <w:rPr>
          <w:rFonts w:ascii="Times New Roman" w:hAnsi="Times New Roman" w:eastAsia="仿宋_GB2312" w:cs="Times New Roman"/>
          <w:color w:val="000000" w:themeColor="text1"/>
          <w:szCs w:val="32"/>
        </w:rPr>
        <w:t>年12月31日。</w:t>
      </w:r>
    </w:p>
    <w:p w14:paraId="386A3F7D">
      <w:pPr>
        <w:topLinePunct/>
        <w:spacing w:line="520" w:lineRule="exact"/>
        <w:ind w:firstLine="420" w:firstLineChars="200"/>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四、评价结论和绩效分析</w:t>
      </w:r>
    </w:p>
    <w:p w14:paraId="167AB5EB">
      <w:pPr>
        <w:topLinePunct/>
        <w:spacing w:line="520" w:lineRule="exact"/>
        <w:ind w:firstLine="420" w:firstLineChars="200"/>
        <w:rPr>
          <w:rFonts w:ascii="Times New Roman" w:hAnsi="Times New Roman" w:eastAsia="仿宋_GB2312" w:cs="Times New Roman"/>
          <w:color w:val="000000" w:themeColor="text1"/>
          <w:szCs w:val="32"/>
        </w:rPr>
      </w:pPr>
      <w:r>
        <w:rPr>
          <w:rFonts w:hint="eastAsia" w:ascii="Times New Roman" w:hAnsi="Times New Roman" w:eastAsia="仿宋_GB2312" w:cs="Times New Roman"/>
          <w:color w:val="000000" w:themeColor="text1"/>
          <w:szCs w:val="32"/>
        </w:rPr>
        <w:t>（一）</w:t>
      </w:r>
      <w:r>
        <w:rPr>
          <w:rFonts w:ascii="Times New Roman" w:hAnsi="Times New Roman" w:eastAsia="仿宋_GB2312" w:cs="Times New Roman"/>
          <w:color w:val="000000" w:themeColor="text1"/>
          <w:szCs w:val="32"/>
        </w:rPr>
        <w:t>评价结果。</w:t>
      </w:r>
    </w:p>
    <w:p w14:paraId="0ADFE7FA">
      <w:pPr>
        <w:topLinePunct/>
        <w:spacing w:line="520" w:lineRule="exact"/>
        <w:ind w:firstLine="420" w:firstLineChars="200"/>
        <w:rPr>
          <w:rFonts w:ascii="Times New Roman" w:hAnsi="Times New Roman" w:eastAsia="仿宋_GB2312" w:cs="Times New Roman"/>
          <w:color w:val="000000" w:themeColor="text1"/>
          <w:szCs w:val="32"/>
        </w:rPr>
      </w:pPr>
      <w:r>
        <w:rPr>
          <w:rFonts w:hint="eastAsia" w:ascii="Times New Roman" w:hAnsi="Times New Roman" w:eastAsia="仿宋_GB2312" w:cs="Times New Roman"/>
          <w:color w:val="000000" w:themeColor="text1"/>
          <w:szCs w:val="32"/>
          <w:lang w:eastAsia="zh-CN"/>
        </w:rPr>
        <w:t>2024</w:t>
      </w:r>
      <w:r>
        <w:rPr>
          <w:rFonts w:ascii="Times New Roman" w:hAnsi="Times New Roman" w:eastAsia="仿宋_GB2312" w:cs="Times New Roman"/>
          <w:color w:val="000000" w:themeColor="text1"/>
          <w:szCs w:val="32"/>
        </w:rPr>
        <w:t>年，寻甸回族彝族自治县</w:t>
      </w:r>
      <w:r>
        <w:rPr>
          <w:rFonts w:hint="eastAsia" w:ascii="Times New Roman" w:hAnsi="Times New Roman" w:eastAsia="仿宋_GB2312" w:cs="Times New Roman"/>
          <w:color w:val="000000" w:themeColor="text1"/>
          <w:szCs w:val="32"/>
        </w:rPr>
        <w:t>融媒体中心</w:t>
      </w:r>
      <w:r>
        <w:rPr>
          <w:rFonts w:ascii="Times New Roman" w:hAnsi="Times New Roman" w:eastAsia="仿宋_GB2312" w:cs="Times New Roman"/>
          <w:color w:val="000000" w:themeColor="text1"/>
          <w:szCs w:val="32"/>
        </w:rPr>
        <w:t>认真落实县委县政府决策部署，按照保进度、重质量、求实效的要求，全面推进各项重点工作，较好地完成了各项目标任务。根据《寻甸回族彝族自治县</w:t>
      </w:r>
      <w:r>
        <w:rPr>
          <w:rFonts w:hint="eastAsia" w:ascii="Times New Roman" w:hAnsi="Times New Roman" w:eastAsia="仿宋_GB2312" w:cs="Times New Roman"/>
          <w:color w:val="000000" w:themeColor="text1"/>
          <w:szCs w:val="32"/>
        </w:rPr>
        <w:t>融媒体中心</w:t>
      </w:r>
      <w:r>
        <w:rPr>
          <w:rFonts w:ascii="Times New Roman" w:hAnsi="Times New Roman" w:eastAsia="仿宋_GB2312" w:cs="Times New Roman"/>
          <w:color w:val="000000" w:themeColor="text1"/>
          <w:szCs w:val="32"/>
        </w:rPr>
        <w:t>部门整体支出绩效评价指标体系》评分，寻甸回族彝族自治县融媒体中心得分</w:t>
      </w:r>
      <w:r>
        <w:rPr>
          <w:rFonts w:hint="eastAsia" w:ascii="Times New Roman" w:hAnsi="Times New Roman" w:eastAsia="仿宋_GB2312" w:cs="Times New Roman"/>
          <w:color w:val="auto"/>
          <w:szCs w:val="32"/>
          <w:lang w:val="en-US" w:eastAsia="zh-CN"/>
        </w:rPr>
        <w:t>93.56</w:t>
      </w:r>
      <w:r>
        <w:rPr>
          <w:rFonts w:ascii="Times New Roman" w:hAnsi="Times New Roman" w:eastAsia="仿宋_GB2312" w:cs="Times New Roman"/>
          <w:szCs w:val="32"/>
        </w:rPr>
        <w:t>分，部门整体支出绩效为“优秀”。</w:t>
      </w:r>
    </w:p>
    <w:p w14:paraId="128C3716">
      <w:pPr>
        <w:topLinePunct/>
        <w:spacing w:line="520" w:lineRule="exact"/>
        <w:ind w:firstLine="420" w:firstLineChars="200"/>
        <w:rPr>
          <w:rFonts w:ascii="Times New Roman" w:hAnsi="Times New Roman" w:eastAsia="仿宋_GB2312" w:cs="Times New Roman"/>
          <w:color w:val="000000" w:themeColor="text1"/>
          <w:szCs w:val="32"/>
        </w:rPr>
      </w:pPr>
      <w:r>
        <w:rPr>
          <w:rFonts w:hint="eastAsia" w:ascii="Times New Roman" w:hAnsi="Times New Roman" w:eastAsia="仿宋_GB2312" w:cs="Times New Roman"/>
          <w:color w:val="000000" w:themeColor="text1"/>
          <w:szCs w:val="32"/>
        </w:rPr>
        <w:t>（二）</w:t>
      </w:r>
      <w:r>
        <w:rPr>
          <w:rFonts w:ascii="Times New Roman" w:hAnsi="Times New Roman" w:eastAsia="仿宋_GB2312" w:cs="Times New Roman"/>
          <w:color w:val="000000" w:themeColor="text1"/>
          <w:szCs w:val="32"/>
        </w:rPr>
        <w:t>主要绩效</w:t>
      </w:r>
      <w:r>
        <w:rPr>
          <w:rFonts w:hint="eastAsia" w:ascii="Times New Roman" w:hAnsi="Times New Roman" w:eastAsia="仿宋_GB2312" w:cs="Times New Roman"/>
          <w:color w:val="000000" w:themeColor="text1"/>
          <w:szCs w:val="32"/>
        </w:rPr>
        <w:t>分析</w:t>
      </w:r>
      <w:r>
        <w:rPr>
          <w:rFonts w:ascii="Times New Roman" w:hAnsi="Times New Roman" w:eastAsia="仿宋_GB2312" w:cs="Times New Roman"/>
          <w:color w:val="000000" w:themeColor="text1"/>
          <w:szCs w:val="32"/>
        </w:rPr>
        <w:t>。</w:t>
      </w:r>
    </w:p>
    <w:p w14:paraId="643752C4">
      <w:pPr>
        <w:widowControl/>
        <w:shd w:val="clear" w:color="auto" w:fill="FFFFFF"/>
        <w:spacing w:before="100" w:beforeAutospacing="1" w:after="300" w:line="525" w:lineRule="atLeast"/>
        <w:ind w:firstLine="465"/>
        <w:jc w:val="left"/>
        <w:rPr>
          <w:rFonts w:ascii="仿宋_GB2312" w:hAnsi="微软雅黑" w:eastAsia="仿宋_GB2312" w:cs="宋体"/>
          <w:color w:val="333333"/>
          <w:kern w:val="0"/>
          <w:szCs w:val="21"/>
        </w:rPr>
      </w:pPr>
      <w:r>
        <w:rPr>
          <w:rFonts w:hint="eastAsia" w:ascii="仿宋_GB2312" w:hAnsi="微软雅黑" w:eastAsia="仿宋_GB2312" w:cs="宋体"/>
          <w:b/>
          <w:bCs/>
          <w:color w:val="434343"/>
          <w:kern w:val="0"/>
          <w:szCs w:val="21"/>
        </w:rPr>
        <w:t>预算配置方面：</w:t>
      </w:r>
    </w:p>
    <w:p w14:paraId="657219E6">
      <w:pPr>
        <w:widowControl/>
        <w:shd w:val="clear" w:color="auto" w:fill="FFFFFF"/>
        <w:spacing w:before="100" w:beforeAutospacing="1" w:after="300" w:line="525" w:lineRule="atLeast"/>
        <w:jc w:val="left"/>
        <w:rPr>
          <w:rFonts w:ascii="仿宋_GB2312" w:hAnsi="微软雅黑" w:eastAsia="仿宋_GB2312" w:cs="宋体"/>
          <w:color w:val="333333"/>
          <w:kern w:val="0"/>
          <w:szCs w:val="21"/>
        </w:rPr>
      </w:pPr>
      <w:r>
        <w:rPr>
          <w:rFonts w:hint="eastAsia" w:ascii="仿宋_GB2312" w:hAnsi="微软雅黑" w:eastAsia="仿宋_GB2312" w:cs="宋体"/>
          <w:color w:val="434343"/>
          <w:kern w:val="0"/>
          <w:szCs w:val="21"/>
        </w:rPr>
        <w:t>　　1、在职人员控制率，</w:t>
      </w:r>
      <w:r>
        <w:rPr>
          <w:rFonts w:hint="eastAsia" w:ascii="仿宋_GB2312" w:hAnsi="微软雅黑" w:eastAsia="仿宋_GB2312" w:cs="宋体"/>
          <w:color w:val="434343"/>
          <w:kern w:val="0"/>
          <w:szCs w:val="21"/>
          <w:lang w:eastAsia="zh-CN"/>
        </w:rPr>
        <w:t>2024</w:t>
      </w:r>
      <w:r>
        <w:rPr>
          <w:rFonts w:hint="eastAsia" w:ascii="仿宋_GB2312" w:hAnsi="微软雅黑" w:eastAsia="仿宋_GB2312" w:cs="宋体"/>
          <w:color w:val="434343"/>
          <w:kern w:val="0"/>
          <w:szCs w:val="21"/>
        </w:rPr>
        <w:t>年融媒体中心编制人数为28人，年末实有在编人数为</w:t>
      </w:r>
      <w:r>
        <w:rPr>
          <w:rFonts w:hint="eastAsia" w:ascii="仿宋_GB2312" w:hAnsi="微软雅黑" w:eastAsia="仿宋_GB2312" w:cs="宋体"/>
          <w:color w:val="434343"/>
          <w:kern w:val="0"/>
          <w:szCs w:val="21"/>
          <w:lang w:val="en-US" w:eastAsia="zh-CN"/>
        </w:rPr>
        <w:t>23</w:t>
      </w:r>
      <w:r>
        <w:rPr>
          <w:rFonts w:hint="eastAsia" w:ascii="仿宋_GB2312" w:hAnsi="微软雅黑" w:eastAsia="仿宋_GB2312" w:cs="宋体"/>
          <w:color w:val="434343"/>
          <w:kern w:val="0"/>
          <w:szCs w:val="21"/>
        </w:rPr>
        <w:t>人，没有超编现象。2、三公经费变动率，</w:t>
      </w:r>
      <w:r>
        <w:rPr>
          <w:rFonts w:hint="eastAsia" w:ascii="仿宋_GB2312" w:hAnsi="微软雅黑" w:eastAsia="仿宋_GB2312" w:cs="宋体"/>
          <w:color w:val="434343"/>
          <w:kern w:val="0"/>
          <w:szCs w:val="21"/>
          <w:lang w:eastAsia="zh-CN"/>
        </w:rPr>
        <w:t>202</w:t>
      </w:r>
      <w:r>
        <w:rPr>
          <w:rFonts w:hint="eastAsia" w:ascii="仿宋_GB2312" w:hAnsi="微软雅黑" w:eastAsia="仿宋_GB2312" w:cs="宋体"/>
          <w:color w:val="434343"/>
          <w:kern w:val="0"/>
          <w:szCs w:val="21"/>
          <w:lang w:val="en-US" w:eastAsia="zh-CN"/>
        </w:rPr>
        <w:t>2</w:t>
      </w:r>
      <w:r>
        <w:rPr>
          <w:rFonts w:hint="eastAsia" w:ascii="仿宋_GB2312" w:hAnsi="微软雅黑" w:eastAsia="仿宋_GB2312" w:cs="宋体"/>
          <w:color w:val="434343"/>
          <w:kern w:val="0"/>
          <w:szCs w:val="21"/>
        </w:rPr>
        <w:t>年三公经费为</w:t>
      </w:r>
      <w:r>
        <w:rPr>
          <w:rFonts w:hint="eastAsia" w:ascii="仿宋_GB2312" w:hAnsi="微软雅黑" w:eastAsia="仿宋_GB2312" w:cs="宋体"/>
          <w:color w:val="434343"/>
          <w:kern w:val="0"/>
          <w:szCs w:val="21"/>
          <w:lang w:val="en-US" w:eastAsia="zh-CN"/>
        </w:rPr>
        <w:t>2.62</w:t>
      </w:r>
      <w:r>
        <w:rPr>
          <w:rFonts w:hint="eastAsia" w:ascii="仿宋_GB2312" w:hAnsi="微软雅黑" w:eastAsia="仿宋_GB2312" w:cs="宋体"/>
          <w:color w:val="434343"/>
          <w:kern w:val="0"/>
          <w:szCs w:val="21"/>
        </w:rPr>
        <w:t>万元，</w:t>
      </w:r>
      <w:r>
        <w:rPr>
          <w:rFonts w:hint="eastAsia" w:ascii="仿宋_GB2312" w:hAnsi="微软雅黑" w:eastAsia="仿宋_GB2312" w:cs="宋体"/>
          <w:color w:val="434343"/>
          <w:kern w:val="0"/>
          <w:szCs w:val="21"/>
          <w:lang w:eastAsia="zh-CN"/>
        </w:rPr>
        <w:t>2024</w:t>
      </w:r>
      <w:r>
        <w:rPr>
          <w:rFonts w:hint="eastAsia" w:ascii="仿宋_GB2312" w:hAnsi="微软雅黑" w:eastAsia="仿宋_GB2312" w:cs="宋体"/>
          <w:color w:val="434343"/>
          <w:kern w:val="0"/>
          <w:szCs w:val="21"/>
        </w:rPr>
        <w:t>年三公经费为</w:t>
      </w:r>
      <w:r>
        <w:rPr>
          <w:rFonts w:hint="eastAsia" w:ascii="仿宋_GB2312" w:hAnsi="微软雅黑" w:eastAsia="仿宋_GB2312" w:cs="宋体"/>
          <w:color w:val="434343"/>
          <w:kern w:val="0"/>
          <w:szCs w:val="21"/>
          <w:lang w:val="en-US" w:eastAsia="zh-CN"/>
        </w:rPr>
        <w:t>2.4</w:t>
      </w:r>
      <w:r>
        <w:rPr>
          <w:rFonts w:hint="eastAsia" w:ascii="仿宋_GB2312" w:hAnsi="微软雅黑" w:eastAsia="仿宋_GB2312" w:cs="宋体"/>
          <w:color w:val="434343"/>
          <w:kern w:val="0"/>
          <w:szCs w:val="21"/>
        </w:rPr>
        <w:t>万元</w:t>
      </w:r>
      <w:r>
        <w:rPr>
          <w:rFonts w:hint="eastAsia" w:ascii="仿宋_GB2312" w:hAnsi="微软雅黑" w:eastAsia="仿宋_GB2312" w:cs="宋体"/>
          <w:color w:val="434343"/>
          <w:kern w:val="0"/>
          <w:szCs w:val="21"/>
          <w:lang w:eastAsia="zh-CN"/>
        </w:rPr>
        <w:t>，减少的原因是公务用车维修费减少</w:t>
      </w:r>
      <w:r>
        <w:rPr>
          <w:rFonts w:hint="eastAsia" w:ascii="仿宋_GB2312" w:hAnsi="微软雅黑" w:eastAsia="仿宋_GB2312" w:cs="宋体"/>
          <w:color w:val="434343"/>
          <w:kern w:val="0"/>
          <w:szCs w:val="21"/>
        </w:rPr>
        <w:t>。严格控制“三公经费”不逐年增加。</w:t>
      </w:r>
    </w:p>
    <w:p w14:paraId="2D0B7EBC">
      <w:pPr>
        <w:widowControl/>
        <w:shd w:val="clear" w:color="auto" w:fill="FFFFFF"/>
        <w:spacing w:before="100" w:beforeAutospacing="1" w:after="300" w:line="540" w:lineRule="atLeast"/>
        <w:ind w:firstLine="465"/>
        <w:jc w:val="left"/>
        <w:rPr>
          <w:rFonts w:ascii="仿宋_GB2312" w:hAnsi="微软雅黑" w:eastAsia="仿宋_GB2312" w:cs="宋体"/>
          <w:color w:val="333333"/>
          <w:kern w:val="0"/>
          <w:szCs w:val="21"/>
        </w:rPr>
      </w:pPr>
      <w:r>
        <w:rPr>
          <w:rFonts w:hint="eastAsia" w:ascii="仿宋_GB2312" w:hAnsi="微软雅黑" w:eastAsia="仿宋_GB2312" w:cs="宋体"/>
          <w:b/>
          <w:bCs/>
          <w:color w:val="434343"/>
          <w:kern w:val="0"/>
          <w:szCs w:val="21"/>
        </w:rPr>
        <w:t>预算执行情况</w:t>
      </w:r>
      <w:r>
        <w:rPr>
          <w:rFonts w:hint="eastAsia" w:ascii="仿宋_GB2312" w:hAnsi="微软雅黑" w:eastAsia="仿宋_GB2312" w:cs="宋体"/>
          <w:color w:val="434343"/>
          <w:kern w:val="0"/>
          <w:szCs w:val="21"/>
        </w:rPr>
        <w:t>：（1）</w:t>
      </w:r>
      <w:r>
        <w:rPr>
          <w:rFonts w:hint="eastAsia" w:ascii="仿宋_GB2312" w:hAnsi="微软雅黑" w:eastAsia="仿宋_GB2312" w:cs="宋体"/>
          <w:color w:val="333333"/>
          <w:kern w:val="0"/>
          <w:szCs w:val="21"/>
        </w:rPr>
        <w:t>工资、津补贴等其他经费已按政策发放到位。</w:t>
      </w:r>
      <w:r>
        <w:rPr>
          <w:rFonts w:hint="eastAsia" w:ascii="仿宋_GB2312" w:hAnsi="微软雅黑" w:eastAsia="仿宋_GB2312" w:cs="宋体"/>
          <w:color w:val="000000"/>
          <w:kern w:val="0"/>
          <w:szCs w:val="21"/>
        </w:rPr>
        <w:t>（2）融媒体中心严格按要求，切实加强部门预算支出执行管理工作，努力提高财政资金使用绩效。6月末融媒体中心部门预算执行进度达到60.46%，9月末达到76.19%，11月末达到85.17%，全年执行进度为98%。未执行完成的原因:部分项目招标完成并正在实施，按合同约定需跨年度支付设备尾款及质保金。</w:t>
      </w:r>
    </w:p>
    <w:p w14:paraId="305B9CB3">
      <w:pPr>
        <w:widowControl/>
        <w:shd w:val="clear" w:color="auto" w:fill="FFFFFF"/>
        <w:spacing w:before="100" w:beforeAutospacing="1" w:after="300" w:line="540" w:lineRule="atLeast"/>
        <w:ind w:firstLine="465"/>
        <w:jc w:val="left"/>
        <w:rPr>
          <w:rFonts w:ascii="仿宋_GB2312" w:hAnsi="微软雅黑" w:eastAsia="仿宋_GB2312" w:cs="宋体"/>
          <w:color w:val="333333"/>
          <w:kern w:val="0"/>
          <w:szCs w:val="21"/>
        </w:rPr>
      </w:pPr>
      <w:r>
        <w:rPr>
          <w:rFonts w:hint="eastAsia" w:ascii="仿宋_GB2312" w:hAnsi="微软雅黑" w:eastAsia="仿宋_GB2312" w:cs="宋体"/>
          <w:b/>
          <w:bCs/>
          <w:color w:val="434343"/>
          <w:kern w:val="0"/>
          <w:szCs w:val="21"/>
        </w:rPr>
        <w:t>预算管理情况</w:t>
      </w:r>
      <w:r>
        <w:rPr>
          <w:rFonts w:hint="eastAsia" w:ascii="仿宋_GB2312" w:hAnsi="微软雅黑" w:eastAsia="仿宋_GB2312" w:cs="宋体"/>
          <w:color w:val="000000"/>
          <w:kern w:val="0"/>
          <w:szCs w:val="21"/>
        </w:rPr>
        <w:t>:(1)</w:t>
      </w:r>
      <w:r>
        <w:rPr>
          <w:rFonts w:hint="eastAsia" w:ascii="仿宋_GB2312" w:hAnsi="微软雅黑" w:eastAsia="仿宋_GB2312" w:cs="宋体"/>
          <w:color w:val="434343"/>
          <w:kern w:val="0"/>
          <w:szCs w:val="21"/>
          <w:lang w:eastAsia="zh-CN"/>
        </w:rPr>
        <w:t>2024</w:t>
      </w:r>
      <w:r>
        <w:rPr>
          <w:rFonts w:hint="eastAsia" w:ascii="仿宋_GB2312" w:hAnsi="微软雅黑" w:eastAsia="仿宋_GB2312" w:cs="宋体"/>
          <w:color w:val="434343"/>
          <w:kern w:val="0"/>
          <w:szCs w:val="21"/>
        </w:rPr>
        <w:t>年融媒体中心制定了财务管理制度和会计核算等管理制度，制定财务职责，制定了厉行节约制度，管理制度依照相关国家的法律、法规而制定的，具有合法性、合规性、完整性；相关管理制度得到认真执行。（2）资金使用合规性，一切支出按照国家财经法规和财务管理制度规定以及专项资金管理办法的规定办理，财务人员认真审核算每笔业务的合法性、真实性、手续完整性和资料的准确性。健全会计核算，按照国家统一会计制度的规定设置会计账簿，依照规定进行会计处理，保证会计指标的口径一致。资金拨付有完善的审批程序和手续，支出符部门预算批复的用途，资金使用无截留、挤占挪用、虚列支出等情况。（3）预决算信息公开性，按照规定的内容、时间公开预算信息，做到基础数据信息和会计资料真实、完整、准确。</w:t>
      </w:r>
    </w:p>
    <w:p w14:paraId="2613DE18">
      <w:pPr>
        <w:widowControl/>
        <w:shd w:val="clear" w:color="auto" w:fill="FFFFFF"/>
        <w:spacing w:before="100" w:beforeAutospacing="1" w:after="300" w:line="540" w:lineRule="atLeast"/>
        <w:ind w:firstLine="465"/>
        <w:jc w:val="left"/>
        <w:rPr>
          <w:rFonts w:ascii="仿宋_GB2312" w:hAnsi="微软雅黑" w:eastAsia="仿宋_GB2312" w:cs="宋体"/>
          <w:color w:val="333333"/>
          <w:kern w:val="0"/>
          <w:szCs w:val="21"/>
        </w:rPr>
      </w:pPr>
      <w:r>
        <w:rPr>
          <w:rFonts w:hint="eastAsia" w:ascii="仿宋_GB2312" w:hAnsi="微软雅黑" w:eastAsia="仿宋_GB2312" w:cs="宋体"/>
          <w:b/>
          <w:bCs/>
          <w:color w:val="434343"/>
          <w:kern w:val="0"/>
          <w:szCs w:val="21"/>
        </w:rPr>
        <w:t>职责履行</w:t>
      </w:r>
      <w:r>
        <w:rPr>
          <w:rFonts w:hint="eastAsia" w:ascii="仿宋_GB2312" w:hAnsi="微软雅黑" w:eastAsia="仿宋_GB2312" w:cs="宋体"/>
          <w:color w:val="434343"/>
          <w:kern w:val="0"/>
          <w:szCs w:val="21"/>
        </w:rPr>
        <w:t>：各项工作实际完成情况，我中心坚持正确的舆论导向，努力提高新闻宣传质量，继续巩固、加强节目形态和样式的创新，加强节目策划，加大对社会焦点、热点、难点问题的正面引导，开展积极有效的舆论监督，做大做强做优广播电视节目。努力挖掘和弘扬我县丰厚的地域文、着力开办一些具有鲜明特色，内容贴近群贴近实际、贴近生活，群众喜闻乐见的优秀广播电视文艺作品，全面提升广播电视节目的收听收视率和社会影响力。</w:t>
      </w:r>
    </w:p>
    <w:p w14:paraId="67BC13D3">
      <w:pPr>
        <w:keepNext w:val="0"/>
        <w:keepLines w:val="0"/>
        <w:pageBreakBefore w:val="0"/>
        <w:widowControl w:val="0"/>
        <w:kinsoku/>
        <w:wordWrap/>
        <w:overflowPunct/>
        <w:topLinePunct w:val="0"/>
        <w:autoSpaceDE/>
        <w:autoSpaceDN/>
        <w:bidi w:val="0"/>
        <w:adjustRightInd/>
        <w:snapToGrid/>
        <w:spacing w:line="560" w:lineRule="exact"/>
        <w:ind w:firstLine="422" w:firstLineChars="200"/>
        <w:jc w:val="both"/>
        <w:textAlignment w:val="auto"/>
        <w:rPr>
          <w:rFonts w:hint="eastAsia" w:ascii="仿宋_GB2312" w:hAnsi="黑体" w:eastAsia="仿宋_GB2312" w:cs="仿宋"/>
          <w:color w:val="000000"/>
          <w:szCs w:val="21"/>
        </w:rPr>
      </w:pPr>
      <w:r>
        <w:rPr>
          <w:rFonts w:hint="eastAsia" w:ascii="仿宋_GB2312" w:hAnsi="微软雅黑" w:eastAsia="仿宋_GB2312" w:cs="宋体"/>
          <w:b/>
          <w:bCs/>
          <w:color w:val="434343"/>
          <w:kern w:val="0"/>
          <w:szCs w:val="21"/>
        </w:rPr>
        <w:t>履职效益</w:t>
      </w:r>
      <w:r>
        <w:rPr>
          <w:rFonts w:hint="eastAsia" w:ascii="仿宋_GB2312" w:hAnsi="微软雅黑" w:eastAsia="仿宋_GB2312" w:cs="宋体"/>
          <w:color w:val="434343"/>
          <w:kern w:val="0"/>
          <w:szCs w:val="21"/>
        </w:rPr>
        <w:t>：经济效益 ，社会效益：</w:t>
      </w:r>
      <w:r>
        <w:rPr>
          <w:rFonts w:hint="eastAsia" w:ascii="仿宋_GB2312" w:hAnsi="黑体" w:eastAsia="仿宋_GB2312" w:cs="仿宋"/>
          <w:color w:val="000000"/>
          <w:szCs w:val="21"/>
          <w:lang w:eastAsia="zh-CN"/>
        </w:rPr>
        <w:t>2024</w:t>
      </w:r>
      <w:r>
        <w:rPr>
          <w:rFonts w:hint="eastAsia" w:ascii="仿宋_GB2312" w:hAnsi="黑体" w:eastAsia="仿宋_GB2312" w:cs="仿宋"/>
          <w:color w:val="000000"/>
          <w:szCs w:val="21"/>
        </w:rPr>
        <w:t>年，县融媒体中心切实转变作风，主动担当作为，认真履职尽责，全力抓好新闻宣传服务。在《寻甸新闻》的编发上创新方式强服务，加强与县级其他单位和各乡镇（街道）的对接工作。对时政新闻以外的宣传报道尽可能地通过通讯员采集，减少文字内容的描述，更多通过精美的图片和小视频吸引观众眼球，有效提高媒体关注度和点击率。同时，加强与各部门间的宣传配合，主动与其他单位、企业强化联系，寻找优质宣传素材，积极主动行使宣传职能。主动联系并深入基层一线开展报道工作，采写基层鲜活新闻、反映群众呼声、打通新闻宣传服务群众“最后一公里”，提高宣传工作者的“四力”践行力。在今年的宣传报道中，主要围绕乡村振兴、产业发展、文化旅游、“创文”成果、“三变改革”等县委、县政府中心工作，在电视端《寻甸新闻》中全面展示我县重点工作推进、经验成效、特色亮点。</w:t>
      </w:r>
      <w:r>
        <w:rPr>
          <w:rFonts w:hint="eastAsia" w:ascii="仿宋_GB2312" w:hAnsi="黑体" w:eastAsia="仿宋_GB2312" w:cs="仿宋"/>
          <w:color w:val="000000"/>
          <w:szCs w:val="21"/>
          <w:lang w:val="en-US" w:eastAsia="zh-CN"/>
        </w:rPr>
        <w:t>截至10月25日，共播出新闻237组、采写新闻稿件1196篇，在每月最后一周播出自制栏目《走近寻甸》、《人间难得几回寻》、《山水寻甸》等自制短视频，通过形式多样的节目讲好寻甸故事；在保证数量的同时，更加注重新闻报道的质量，不断提高新闻的时效性、准确性和深度。在平时的工作中，除保障正常的时政新闻报道外，还把关注民生、反映民意作为新闻报道的出发点和落脚点，积极倾听群众呼声，反映群众诉求。在教育、医疗、就业、产业发展等民生领域，精心策划并推出一系列新闻主题报道，如《争当排头兵 奋进新征程 寻甸产业园区一批项目陆续投产》、《又是一年丰收季 金源乡稻谷成熟 开镰收割》、《东西部协作见真效结硕果 深化帮扶协作 寻甸乡村振兴添助力》等，深入挖掘了我县在经济发展、社会民生、文化建设等方面的成就和亮点，为推动全县各项工作的开展发挥了积极的舆论引导作用。2024年，县融媒体中心牢固树立围绕中心、服务大局的理念，充分利用视频号、抖音、快手、微信、微博、寻甸融媒app等新媒体平台，为全县经济社会发展各项工作提供有力支持。通过平台影响力，策划报道发展中的典型经验和社会各界正能量。截至10月23日，共发布短视频2439个，其中，900万+作品《真正的“娃娃鱼”#童年的快乐#大鱼#记录假期好时光》1个，策划推出的《昆明的阿勒泰等你来寻》系列作品全网浏览量超700万，寻甸的阿勒泰火爆出圈，收获大量流量和粉丝好评。100万+作品《寻甸县2024年下半年98名入伍新兵带着家乡亲人的殷切希望，踏上征途、奔赴部队，投身强军兴军伟大事业》1个，50万+作品8个，10万+作品约89个。在微信公众号发布3019条信息，粉丝量年增长约2万人左右，阅读量1万+的6条。2023年11月至2024年10月共收集信息3600余条，向上级媒体推送1500余条，上级媒体刊发信息2800余条，其中国家级媒体刊发300余条，省级媒体刊发1500余条，市级媒体刊发1000余条。同时，2024年寻甸火把节、花山节、丰收节等活动在视频号直播3场，腾讯会议直播寻甸教育高质量发展大会等重大活动、重大会议6场次。2024年，县融媒体中心已完成宣传合作10余项，其中包括与寻甸农商行、凤龙湾童话镇、永腾江山阅、拜逗单车、寻甸县智慧停车项目部、寻甸五洲医院等单位的深度合作。这些合作项目不仅增强了县融媒体中心自身的造血能力，还为中心带来了显著的效益和正面、积极的影响。在电视、微信、抖音、快手等各平台实现了广告收入共计20余万元，为融媒体中心的运营提供了有力的资金保障。同时，中心按照县委、县政府的工作部署，对县委县政府重点项目、重点工作做好协调对接和宣传服务保障工作。积极协调微信、微博、抖音、快手、app等平台，及时做好宣传报道各行各业典型人物、感人瞬间、经验教训，圆满完成了交办的宣传片拍摄制作任务。协调拍摄了东西部协作成效片《小心愿》1部，经济发展六条赛道竞赛成效片2部，以及《寻才兴语》专栏3期、政协面对面2期等，同时制作了其他各类宣传片10余个。这些宣传作品不仅展示了寻甸县的发展成果和亮点，还增强了人民群众对家乡的认同感和自豪感，为地方经济社会发展营造了良好的舆论氛围。</w:t>
      </w:r>
    </w:p>
    <w:p w14:paraId="250CD982">
      <w:pPr>
        <w:widowControl/>
        <w:shd w:val="clear" w:color="auto" w:fill="FFFFFF"/>
        <w:spacing w:before="100" w:beforeAutospacing="1" w:after="300" w:line="540" w:lineRule="atLeast"/>
        <w:ind w:firstLine="465"/>
        <w:jc w:val="left"/>
        <w:rPr>
          <w:rFonts w:ascii="仿宋_GB2312" w:hAnsi="微软雅黑" w:eastAsia="仿宋_GB2312" w:cs="宋体"/>
          <w:color w:val="333333"/>
          <w:kern w:val="0"/>
          <w:szCs w:val="21"/>
        </w:rPr>
      </w:pPr>
      <w:r>
        <w:rPr>
          <w:rFonts w:hint="eastAsia" w:ascii="仿宋_GB2312" w:hAnsi="微软雅黑" w:eastAsia="仿宋_GB2312" w:cs="宋体"/>
          <w:b/>
          <w:bCs/>
          <w:color w:val="434343"/>
          <w:kern w:val="0"/>
          <w:szCs w:val="21"/>
        </w:rPr>
        <w:t>履职效益</w:t>
      </w:r>
      <w:r>
        <w:rPr>
          <w:rFonts w:hint="eastAsia" w:ascii="仿宋_GB2312" w:hAnsi="微软雅黑" w:eastAsia="仿宋_GB2312" w:cs="宋体"/>
          <w:color w:val="434343"/>
          <w:kern w:val="0"/>
          <w:szCs w:val="21"/>
        </w:rPr>
        <w:t>：（1）行政效能，我中心高度重视行政效能建设工作，深入贯彻落实科学发展观，制定方案，明确工作职责。推进政务公开透明度，方便人民群众；明确相关部门的职责，端正工作态度，转变机关作风。认真履行好各自职责，来人、来电要热情；进一步精简、规范审批程序；加强经费及资产管理；充分利用网络提高办公效率，降低行政运行成本。（2）社会公众或服务对象满意度，</w:t>
      </w:r>
      <w:r>
        <w:rPr>
          <w:rFonts w:hint="eastAsia" w:ascii="仿宋_GB2312" w:hAnsi="微软雅黑" w:eastAsia="仿宋_GB2312" w:cs="宋体"/>
          <w:color w:val="434343"/>
          <w:kern w:val="0"/>
          <w:szCs w:val="21"/>
          <w:lang w:eastAsia="zh-CN"/>
        </w:rPr>
        <w:t>2024</w:t>
      </w:r>
      <w:r>
        <w:rPr>
          <w:rFonts w:hint="eastAsia" w:ascii="仿宋_GB2312" w:hAnsi="微软雅黑" w:eastAsia="仿宋_GB2312" w:cs="宋体"/>
          <w:color w:val="434343"/>
          <w:kern w:val="0"/>
          <w:szCs w:val="21"/>
        </w:rPr>
        <w:t>年我中心在县委县政府正确领导下，通过一年的努力工作，全中心上下全体干部职工切实转变工作作风，办事更积极，态度更热情，使广大群众和服务对象更满意，满意率达到百分之九十以上。</w:t>
      </w:r>
    </w:p>
    <w:p w14:paraId="030FA480">
      <w:pPr>
        <w:topLinePunct/>
        <w:spacing w:line="520" w:lineRule="exact"/>
        <w:ind w:firstLine="420" w:firstLineChars="200"/>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五、主要经验做法</w:t>
      </w:r>
    </w:p>
    <w:p w14:paraId="39CF2EBF">
      <w:pPr>
        <w:widowControl/>
        <w:shd w:val="clear" w:color="auto" w:fill="FFFFFF"/>
        <w:spacing w:before="100" w:beforeAutospacing="1" w:after="300" w:line="540" w:lineRule="atLeast"/>
        <w:ind w:firstLine="465"/>
        <w:jc w:val="left"/>
        <w:rPr>
          <w:rFonts w:hint="eastAsia" w:ascii="仿宋_GB2312" w:hAnsi="微软雅黑" w:eastAsia="仿宋_GB2312" w:cs="宋体"/>
          <w:color w:val="434343"/>
          <w:kern w:val="0"/>
          <w:szCs w:val="21"/>
          <w:lang w:val="en-US" w:eastAsia="zh-CN"/>
        </w:rPr>
      </w:pPr>
      <w:r>
        <w:rPr>
          <w:rFonts w:hint="eastAsia" w:ascii="仿宋_GB2312" w:hAnsi="微软雅黑" w:eastAsia="仿宋_GB2312" w:cs="宋体"/>
          <w:color w:val="434343"/>
          <w:kern w:val="0"/>
          <w:szCs w:val="21"/>
        </w:rPr>
        <w:t>(一)</w:t>
      </w:r>
      <w:r>
        <w:rPr>
          <w:rFonts w:hint="eastAsia" w:ascii="仿宋_GB2312" w:hAnsi="微软雅黑" w:eastAsia="仿宋_GB2312" w:cs="宋体"/>
          <w:color w:val="434343"/>
          <w:kern w:val="0"/>
          <w:szCs w:val="21"/>
          <w:lang w:val="en-US" w:eastAsia="zh-CN"/>
        </w:rPr>
        <w:t>提高技术，狠抓安全播出。2024年，县融媒体中心积极坚持安全发展理念，把防范安全事故作为重中之重，切实加强日常监督，狠抓安全播出管理，通过强化组织保障、制度保障，措施保障、提升业务能力等工作方式，切实做到思想到位、认识到位、部署到位，过去一年圆满完成各节假日及全国两会的重保期安播工作；同时，规范机房管理、值班备勤、安全管理等一系列制度，修改了应急协调、突发事件应急、事故处置等应急预案，完善了安全播出指挥系统，切实把安全播出、网络安全、安全保卫等各个环节工作做严、做细、做深、做实，形成了“全面动员、全员参与、上下联动、齐抓共管”的责任体系，实现融媒体中心安全播出无事故。设备器材维护和各项保障工作圆满完成。</w:t>
      </w:r>
    </w:p>
    <w:p w14:paraId="16431E7B">
      <w:pPr>
        <w:widowControl/>
        <w:shd w:val="clear" w:color="auto" w:fill="FFFFFF"/>
        <w:spacing w:before="100" w:beforeAutospacing="1" w:after="300" w:line="540" w:lineRule="atLeast"/>
        <w:ind w:firstLine="465"/>
        <w:jc w:val="left"/>
        <w:rPr>
          <w:rFonts w:hint="eastAsia" w:ascii="仿宋_GB2312" w:hAnsi="微软雅黑" w:eastAsia="仿宋_GB2312" w:cs="宋体"/>
          <w:color w:val="434343"/>
          <w:kern w:val="0"/>
          <w:szCs w:val="21"/>
          <w:lang w:val="en-US" w:eastAsia="zh-CN"/>
        </w:rPr>
      </w:pPr>
      <w:r>
        <w:rPr>
          <w:rFonts w:hint="eastAsia" w:ascii="仿宋_GB2312" w:hAnsi="微软雅黑" w:eastAsia="仿宋_GB2312" w:cs="宋体"/>
          <w:color w:val="434343"/>
          <w:kern w:val="0"/>
          <w:szCs w:val="21"/>
        </w:rPr>
        <w:t>(二)</w:t>
      </w:r>
      <w:r>
        <w:rPr>
          <w:rFonts w:hint="eastAsia" w:ascii="仿宋_GB2312" w:hAnsi="微软雅黑" w:eastAsia="仿宋_GB2312" w:cs="宋体"/>
          <w:color w:val="434343"/>
          <w:kern w:val="0"/>
          <w:szCs w:val="21"/>
          <w:lang w:val="en-US" w:eastAsia="zh-CN"/>
        </w:rPr>
        <w:t>强化思想，服务大局。2024年，县融媒体中心在党的建设、内部管理优化、服务效能提升等多项工作取得了较好成绩。利用每周例会和专题学习会深入贯彻党的方针政策，强化政治理论学习，提升了全体干部职工的政治站位和思想觉悟，为融媒体事业的健康发展奠定了坚实的政治基础。完善各项规章制度，提高团队协作效率和工作执行力。注重服务效能的提升，关注员工需求，营造了和谐、高效、富有活力的办公环境。同时，加强了财务监督，确保财务信息的真实性和准确性，为融媒体事业的健康发展提供了坚实的财务保障。</w:t>
      </w:r>
    </w:p>
    <w:p w14:paraId="3D631203">
      <w:pPr>
        <w:topLinePunct/>
        <w:spacing w:line="520" w:lineRule="exact"/>
        <w:ind w:firstLine="420" w:firstLineChars="200"/>
        <w:rPr>
          <w:rFonts w:ascii="Times New Roman" w:hAnsi="Times New Roman" w:eastAsia="仿宋_GB2312" w:cs="Times New Roman"/>
          <w:color w:val="000000" w:themeColor="text1"/>
          <w:szCs w:val="32"/>
        </w:rPr>
      </w:pPr>
      <w:r>
        <w:rPr>
          <w:rFonts w:ascii="Times New Roman" w:hAnsi="Times New Roman" w:eastAsia="黑体" w:cs="Times New Roman"/>
          <w:color w:val="000000" w:themeColor="text1"/>
          <w:szCs w:val="32"/>
        </w:rPr>
        <w:t>六、存在的问题</w:t>
      </w:r>
    </w:p>
    <w:p w14:paraId="10EB61D2">
      <w:pPr>
        <w:spacing w:line="600" w:lineRule="exact"/>
        <w:ind w:firstLine="420" w:firstLineChars="200"/>
        <w:jc w:val="left"/>
        <w:rPr>
          <w:rFonts w:hint="eastAsia" w:ascii="仿宋_GB2312" w:hAnsi="华文楷体" w:eastAsia="仿宋_GB2312" w:cs="楷体"/>
          <w:bCs/>
          <w:szCs w:val="21"/>
        </w:rPr>
      </w:pPr>
      <w:r>
        <w:rPr>
          <w:rFonts w:hint="eastAsia" w:ascii="仿宋_GB2312" w:hAnsi="华文楷体" w:eastAsia="仿宋_GB2312" w:cs="楷体"/>
          <w:bCs/>
          <w:szCs w:val="21"/>
        </w:rPr>
        <w:t>(一)制度还不够完善。</w:t>
      </w:r>
      <w:r>
        <w:rPr>
          <w:rFonts w:hint="eastAsia" w:ascii="仿宋_GB2312" w:hAnsi="华文楷体" w:eastAsia="仿宋_GB2312" w:cs="楷体"/>
          <w:bCs/>
          <w:szCs w:val="21"/>
          <w:lang w:eastAsia="zh-CN"/>
        </w:rPr>
        <w:t>多年</w:t>
      </w:r>
      <w:r>
        <w:rPr>
          <w:rFonts w:hint="eastAsia" w:ascii="仿宋_GB2312" w:hAnsi="华文楷体" w:eastAsia="仿宋_GB2312" w:cs="楷体"/>
          <w:bCs/>
          <w:szCs w:val="21"/>
        </w:rPr>
        <w:t>来，融媒体中心管理工作朝着制度化、规范化、科学化方向做了很多的努力，但还是存在制度不全面的问题，目前没有细致的制定出针对每个环节步骤方面的规章制度，单位管理制度不健全，经验管理仍然占有比重，甚至有时居于主导地位，“无法可依”和“有法可依”两种现象同时并存管理。同时在制度制定的程序不尽合理，整个制度建设缺乏规划性，制度的整体性不强，整体效益不高。</w:t>
      </w:r>
    </w:p>
    <w:p w14:paraId="2437160E">
      <w:pPr>
        <w:spacing w:line="600" w:lineRule="exact"/>
        <w:ind w:firstLine="420" w:firstLineChars="200"/>
        <w:jc w:val="left"/>
        <w:rPr>
          <w:rFonts w:hint="eastAsia" w:ascii="仿宋_GB2312" w:hAnsi="华文楷体" w:eastAsia="仿宋_GB2312" w:cs="楷体"/>
          <w:bCs/>
          <w:szCs w:val="21"/>
        </w:rPr>
      </w:pPr>
      <w:r>
        <w:rPr>
          <w:rFonts w:hint="eastAsia" w:ascii="仿宋_GB2312" w:hAnsi="华文楷体" w:eastAsia="仿宋_GB2312" w:cs="楷体"/>
          <w:bCs/>
          <w:szCs w:val="21"/>
        </w:rPr>
        <w:t>(二)激励机制</w:t>
      </w:r>
      <w:r>
        <w:rPr>
          <w:rFonts w:hint="eastAsia" w:ascii="仿宋_GB2312" w:hAnsi="华文楷体" w:eastAsia="仿宋_GB2312" w:cs="楷体"/>
          <w:bCs/>
          <w:szCs w:val="21"/>
          <w:lang w:eastAsia="zh-CN"/>
        </w:rPr>
        <w:t>不完善</w:t>
      </w:r>
      <w:r>
        <w:rPr>
          <w:rFonts w:hint="eastAsia" w:ascii="仿宋_GB2312" w:hAnsi="华文楷体" w:eastAsia="仿宋_GB2312" w:cs="楷体"/>
          <w:bCs/>
          <w:szCs w:val="21"/>
        </w:rPr>
        <w:t>，工作积极性不能有效调动。由于受制度和收入的限制，融媒体中心没有建立切实有效的激励机制，没能按照“按劳分配、奖优惩劣”的原则建立起更加灵活的分配机制和奖励机制，这导致很多编制外的同事工作积极性不高，个人的主动性和创造性没有得到充分的发挥。虽然单位也建立了考核机制，但是一方面讲义的资金没有来源，想发也发不了；另外一方面，即使有钱政策不支持发放，这样的机制，不利于激发他们工作的积极性，更不利于激发他们工作的创造性。</w:t>
      </w:r>
    </w:p>
    <w:p w14:paraId="4CCD535C">
      <w:pPr>
        <w:spacing w:line="600" w:lineRule="exact"/>
        <w:ind w:firstLine="420" w:firstLineChars="200"/>
        <w:jc w:val="left"/>
        <w:rPr>
          <w:rFonts w:ascii="仿宋_GB2312" w:hAnsi="仿宋" w:eastAsia="仿宋_GB2312"/>
          <w:color w:val="000000"/>
          <w:sz w:val="32"/>
          <w:szCs w:val="32"/>
        </w:rPr>
      </w:pPr>
      <w:r>
        <w:rPr>
          <w:rFonts w:hint="eastAsia" w:ascii="仿宋_GB2312" w:hAnsi="华文楷体" w:eastAsia="仿宋_GB2312" w:cs="楷体"/>
          <w:bCs/>
          <w:szCs w:val="21"/>
        </w:rPr>
        <w:t>（三）寻甸融媒APP使用效率不高，发挥效用不理想。寻甸融媒APP作为中心真正意义上的“自己的平台”，希望能实现直播、市民爆料、市民生活资讯等多功能，但是受制于技术等因素，还是实现不了与市民的良好互动，很多想做的事还是做不了。所以寻甸融媒APP现在总体下载量不高，影响力不大，发挥作用不明显。</w:t>
      </w:r>
    </w:p>
    <w:p w14:paraId="66E938D9">
      <w:pPr>
        <w:topLinePunct/>
        <w:spacing w:line="520" w:lineRule="exact"/>
        <w:ind w:firstLine="420" w:firstLineChars="200"/>
        <w:rPr>
          <w:rFonts w:ascii="Times New Roman" w:hAnsi="Times New Roman" w:eastAsia="黑体" w:cs="Times New Roman"/>
          <w:color w:val="000000" w:themeColor="text1"/>
          <w:szCs w:val="32"/>
        </w:rPr>
      </w:pPr>
      <w:r>
        <w:rPr>
          <w:rFonts w:ascii="Times New Roman" w:hAnsi="Times New Roman" w:eastAsia="黑体" w:cs="Times New Roman"/>
          <w:color w:val="000000" w:themeColor="text1"/>
          <w:szCs w:val="32"/>
        </w:rPr>
        <w:t>七、改进措施及建议</w:t>
      </w:r>
    </w:p>
    <w:p w14:paraId="6225D9D3">
      <w:pPr>
        <w:topLinePunct/>
        <w:spacing w:line="520" w:lineRule="exact"/>
        <w:ind w:firstLine="420" w:firstLineChars="200"/>
        <w:rPr>
          <w:rFonts w:ascii="Times New Roman" w:hAnsi="Times New Roman" w:eastAsia="仿宋_GB2312" w:cs="Times New Roman"/>
          <w:color w:val="000000" w:themeColor="text1"/>
          <w:szCs w:val="32"/>
        </w:rPr>
      </w:pPr>
      <w:r>
        <w:rPr>
          <w:rFonts w:ascii="Times New Roman" w:hAnsi="Times New Roman" w:eastAsia="仿宋_GB2312" w:cs="Times New Roman"/>
          <w:color w:val="000000" w:themeColor="text1"/>
          <w:szCs w:val="32"/>
        </w:rPr>
        <w:t>建议：加强与各单位的联系和协作，发挥社会参与功能，整合社会资源，优化资源配置，建立监督机制，加大奖惩力度；加强对单位的队伍建设和业务指导，培养项目和部门的绩效管理人员，建立绩效评价的长期机制。</w:t>
      </w:r>
    </w:p>
    <w:p w14:paraId="0DB11147">
      <w:pPr>
        <w:topLinePunct/>
        <w:spacing w:line="520" w:lineRule="exact"/>
        <w:ind w:firstLine="420" w:firstLineChars="200"/>
        <w:rPr>
          <w:rFonts w:ascii="Times New Roman" w:hAnsi="Times New Roman" w:eastAsia="仿宋_GB2312" w:cs="Times New Roman"/>
          <w:color w:val="000000" w:themeColor="text1"/>
          <w:szCs w:val="32"/>
        </w:rPr>
      </w:pPr>
      <w:r>
        <w:rPr>
          <w:rFonts w:hint="eastAsia" w:ascii="Times New Roman" w:hAnsi="Times New Roman" w:eastAsia="仿宋_GB2312" w:cs="Times New Roman"/>
          <w:color w:val="000000" w:themeColor="text1"/>
        </w:rPr>
        <w:t>附件</w:t>
      </w:r>
      <w:r>
        <w:rPr>
          <w:rFonts w:ascii="Times New Roman" w:hAnsi="Times New Roman" w:eastAsia="仿宋_GB2312" w:cs="Times New Roman"/>
          <w:color w:val="000000" w:themeColor="text1"/>
        </w:rPr>
        <w:t>1</w:t>
      </w:r>
    </w:p>
    <w:p w14:paraId="4B31CBDB">
      <w:pPr>
        <w:spacing w:line="520" w:lineRule="exact"/>
        <w:ind w:left="630" w:hanging="630" w:hangingChars="300"/>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成本效益分析报告</w:t>
      </w:r>
    </w:p>
    <w:p w14:paraId="373890FD">
      <w:pPr>
        <w:topLinePunct/>
        <w:spacing w:line="560" w:lineRule="exact"/>
        <w:ind w:firstLine="525" w:firstLineChars="250"/>
        <w:rPr>
          <w:rFonts w:ascii="Times New Roman" w:hAnsi="Times New Roman" w:eastAsia="仿宋" w:cs="Times New Roman"/>
          <w:szCs w:val="32"/>
        </w:rPr>
      </w:pPr>
      <w:r>
        <w:rPr>
          <w:rFonts w:ascii="Times New Roman" w:hAnsi="Times New Roman" w:eastAsia="仿宋" w:cs="Times New Roman"/>
          <w:szCs w:val="32"/>
        </w:rPr>
        <w:t>1.经济性分析</w:t>
      </w:r>
    </w:p>
    <w:p w14:paraId="7D718457">
      <w:pPr>
        <w:topLinePunct/>
        <w:spacing w:line="560" w:lineRule="exact"/>
        <w:ind w:firstLine="525" w:firstLineChars="250"/>
        <w:rPr>
          <w:rFonts w:ascii="Times New Roman" w:hAnsi="Times New Roman" w:eastAsia="仿宋" w:cs="Times New Roman"/>
          <w:szCs w:val="32"/>
        </w:rPr>
      </w:pPr>
      <w:r>
        <w:rPr>
          <w:rFonts w:ascii="Times New Roman" w:hAnsi="Times New Roman" w:eastAsia="仿宋" w:cs="Times New Roman"/>
          <w:szCs w:val="32"/>
        </w:rPr>
        <w:t>寻甸回族彝族自治县</w:t>
      </w:r>
      <w:r>
        <w:rPr>
          <w:rFonts w:hint="eastAsia" w:ascii="Times New Roman" w:hAnsi="Times New Roman" w:eastAsia="仿宋" w:cs="Times New Roman"/>
          <w:szCs w:val="32"/>
        </w:rPr>
        <w:t>融媒体中心</w:t>
      </w:r>
      <w:r>
        <w:rPr>
          <w:rFonts w:ascii="Times New Roman" w:hAnsi="Times New Roman" w:eastAsia="仿宋" w:cs="Times New Roman"/>
          <w:szCs w:val="32"/>
        </w:rPr>
        <w:t>依据实有在编人员并参照上年度目标责任下达的目标任务和</w:t>
      </w:r>
      <w:r>
        <w:rPr>
          <w:rFonts w:hint="eastAsia" w:ascii="Times New Roman" w:hAnsi="Times New Roman" w:eastAsia="仿宋" w:cs="Times New Roman"/>
          <w:szCs w:val="32"/>
          <w:lang w:eastAsia="zh-CN"/>
        </w:rPr>
        <w:t>2024</w:t>
      </w:r>
      <w:r>
        <w:rPr>
          <w:rFonts w:ascii="Times New Roman" w:hAnsi="Times New Roman" w:eastAsia="仿宋" w:cs="Times New Roman"/>
          <w:szCs w:val="32"/>
        </w:rPr>
        <w:t>年度工作计划编制预算，确保预算编制合理。</w:t>
      </w:r>
    </w:p>
    <w:p w14:paraId="379E447F">
      <w:pPr>
        <w:pStyle w:val="3"/>
        <w:spacing w:line="580" w:lineRule="exact"/>
        <w:ind w:firstLine="420" w:firstLineChars="200"/>
        <w:rPr>
          <w:rFonts w:ascii="Times New Roman" w:hAnsi="Times New Roman" w:eastAsia="仿宋_GB2312" w:cs="Times New Roman"/>
          <w:color w:val="000000" w:themeColor="text1"/>
        </w:rPr>
      </w:pPr>
      <w:r>
        <w:rPr>
          <w:rFonts w:hint="eastAsia" w:ascii="Times New Roman" w:hAnsi="Times New Roman" w:eastAsia="仿宋_GB2312" w:cs="Times New Roman"/>
          <w:color w:val="000000" w:themeColor="text1"/>
          <w:lang w:eastAsia="zh-CN"/>
        </w:rPr>
        <w:t>（</w:t>
      </w:r>
      <w:r>
        <w:rPr>
          <w:rFonts w:hint="eastAsia" w:ascii="Times New Roman" w:hAnsi="Times New Roman" w:eastAsia="仿宋_GB2312" w:cs="Times New Roman"/>
          <w:color w:val="000000" w:themeColor="text1"/>
          <w:lang w:val="en-US" w:eastAsia="zh-CN"/>
        </w:rPr>
        <w:t>1</w:t>
      </w:r>
      <w:r>
        <w:rPr>
          <w:rFonts w:hint="eastAsia" w:ascii="Times New Roman" w:hAnsi="Times New Roman" w:eastAsia="仿宋_GB2312" w:cs="Times New Roman"/>
          <w:color w:val="000000" w:themeColor="text1"/>
          <w:lang w:eastAsia="zh-CN"/>
        </w:rPr>
        <w:t>）</w:t>
      </w:r>
      <w:r>
        <w:rPr>
          <w:rFonts w:ascii="Times New Roman" w:hAnsi="Times New Roman" w:eastAsia="仿宋_GB2312" w:cs="Times New Roman"/>
          <w:color w:val="000000" w:themeColor="text1"/>
        </w:rPr>
        <w:t>收入情况：</w:t>
      </w:r>
    </w:p>
    <w:p w14:paraId="01F3B007">
      <w:pPr>
        <w:spacing w:line="580" w:lineRule="exact"/>
        <w:ind w:firstLine="420" w:firstLineChars="200"/>
        <w:rPr>
          <w:rFonts w:ascii="Times New Roman" w:hAnsi="Times New Roman" w:eastAsia="仿宋_GB2312" w:cs="Times New Roman"/>
          <w:color w:val="000000" w:themeColor="text1"/>
          <w:szCs w:val="21"/>
        </w:rPr>
      </w:pPr>
      <w:r>
        <w:rPr>
          <w:rFonts w:hint="eastAsia" w:ascii="Times New Roman" w:hAnsi="Times New Roman" w:eastAsia="仿宋_GB2312" w:cs="Times New Roman"/>
          <w:color w:val="000000" w:themeColor="text1"/>
          <w:szCs w:val="21"/>
          <w:lang w:eastAsia="zh-CN"/>
        </w:rPr>
        <w:t>2024</w:t>
      </w:r>
      <w:r>
        <w:rPr>
          <w:rFonts w:ascii="Times New Roman" w:hAnsi="Times New Roman" w:eastAsia="仿宋_GB2312" w:cs="Times New Roman"/>
          <w:color w:val="000000" w:themeColor="text1"/>
          <w:szCs w:val="21"/>
        </w:rPr>
        <w:t>年共收入</w:t>
      </w:r>
      <w:r>
        <w:rPr>
          <w:rFonts w:hint="eastAsia" w:ascii="Times New Roman" w:hAnsi="Times New Roman" w:eastAsia="仿宋_GB2312" w:cs="Times New Roman"/>
          <w:color w:val="000000" w:themeColor="text1"/>
          <w:kern w:val="0"/>
          <w:szCs w:val="21"/>
          <w:lang w:val="en-US" w:eastAsia="zh-CN"/>
        </w:rPr>
        <w:t>532.44</w:t>
      </w:r>
      <w:r>
        <w:rPr>
          <w:rFonts w:ascii="Times New Roman" w:hAnsi="Times New Roman" w:eastAsia="仿宋_GB2312" w:cs="Times New Roman"/>
          <w:color w:val="000000" w:themeColor="text1"/>
          <w:szCs w:val="21"/>
        </w:rPr>
        <w:t>万元。其中：县财政拨款</w:t>
      </w:r>
      <w:r>
        <w:rPr>
          <w:rFonts w:hint="eastAsia" w:ascii="Times New Roman" w:hAnsi="Times New Roman" w:eastAsia="仿宋_GB2312" w:cs="Times New Roman"/>
          <w:color w:val="000000" w:themeColor="text1"/>
          <w:kern w:val="0"/>
          <w:szCs w:val="21"/>
          <w:lang w:val="en-US" w:eastAsia="zh-CN"/>
        </w:rPr>
        <w:t>522.08</w:t>
      </w:r>
      <w:r>
        <w:rPr>
          <w:rFonts w:ascii="Times New Roman" w:hAnsi="Times New Roman" w:eastAsia="仿宋_GB2312" w:cs="Times New Roman"/>
          <w:color w:val="000000" w:themeColor="text1"/>
          <w:szCs w:val="21"/>
        </w:rPr>
        <w:t>万元，其他收入</w:t>
      </w:r>
      <w:r>
        <w:rPr>
          <w:rFonts w:hint="eastAsia" w:ascii="Times New Roman" w:hAnsi="Times New Roman" w:eastAsia="仿宋_GB2312" w:cs="Times New Roman"/>
          <w:color w:val="000000" w:themeColor="text1"/>
          <w:kern w:val="0"/>
          <w:szCs w:val="21"/>
          <w:lang w:val="en-US" w:eastAsia="zh-CN"/>
        </w:rPr>
        <w:t>10.36</w:t>
      </w:r>
      <w:r>
        <w:rPr>
          <w:rFonts w:ascii="Times New Roman" w:hAnsi="Times New Roman" w:eastAsia="仿宋_GB2312" w:cs="Times New Roman"/>
          <w:color w:val="000000" w:themeColor="text1"/>
          <w:szCs w:val="21"/>
        </w:rPr>
        <w:t>万元。</w:t>
      </w:r>
    </w:p>
    <w:p w14:paraId="3E162B83">
      <w:pPr>
        <w:spacing w:line="580" w:lineRule="exact"/>
        <w:ind w:firstLine="420" w:firstLineChars="200"/>
        <w:rPr>
          <w:rFonts w:ascii="Times New Roman" w:hAnsi="Times New Roman" w:eastAsia="仿宋_GB2312" w:cs="Times New Roman"/>
          <w:color w:val="000000" w:themeColor="text1"/>
          <w:szCs w:val="21"/>
        </w:rPr>
      </w:pPr>
      <w:r>
        <w:rPr>
          <w:rFonts w:hint="eastAsia" w:ascii="Times New Roman" w:hAnsi="Times New Roman" w:eastAsia="仿宋_GB2312" w:cs="Times New Roman"/>
          <w:color w:val="000000" w:themeColor="text1"/>
          <w:szCs w:val="21"/>
          <w:lang w:eastAsia="zh-CN"/>
        </w:rPr>
        <w:t>（</w:t>
      </w:r>
      <w:r>
        <w:rPr>
          <w:rFonts w:hint="eastAsia" w:ascii="Times New Roman" w:hAnsi="Times New Roman" w:eastAsia="仿宋_GB2312" w:cs="Times New Roman"/>
          <w:color w:val="000000" w:themeColor="text1"/>
          <w:szCs w:val="21"/>
          <w:lang w:val="en-US" w:eastAsia="zh-CN"/>
        </w:rPr>
        <w:t>2</w:t>
      </w:r>
      <w:r>
        <w:rPr>
          <w:rFonts w:hint="eastAsia" w:ascii="Times New Roman" w:hAnsi="Times New Roman" w:eastAsia="仿宋_GB2312" w:cs="Times New Roman"/>
          <w:color w:val="000000" w:themeColor="text1"/>
          <w:szCs w:val="21"/>
          <w:lang w:eastAsia="zh-CN"/>
        </w:rPr>
        <w:t>）</w:t>
      </w:r>
      <w:r>
        <w:rPr>
          <w:rFonts w:ascii="Times New Roman" w:hAnsi="Times New Roman" w:eastAsia="仿宋_GB2312" w:cs="Times New Roman"/>
          <w:color w:val="000000" w:themeColor="text1"/>
          <w:szCs w:val="21"/>
        </w:rPr>
        <w:t>支出情况：</w:t>
      </w:r>
    </w:p>
    <w:p w14:paraId="0A67BF9B">
      <w:pPr>
        <w:spacing w:line="580" w:lineRule="exact"/>
        <w:ind w:firstLine="420" w:firstLineChars="200"/>
        <w:rPr>
          <w:rFonts w:ascii="Times New Roman" w:hAnsi="Times New Roman" w:eastAsia="仿宋" w:cs="Times New Roman"/>
          <w:szCs w:val="32"/>
        </w:rPr>
      </w:pPr>
      <w:r>
        <w:rPr>
          <w:rFonts w:hint="eastAsia" w:ascii="Times New Roman" w:hAnsi="Times New Roman" w:eastAsia="仿宋_GB2312" w:cs="Times New Roman"/>
          <w:color w:val="000000" w:themeColor="text1"/>
          <w:szCs w:val="21"/>
          <w:lang w:eastAsia="zh-CN"/>
        </w:rPr>
        <w:t>2024</w:t>
      </w:r>
      <w:r>
        <w:rPr>
          <w:rFonts w:ascii="Times New Roman" w:hAnsi="Times New Roman" w:eastAsia="仿宋_GB2312" w:cs="Times New Roman"/>
          <w:color w:val="000000" w:themeColor="text1"/>
          <w:szCs w:val="21"/>
        </w:rPr>
        <w:t>年共支出</w:t>
      </w:r>
      <w:r>
        <w:rPr>
          <w:rFonts w:hint="eastAsia" w:ascii="Times New Roman" w:hAnsi="Times New Roman" w:eastAsia="仿宋_GB2312" w:cs="Times New Roman"/>
          <w:color w:val="000000" w:themeColor="text1"/>
          <w:kern w:val="0"/>
          <w:szCs w:val="21"/>
          <w:lang w:val="en-US" w:eastAsia="zh-CN"/>
        </w:rPr>
        <w:t>535.08</w:t>
      </w:r>
      <w:r>
        <w:rPr>
          <w:rFonts w:ascii="Times New Roman" w:hAnsi="Times New Roman" w:eastAsia="仿宋_GB2312" w:cs="Times New Roman"/>
          <w:color w:val="000000" w:themeColor="text1"/>
          <w:szCs w:val="21"/>
        </w:rPr>
        <w:t>万元。其中：</w:t>
      </w:r>
      <w:r>
        <w:rPr>
          <w:rFonts w:hint="eastAsia" w:ascii="Times New Roman" w:hAnsi="Times New Roman" w:eastAsia="仿宋_GB2312" w:cs="Times New Roman"/>
          <w:color w:val="000000" w:themeColor="text1"/>
          <w:szCs w:val="21"/>
        </w:rPr>
        <w:t>工资福利</w:t>
      </w:r>
      <w:r>
        <w:rPr>
          <w:rFonts w:ascii="Times New Roman" w:hAnsi="Times New Roman" w:eastAsia="仿宋_GB2312" w:cs="Times New Roman"/>
          <w:color w:val="000000" w:themeColor="text1"/>
          <w:szCs w:val="21"/>
        </w:rPr>
        <w:t>支出</w:t>
      </w:r>
      <w:r>
        <w:rPr>
          <w:rFonts w:hint="eastAsia" w:ascii="Times New Roman" w:hAnsi="Times New Roman" w:eastAsia="仿宋_GB2312" w:cs="Times New Roman"/>
          <w:color w:val="000000" w:themeColor="text1"/>
          <w:szCs w:val="21"/>
          <w:lang w:val="en-US" w:eastAsia="zh-CN"/>
        </w:rPr>
        <w:t>324.13</w:t>
      </w:r>
      <w:r>
        <w:rPr>
          <w:rFonts w:hint="eastAsia" w:ascii="Times New Roman" w:hAnsi="Times New Roman" w:eastAsia="仿宋_GB2312" w:cs="Times New Roman"/>
          <w:color w:val="000000" w:themeColor="text1"/>
          <w:szCs w:val="21"/>
        </w:rPr>
        <w:t>万</w:t>
      </w:r>
      <w:r>
        <w:rPr>
          <w:rFonts w:ascii="Times New Roman" w:hAnsi="Times New Roman" w:eastAsia="仿宋_GB2312" w:cs="Times New Roman"/>
          <w:color w:val="000000" w:themeColor="text1"/>
          <w:szCs w:val="21"/>
        </w:rPr>
        <w:t>元；</w:t>
      </w:r>
      <w:r>
        <w:rPr>
          <w:rFonts w:hint="eastAsia" w:ascii="Times New Roman" w:hAnsi="Times New Roman" w:eastAsia="仿宋_GB2312" w:cs="Times New Roman"/>
          <w:color w:val="000000" w:themeColor="text1"/>
          <w:szCs w:val="21"/>
        </w:rPr>
        <w:t>商品和服务</w:t>
      </w:r>
      <w:r>
        <w:rPr>
          <w:rFonts w:ascii="Times New Roman" w:hAnsi="Times New Roman" w:eastAsia="仿宋_GB2312" w:cs="Times New Roman"/>
          <w:color w:val="000000" w:themeColor="text1"/>
          <w:szCs w:val="21"/>
        </w:rPr>
        <w:t>支出</w:t>
      </w:r>
      <w:r>
        <w:rPr>
          <w:rFonts w:hint="eastAsia" w:ascii="Times New Roman" w:hAnsi="Times New Roman" w:eastAsia="仿宋_GB2312" w:cs="Times New Roman"/>
          <w:color w:val="000000" w:themeColor="text1"/>
          <w:szCs w:val="21"/>
          <w:lang w:val="en-US" w:eastAsia="zh-CN"/>
        </w:rPr>
        <w:t>52.09万元；对个人和家庭的补助78.95万元；资本性支出79.91万元。</w:t>
      </w:r>
    </w:p>
    <w:p w14:paraId="39125AED">
      <w:pPr>
        <w:topLinePunct/>
        <w:spacing w:line="560" w:lineRule="exact"/>
        <w:ind w:firstLine="525" w:firstLineChars="250"/>
        <w:rPr>
          <w:rFonts w:ascii="Times New Roman" w:hAnsi="Times New Roman" w:eastAsia="仿宋" w:cs="Times New Roman"/>
          <w:color w:val="000000" w:themeColor="text1"/>
          <w:szCs w:val="32"/>
        </w:rPr>
      </w:pPr>
      <w:r>
        <w:rPr>
          <w:rFonts w:ascii="Times New Roman" w:hAnsi="Times New Roman" w:eastAsia="仿宋" w:cs="Times New Roman"/>
          <w:color w:val="000000" w:themeColor="text1"/>
          <w:szCs w:val="32"/>
        </w:rPr>
        <w:t>2.效率性分析</w:t>
      </w:r>
    </w:p>
    <w:p w14:paraId="2D11318F">
      <w:pPr>
        <w:topLinePunct/>
        <w:spacing w:line="560" w:lineRule="exact"/>
        <w:ind w:firstLine="525" w:firstLineChars="250"/>
        <w:rPr>
          <w:rFonts w:ascii="Times New Roman" w:hAnsi="Times New Roman" w:eastAsia="仿宋" w:cs="Times New Roman"/>
          <w:color w:val="000000" w:themeColor="text1"/>
          <w:szCs w:val="32"/>
        </w:rPr>
      </w:pPr>
      <w:r>
        <w:rPr>
          <w:rFonts w:ascii="Times New Roman" w:hAnsi="Times New Roman" w:eastAsia="仿宋" w:cs="Times New Roman"/>
          <w:color w:val="000000" w:themeColor="text1"/>
          <w:szCs w:val="32"/>
        </w:rPr>
        <w:t>寻甸回族彝族自治县</w:t>
      </w:r>
      <w:r>
        <w:rPr>
          <w:rFonts w:hint="eastAsia" w:ascii="Times New Roman" w:hAnsi="Times New Roman" w:eastAsia="仿宋" w:cs="Times New Roman"/>
          <w:color w:val="000000" w:themeColor="text1"/>
          <w:szCs w:val="32"/>
        </w:rPr>
        <w:t>融媒体中心</w:t>
      </w:r>
      <w:r>
        <w:rPr>
          <w:rFonts w:ascii="Times New Roman" w:hAnsi="Times New Roman" w:eastAsia="仿宋" w:cs="Times New Roman"/>
          <w:color w:val="000000" w:themeColor="text1"/>
          <w:szCs w:val="32"/>
        </w:rPr>
        <w:t>工资由县财政按月直接支付，商品和服务支出、对个人和家庭的补助按预算进度执行，预算执行率100%。</w:t>
      </w:r>
    </w:p>
    <w:p w14:paraId="7E0D40B9">
      <w:pPr>
        <w:topLinePunct/>
        <w:spacing w:line="560" w:lineRule="exact"/>
        <w:ind w:firstLine="525" w:firstLineChars="250"/>
        <w:rPr>
          <w:rFonts w:ascii="Times New Roman" w:hAnsi="Times New Roman" w:eastAsia="仿宋" w:cs="Times New Roman"/>
          <w:color w:val="000000" w:themeColor="text1"/>
          <w:szCs w:val="32"/>
        </w:rPr>
      </w:pPr>
      <w:r>
        <w:rPr>
          <w:rFonts w:ascii="Times New Roman" w:hAnsi="Times New Roman" w:eastAsia="仿宋" w:cs="Times New Roman"/>
          <w:color w:val="000000" w:themeColor="text1"/>
          <w:szCs w:val="32"/>
        </w:rPr>
        <w:t>3.效益性分析</w:t>
      </w:r>
    </w:p>
    <w:p w14:paraId="065F60DE">
      <w:pPr>
        <w:topLinePunct/>
        <w:spacing w:line="560" w:lineRule="exact"/>
        <w:ind w:firstLine="525" w:firstLineChars="250"/>
        <w:rPr>
          <w:rFonts w:ascii="Times New Roman" w:hAnsi="Times New Roman" w:eastAsia="仿宋" w:cs="Times New Roman"/>
          <w:color w:val="000000" w:themeColor="text1"/>
          <w:szCs w:val="32"/>
        </w:rPr>
      </w:pPr>
      <w:r>
        <w:rPr>
          <w:rFonts w:hint="eastAsia" w:ascii="Times New Roman" w:hAnsi="Times New Roman" w:eastAsia="仿宋" w:cs="Times New Roman"/>
          <w:color w:val="000000" w:themeColor="text1"/>
          <w:szCs w:val="32"/>
          <w:lang w:eastAsia="zh-CN"/>
        </w:rPr>
        <w:t>2024</w:t>
      </w:r>
      <w:r>
        <w:rPr>
          <w:rFonts w:ascii="Times New Roman" w:hAnsi="Times New Roman" w:eastAsia="仿宋" w:cs="Times New Roman"/>
          <w:color w:val="000000" w:themeColor="text1"/>
          <w:szCs w:val="32"/>
        </w:rPr>
        <w:t>年寻甸回族彝族自治县</w:t>
      </w:r>
      <w:r>
        <w:rPr>
          <w:rFonts w:hint="eastAsia" w:ascii="Times New Roman" w:hAnsi="Times New Roman" w:eastAsia="仿宋" w:cs="Times New Roman"/>
          <w:color w:val="000000" w:themeColor="text1"/>
          <w:szCs w:val="32"/>
        </w:rPr>
        <w:t>融媒体中心</w:t>
      </w:r>
      <w:r>
        <w:rPr>
          <w:rFonts w:ascii="Times New Roman" w:hAnsi="Times New Roman" w:eastAsia="仿宋" w:cs="Times New Roman"/>
          <w:color w:val="000000" w:themeColor="text1"/>
          <w:szCs w:val="32"/>
        </w:rPr>
        <w:t>围绕目标责任开展工作，完善措施，狠抓管理，确保各项任务得以顺利完成，并取得了一定的经济效益和</w:t>
      </w:r>
      <w:r>
        <w:rPr>
          <w:rFonts w:hint="eastAsia" w:ascii="Times New Roman" w:hAnsi="Times New Roman" w:eastAsia="仿宋" w:cs="Times New Roman"/>
          <w:color w:val="000000" w:themeColor="text1"/>
          <w:szCs w:val="32"/>
        </w:rPr>
        <w:t>社会</w:t>
      </w:r>
      <w:r>
        <w:rPr>
          <w:rFonts w:ascii="Times New Roman" w:hAnsi="Times New Roman" w:eastAsia="仿宋" w:cs="Times New Roman"/>
          <w:color w:val="000000" w:themeColor="text1"/>
          <w:szCs w:val="32"/>
        </w:rPr>
        <w:t>效益。</w:t>
      </w:r>
    </w:p>
    <w:p w14:paraId="3CC31113">
      <w:pPr>
        <w:topLinePunct/>
        <w:spacing w:line="560" w:lineRule="exact"/>
        <w:ind w:firstLine="525" w:firstLineChars="250"/>
        <w:rPr>
          <w:rFonts w:ascii="Times New Roman" w:hAnsi="Times New Roman" w:eastAsia="仿宋" w:cs="Times New Roman"/>
          <w:color w:val="000000" w:themeColor="text1"/>
          <w:szCs w:val="32"/>
        </w:rPr>
      </w:pPr>
      <w:r>
        <w:rPr>
          <w:rFonts w:ascii="Times New Roman" w:hAnsi="Times New Roman" w:eastAsia="仿宋" w:cs="Times New Roman"/>
          <w:color w:val="000000" w:themeColor="text1"/>
          <w:szCs w:val="32"/>
        </w:rPr>
        <w:t>（1）经济效益</w:t>
      </w:r>
    </w:p>
    <w:p w14:paraId="6DF2DB4B">
      <w:pPr>
        <w:topLinePunct/>
        <w:spacing w:line="520" w:lineRule="exact"/>
        <w:ind w:firstLine="420" w:firstLineChars="200"/>
        <w:rPr>
          <w:rFonts w:ascii="Times New Roman" w:hAnsi="Times New Roman" w:eastAsia="仿宋_GB2312" w:cs="Times New Roman"/>
          <w:color w:val="000000" w:themeColor="text1"/>
          <w:szCs w:val="32"/>
        </w:rPr>
      </w:pPr>
      <w:r>
        <w:rPr>
          <w:rFonts w:ascii="Times New Roman" w:hAnsi="Times New Roman" w:eastAsia="仿宋" w:cs="Times New Roman"/>
          <w:color w:val="000000" w:themeColor="text1"/>
          <w:szCs w:val="32"/>
        </w:rPr>
        <w:t>寻甸回族彝族自治县</w:t>
      </w:r>
      <w:r>
        <w:rPr>
          <w:rFonts w:hint="eastAsia" w:ascii="Times New Roman" w:hAnsi="Times New Roman" w:eastAsia="仿宋" w:cs="Times New Roman"/>
          <w:color w:val="000000" w:themeColor="text1"/>
          <w:szCs w:val="32"/>
        </w:rPr>
        <w:t>融媒体中心</w:t>
      </w:r>
      <w:r>
        <w:rPr>
          <w:rFonts w:hint="eastAsia" w:ascii="仿宋" w:hAnsi="仿宋" w:eastAsia="仿宋" w:cs="Times New Roman"/>
          <w:color w:val="000000" w:themeColor="text1"/>
          <w:szCs w:val="21"/>
        </w:rPr>
        <w:t>及时宣传报道县内政治、经济、文化、社会、生态和党的建设等各方面工作中的新闻信息，</w:t>
      </w:r>
      <w:r>
        <w:rPr>
          <w:rFonts w:hint="eastAsia" w:ascii="Times New Roman" w:hAnsi="Times New Roman" w:eastAsia="仿宋" w:cs="Times New Roman"/>
          <w:color w:val="000000" w:themeColor="text1"/>
          <w:szCs w:val="32"/>
        </w:rPr>
        <w:t>广告</w:t>
      </w:r>
      <w:r>
        <w:rPr>
          <w:rFonts w:ascii="Times New Roman" w:hAnsi="Times New Roman" w:eastAsia="仿宋" w:cs="Times New Roman"/>
          <w:color w:val="000000" w:themeColor="text1"/>
          <w:szCs w:val="32"/>
        </w:rPr>
        <w:t>营业收入稳步增长。</w:t>
      </w:r>
    </w:p>
    <w:p w14:paraId="3F4FB3E6">
      <w:pPr>
        <w:topLinePunct/>
        <w:spacing w:line="560" w:lineRule="exact"/>
        <w:ind w:firstLine="525" w:firstLineChars="250"/>
        <w:rPr>
          <w:rFonts w:ascii="Times New Roman" w:hAnsi="Times New Roman" w:eastAsia="仿宋" w:cs="Times New Roman"/>
          <w:color w:val="000000" w:themeColor="text1"/>
          <w:szCs w:val="32"/>
        </w:rPr>
      </w:pPr>
      <w:r>
        <w:rPr>
          <w:rFonts w:ascii="Times New Roman" w:hAnsi="Times New Roman" w:eastAsia="仿宋" w:cs="Times New Roman"/>
          <w:color w:val="000000" w:themeColor="text1"/>
          <w:szCs w:val="32"/>
        </w:rPr>
        <w:t>（2）社会效益</w:t>
      </w:r>
    </w:p>
    <w:p w14:paraId="25D8E0AD">
      <w:pPr>
        <w:topLinePunct/>
        <w:spacing w:line="560" w:lineRule="exact"/>
        <w:ind w:firstLine="525" w:firstLineChars="250"/>
        <w:rPr>
          <w:rFonts w:hint="eastAsia" w:ascii="仿宋_GB2312" w:eastAsia="仿宋_GB2312"/>
          <w:szCs w:val="21"/>
          <w:lang w:eastAsia="zh-CN"/>
        </w:rPr>
      </w:pPr>
      <w:r>
        <w:rPr>
          <w:rFonts w:hint="eastAsia" w:ascii="仿宋_GB2312" w:hAnsi="仿宋" w:eastAsia="仿宋_GB2312" w:cs="宋体"/>
          <w:color w:val="000000" w:themeColor="text1"/>
          <w:szCs w:val="21"/>
        </w:rPr>
        <w:t>①</w:t>
      </w:r>
      <w:r>
        <w:rPr>
          <w:rFonts w:hint="eastAsia" w:ascii="仿宋_GB2312" w:eastAsia="仿宋_GB2312"/>
          <w:szCs w:val="21"/>
          <w:lang w:eastAsia="zh-CN"/>
        </w:rPr>
        <w:t>在今年的宣传报道中，主要围绕乡村振兴、产业发展、文化旅游、“创文”成果、“三变改革”等县委、县政府中心工作，在电视端《寻甸新闻》中全面展示我县重点工作推进、经验成效、特色亮点。</w:t>
      </w:r>
      <w:r>
        <w:rPr>
          <w:rFonts w:hint="eastAsia" w:ascii="仿宋_GB2312" w:eastAsia="仿宋_GB2312"/>
          <w:szCs w:val="21"/>
          <w:lang w:val="en-US" w:eastAsia="zh-CN"/>
        </w:rPr>
        <w:t>截至10月25日，共播出新闻237组、采写新闻稿件1196篇</w:t>
      </w:r>
      <w:r>
        <w:rPr>
          <w:rFonts w:hint="eastAsia" w:ascii="仿宋_GB2312" w:eastAsia="仿宋_GB2312"/>
          <w:szCs w:val="21"/>
          <w:lang w:eastAsia="zh-CN"/>
        </w:rPr>
        <w:t>；</w:t>
      </w:r>
    </w:p>
    <w:p w14:paraId="30140228">
      <w:pPr>
        <w:topLinePunct/>
        <w:spacing w:line="560" w:lineRule="exact"/>
        <w:ind w:firstLine="525" w:firstLineChars="250"/>
        <w:rPr>
          <w:rFonts w:hint="eastAsia" w:ascii="仿宋_GB2312" w:eastAsia="仿宋_GB2312"/>
          <w:szCs w:val="21"/>
          <w:lang w:val="en-US" w:eastAsia="zh-CN"/>
        </w:rPr>
      </w:pPr>
      <w:r>
        <w:rPr>
          <w:rFonts w:hint="eastAsia" w:ascii="仿宋_GB2312" w:hAnsi="仿宋" w:eastAsia="仿宋_GB2312" w:cs="宋体"/>
          <w:color w:val="000000" w:themeColor="text1"/>
          <w:szCs w:val="21"/>
        </w:rPr>
        <w:t>②</w:t>
      </w:r>
      <w:r>
        <w:rPr>
          <w:rFonts w:hint="eastAsia" w:ascii="仿宋_GB2312" w:hAnsi="仿宋" w:eastAsia="仿宋_GB2312" w:cs="宋体"/>
          <w:color w:val="000000" w:themeColor="text1"/>
          <w:szCs w:val="21"/>
          <w:lang w:eastAsia="zh-CN"/>
        </w:rPr>
        <w:t>2024</w:t>
      </w:r>
      <w:r>
        <w:rPr>
          <w:rFonts w:hint="eastAsia" w:ascii="仿宋_GB2312" w:hAnsi="仿宋" w:eastAsia="仿宋_GB2312" w:cs="宋体"/>
          <w:color w:val="000000" w:themeColor="text1"/>
          <w:szCs w:val="21"/>
        </w:rPr>
        <w:t>年度</w:t>
      </w:r>
      <w:r>
        <w:rPr>
          <w:rFonts w:hint="eastAsia" w:ascii="仿宋_GB2312" w:eastAsia="仿宋_GB2312"/>
          <w:szCs w:val="21"/>
          <w:lang w:eastAsia="zh-CN"/>
        </w:rPr>
        <w:t>，</w:t>
      </w:r>
      <w:r>
        <w:rPr>
          <w:rFonts w:hint="eastAsia" w:ascii="仿宋_GB2312" w:eastAsia="仿宋_GB2312"/>
          <w:szCs w:val="21"/>
          <w:lang w:val="en-US" w:eastAsia="zh-CN"/>
        </w:rPr>
        <w:t>截至10月23日，共发布短视频2439个，其中，900万+作品《真正的“娃娃鱼”#童年的快乐#大鱼#记录假期好时光》1个，策划推出的《昆明的阿勒泰等你来寻》系列作品全网浏览量超700万，寻甸的阿勒泰火爆出圈，收获大量流量和粉丝好评。100万+作品《寻甸县2024年下半年98名入伍新兵带着家乡亲人的殷切希望，踏上征途、奔赴部队，投身强军兴军伟大事业》1个，50万+作品8个，10万+作品约89个。在微信公众号发布3019条信息，粉丝量年增长约2万人左右，阅读量1万+的6条；</w:t>
      </w:r>
    </w:p>
    <w:p w14:paraId="2E517121">
      <w:pPr>
        <w:topLinePunct/>
        <w:spacing w:line="560" w:lineRule="exact"/>
        <w:ind w:firstLine="525" w:firstLineChars="250"/>
        <w:rPr>
          <w:rFonts w:hint="eastAsia" w:ascii="仿宋_GB2312" w:hAnsi="仿宋" w:eastAsia="仿宋_GB2312" w:cs="宋体"/>
          <w:color w:val="000000" w:themeColor="text1"/>
          <w:szCs w:val="21"/>
          <w:lang w:eastAsia="zh-CN"/>
        </w:rPr>
      </w:pPr>
      <w:r>
        <w:rPr>
          <w:rFonts w:hint="eastAsia" w:ascii="仿宋_GB2312" w:hAnsi="仿宋" w:eastAsia="仿宋_GB2312" w:cs="宋体"/>
          <w:color w:val="000000" w:themeColor="text1"/>
          <w:szCs w:val="21"/>
        </w:rPr>
        <w:t>③</w:t>
      </w:r>
      <w:r>
        <w:rPr>
          <w:rFonts w:hint="eastAsia" w:ascii="仿宋_GB2312" w:hAnsi="仿宋" w:eastAsia="仿宋_GB2312" w:cs="宋体"/>
          <w:color w:val="000000" w:themeColor="text1"/>
          <w:szCs w:val="21"/>
          <w:lang w:eastAsia="zh-CN"/>
        </w:rPr>
        <w:t>今年县融媒体中心组织了1次安全播出演练学习，1次网络安全知识学习，2场次直播，完成两次索尼设备全面检修，完成各项设备的调试工作，完成各重保期重保任务，实现高标清同步播出，解决CCTCV1备用信号接入难题，新接入一路电信CCTV1备用信号；</w:t>
      </w:r>
    </w:p>
    <w:p w14:paraId="6EE9BBF0">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ascii="仿宋_GB2312" w:hAnsi="仿宋" w:eastAsia="仿宋_GB2312" w:cs="宋体"/>
          <w:color w:val="000000" w:themeColor="text1"/>
          <w:szCs w:val="21"/>
        </w:rPr>
      </w:pPr>
      <w:r>
        <w:rPr>
          <w:rFonts w:hint="eastAsia" w:ascii="仿宋_GB2312" w:hAnsi="仿宋" w:eastAsia="仿宋_GB2312" w:cs="宋体"/>
          <w:color w:val="000000" w:themeColor="text1"/>
          <w:szCs w:val="21"/>
        </w:rPr>
        <w:t>④</w:t>
      </w:r>
      <w:r>
        <w:rPr>
          <w:rFonts w:hint="eastAsia" w:ascii="仿宋_GB2312" w:hAnsi="仿宋" w:eastAsia="仿宋_GB2312" w:cs="宋体"/>
          <w:color w:val="000000" w:themeColor="text1"/>
          <w:szCs w:val="21"/>
          <w:lang w:val="en-US" w:eastAsia="zh-CN"/>
        </w:rPr>
        <w:t>2024年，县融媒体中心积极坚持安全发展理念，把防范安全事故作为重中之重，切实加强日常监督，狠抓安全播出管理，通过强化组织保障、制度保障，措施保障、提升业务能力等工作方式，切实做到思想到位、认识到位、部署到位，过去一年圆满完成各节假日及全国两会的重保期安播工作；同时，规范机房管理、值班备勤、安全管理等一系列制度，修改了应急协调、突发事件应急、事故处置等应急预案，完善了安全播出指挥系统，切实把安全播出、网络安全、安全保卫等各个环节工作做严、做细、做深、做实，形成了“全面动员、全员参与、上下联动、齐抓共管”的责任体系，实现融媒体中心安全播出无事故。设备器材维护和各项保障工作圆满完成；</w:t>
      </w:r>
    </w:p>
    <w:p w14:paraId="3A1ED5A3">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仿宋_GB2312" w:hAnsi="仿宋" w:eastAsia="仿宋_GB2312" w:cs="宋体"/>
          <w:color w:val="000000" w:themeColor="text1"/>
          <w:szCs w:val="21"/>
          <w:lang w:val="en-US" w:eastAsia="zh-CN"/>
        </w:rPr>
      </w:pPr>
      <w:r>
        <w:rPr>
          <w:rFonts w:hint="eastAsia" w:ascii="仿宋_GB2312" w:hAnsi="仿宋" w:eastAsia="仿宋_GB2312" w:cs="宋体"/>
          <w:color w:val="000000" w:themeColor="text1"/>
          <w:szCs w:val="21"/>
        </w:rPr>
        <w:t>⑤</w:t>
      </w:r>
      <w:r>
        <w:rPr>
          <w:rFonts w:hint="eastAsia" w:ascii="仿宋_GB2312" w:hAnsi="仿宋" w:eastAsia="仿宋_GB2312" w:cs="宋体"/>
          <w:color w:val="000000" w:themeColor="text1"/>
          <w:szCs w:val="21"/>
          <w:lang w:val="en-US" w:eastAsia="zh-CN"/>
        </w:rPr>
        <w:t>县融媒体中心是连接政府、企业和公众的桥梁。2024年，县融媒体中心已完成宣传合作10余项，其中包括与寻甸农商行、凤龙湾童话镇、永腾江山阅、拜逗单车、寻甸县智慧停车项目部、寻甸五洲医院等单位的深度合作。这些合作项目不仅增强了县融媒体中心自身的造血能力，还为中心带来了显著的效益和正面、积极的影响。在电视、微信、抖音、快手等各平台实现了广告收入共计20余万元，为融媒体中心的运营提供了有力的资金保障。同时，中心按照县委、县政府的工作部署，对县委县政府重点项目、重点工作做好协调对接和宣传服务保障工作。积极协调微信、微博、抖音、快手、app等平台，及时做好宣传报道各行各业典型人物、感人瞬间、经验教训，圆满完成了交办的宣传片拍摄制作任务。协调拍摄了东西部协作成效片《小心愿》1部，经济发展六条赛道竞赛成效片2部，以及《寻才兴语》专栏3期、政协面对面2期等，同时制作了其他各类宣传片10余个。这些宣传作品不仅展示了寻甸县的发展成果和亮点，还增强了人民群众对家乡的认同感和自豪感，为地方经济社会发展营造了良好的舆论氛围。</w:t>
      </w:r>
    </w:p>
    <w:p w14:paraId="526CB25A">
      <w:pPr>
        <w:topLinePunct/>
        <w:spacing w:line="560" w:lineRule="exact"/>
        <w:ind w:firstLine="525" w:firstLineChars="250"/>
        <w:rPr>
          <w:rFonts w:ascii="Times New Roman" w:hAnsi="Times New Roman" w:eastAsia="仿宋" w:cs="Times New Roman"/>
          <w:color w:val="000000" w:themeColor="text1"/>
          <w:szCs w:val="32"/>
        </w:rPr>
      </w:pPr>
      <w:r>
        <w:rPr>
          <w:rFonts w:ascii="Times New Roman" w:hAnsi="Times New Roman" w:eastAsia="仿宋" w:cs="Times New Roman"/>
          <w:color w:val="000000" w:themeColor="text1"/>
          <w:szCs w:val="32"/>
        </w:rPr>
        <w:t>（</w:t>
      </w:r>
      <w:r>
        <w:rPr>
          <w:rFonts w:hint="eastAsia" w:ascii="Times New Roman" w:hAnsi="Times New Roman" w:eastAsia="仿宋" w:cs="Times New Roman"/>
          <w:color w:val="000000" w:themeColor="text1"/>
          <w:szCs w:val="32"/>
        </w:rPr>
        <w:t>3</w:t>
      </w:r>
      <w:r>
        <w:rPr>
          <w:rFonts w:ascii="Times New Roman" w:hAnsi="Times New Roman" w:eastAsia="仿宋" w:cs="Times New Roman"/>
          <w:color w:val="000000" w:themeColor="text1"/>
          <w:szCs w:val="32"/>
        </w:rPr>
        <w:t>）社会公众满意度</w:t>
      </w:r>
    </w:p>
    <w:p w14:paraId="438CAB77">
      <w:pPr>
        <w:topLinePunct/>
        <w:spacing w:line="560" w:lineRule="exact"/>
        <w:ind w:firstLine="525" w:firstLineChars="250"/>
        <w:rPr>
          <w:rFonts w:ascii="Times New Roman" w:hAnsi="Times New Roman" w:eastAsia="仿宋" w:cs="Times New Roman"/>
          <w:color w:val="000000" w:themeColor="text1"/>
          <w:szCs w:val="32"/>
        </w:rPr>
      </w:pPr>
      <w:r>
        <w:rPr>
          <w:rFonts w:ascii="Times New Roman" w:hAnsi="Times New Roman" w:eastAsia="仿宋" w:cs="Times New Roman"/>
          <w:color w:val="000000" w:themeColor="text1"/>
          <w:szCs w:val="32"/>
        </w:rPr>
        <w:t>通过对</w:t>
      </w:r>
      <w:r>
        <w:rPr>
          <w:rFonts w:hint="eastAsia" w:ascii="Times New Roman" w:hAnsi="Times New Roman" w:eastAsia="仿宋" w:cs="Times New Roman"/>
          <w:color w:val="000000" w:themeColor="text1"/>
          <w:szCs w:val="32"/>
        </w:rPr>
        <w:t>50</w:t>
      </w:r>
      <w:r>
        <w:rPr>
          <w:rFonts w:ascii="Times New Roman" w:hAnsi="Times New Roman" w:eastAsia="仿宋" w:cs="Times New Roman"/>
          <w:color w:val="000000" w:themeColor="text1"/>
          <w:szCs w:val="32"/>
        </w:rPr>
        <w:t>份社会公众或服务对象满意度调查问卷统计分析，服务对象对寻甸回族彝族自治县</w:t>
      </w:r>
      <w:r>
        <w:rPr>
          <w:rFonts w:hint="eastAsia" w:ascii="Times New Roman" w:hAnsi="Times New Roman" w:eastAsia="仿宋" w:cs="Times New Roman"/>
          <w:color w:val="000000" w:themeColor="text1"/>
          <w:szCs w:val="32"/>
        </w:rPr>
        <w:t>融媒体中心</w:t>
      </w:r>
      <w:r>
        <w:rPr>
          <w:rFonts w:ascii="Times New Roman" w:hAnsi="Times New Roman" w:eastAsia="仿宋" w:cs="Times New Roman"/>
          <w:color w:val="000000" w:themeColor="text1"/>
          <w:szCs w:val="32"/>
        </w:rPr>
        <w:t>工作开展情况比较满意</w:t>
      </w:r>
      <w:r>
        <w:rPr>
          <w:rFonts w:ascii="Times New Roman" w:hAnsi="Times New Roman" w:eastAsia="仿宋" w:cs="Times New Roman"/>
          <w:color w:val="auto"/>
          <w:szCs w:val="32"/>
        </w:rPr>
        <w:t>，得分</w:t>
      </w:r>
      <w:r>
        <w:rPr>
          <w:rFonts w:hint="eastAsia" w:ascii="Times New Roman" w:hAnsi="Times New Roman" w:eastAsia="仿宋" w:cs="Times New Roman"/>
          <w:color w:val="auto"/>
          <w:szCs w:val="32"/>
          <w:lang w:val="en-US" w:eastAsia="zh-CN"/>
        </w:rPr>
        <w:t>98.67</w:t>
      </w:r>
      <w:r>
        <w:rPr>
          <w:rFonts w:ascii="Times New Roman" w:hAnsi="Times New Roman" w:eastAsia="仿宋" w:cs="Times New Roman"/>
          <w:szCs w:val="32"/>
        </w:rPr>
        <w:t>分。</w:t>
      </w:r>
    </w:p>
    <w:p w14:paraId="36A358BC">
      <w:pPr>
        <w:topLinePunct/>
        <w:spacing w:line="560" w:lineRule="exact"/>
        <w:ind w:firstLine="525" w:firstLineChars="250"/>
        <w:rPr>
          <w:rFonts w:ascii="Times New Roman" w:hAnsi="Times New Roman" w:eastAsia="仿宋" w:cs="Times New Roman"/>
          <w:color w:val="000000" w:themeColor="text1"/>
          <w:szCs w:val="32"/>
        </w:rPr>
      </w:pPr>
      <w:r>
        <w:rPr>
          <w:rFonts w:ascii="Times New Roman" w:hAnsi="Times New Roman" w:eastAsia="仿宋" w:cs="Times New Roman"/>
          <w:color w:val="000000" w:themeColor="text1"/>
          <w:szCs w:val="32"/>
        </w:rPr>
        <w:t>4.可持续性分析</w:t>
      </w:r>
    </w:p>
    <w:p w14:paraId="28F2ABC5">
      <w:pPr>
        <w:topLinePunct/>
        <w:spacing w:line="520" w:lineRule="exact"/>
        <w:ind w:firstLine="420" w:firstLineChars="200"/>
        <w:rPr>
          <w:rFonts w:ascii="Times New Roman" w:hAnsi="Times New Roman" w:eastAsia="仿宋_GB2312" w:cs="Times New Roman"/>
          <w:color w:val="000000" w:themeColor="text1"/>
        </w:rPr>
      </w:pPr>
      <w:r>
        <w:rPr>
          <w:rFonts w:ascii="Times New Roman" w:hAnsi="Times New Roman" w:eastAsia="仿宋" w:cs="Times New Roman"/>
          <w:color w:val="000000" w:themeColor="text1"/>
          <w:szCs w:val="32"/>
        </w:rPr>
        <w:t>寻甸回族彝族自治县</w:t>
      </w:r>
      <w:r>
        <w:rPr>
          <w:rFonts w:hint="eastAsia" w:ascii="Times New Roman" w:hAnsi="Times New Roman" w:eastAsia="仿宋" w:cs="Times New Roman"/>
          <w:color w:val="000000" w:themeColor="text1"/>
          <w:szCs w:val="32"/>
        </w:rPr>
        <w:t>融媒体中心</w:t>
      </w:r>
      <w:r>
        <w:rPr>
          <w:rFonts w:ascii="Times New Roman" w:hAnsi="Times New Roman" w:eastAsia="仿宋" w:cs="Times New Roman"/>
          <w:color w:val="000000" w:themeColor="text1"/>
          <w:szCs w:val="32"/>
        </w:rPr>
        <w:t>作为县政府工作部门，</w:t>
      </w:r>
      <w:r>
        <w:rPr>
          <w:rFonts w:hint="eastAsia" w:ascii="仿宋" w:hAnsi="仿宋" w:eastAsia="仿宋" w:cs="Times New Roman"/>
          <w:color w:val="000000" w:themeColor="text1"/>
          <w:szCs w:val="32"/>
        </w:rPr>
        <w:t>负责县级广播电视节目的采集、编辑、制作和播出;负责县级新媒体信息的采集、编辑、制作和传播;负责公益广告的策划、制作及播出;负责全县通联工作，及时向上级新闻媒体提供全县有报道价值的新闻线索，抓好通讯员队伍、网点建设，做好新闻工作者的思想政治工作;负责组织参加各类媒体协会的新闻评奖、评优活动。</w:t>
      </w:r>
      <w:r>
        <w:rPr>
          <w:rFonts w:ascii="Times New Roman" w:hAnsi="Times New Roman" w:eastAsia="仿宋" w:cs="Times New Roman"/>
          <w:color w:val="000000" w:themeColor="text1"/>
          <w:szCs w:val="32"/>
        </w:rPr>
        <w:t>在今后的工作中，</w:t>
      </w:r>
      <w:r>
        <w:rPr>
          <w:rFonts w:hint="eastAsia" w:ascii="Times New Roman" w:hAnsi="Times New Roman" w:eastAsia="仿宋" w:cs="Times New Roman"/>
          <w:color w:val="000000" w:themeColor="text1"/>
          <w:szCs w:val="32"/>
        </w:rPr>
        <w:t>工作</w:t>
      </w:r>
      <w:r>
        <w:rPr>
          <w:rFonts w:ascii="Times New Roman" w:hAnsi="Times New Roman" w:eastAsia="仿宋" w:cs="Times New Roman"/>
          <w:color w:val="000000" w:themeColor="text1"/>
          <w:szCs w:val="32"/>
        </w:rPr>
        <w:t>将进一步完善，相关工作仍将持续开展；因此，基本支出得以保障，有助于调动人员积极性，保障寻甸回族彝族自治县</w:t>
      </w:r>
      <w:r>
        <w:rPr>
          <w:rFonts w:hint="eastAsia" w:ascii="Times New Roman" w:hAnsi="Times New Roman" w:eastAsia="仿宋" w:cs="Times New Roman"/>
          <w:color w:val="000000" w:themeColor="text1"/>
          <w:szCs w:val="32"/>
        </w:rPr>
        <w:t>融媒体中心</w:t>
      </w:r>
      <w:r>
        <w:rPr>
          <w:rFonts w:ascii="Times New Roman" w:hAnsi="Times New Roman" w:eastAsia="仿宋" w:cs="Times New Roman"/>
          <w:color w:val="000000" w:themeColor="text1"/>
          <w:szCs w:val="32"/>
        </w:rPr>
        <w:t>日常工作得以顺利开展；项目支出得以保障，有助于完成特定的</w:t>
      </w:r>
      <w:r>
        <w:rPr>
          <w:rFonts w:hint="eastAsia" w:ascii="Times New Roman" w:hAnsi="Times New Roman" w:eastAsia="仿宋" w:cs="Times New Roman"/>
          <w:color w:val="000000" w:themeColor="text1"/>
          <w:szCs w:val="32"/>
        </w:rPr>
        <w:t>新闻</w:t>
      </w:r>
      <w:r>
        <w:rPr>
          <w:rFonts w:ascii="Times New Roman" w:hAnsi="Times New Roman" w:eastAsia="仿宋" w:cs="Times New Roman"/>
          <w:color w:val="000000" w:themeColor="text1"/>
          <w:szCs w:val="32"/>
        </w:rPr>
        <w:t>工作任务或事业发展目标，有助于各项政策得到进一步实施，将进一步有效促进社会持续和谐发展。</w:t>
      </w:r>
    </w:p>
    <w:p w14:paraId="17CCB465">
      <w:pPr>
        <w:spacing w:line="520" w:lineRule="exact"/>
        <w:rPr>
          <w:rFonts w:ascii="Times New Roman" w:hAnsi="Times New Roman" w:eastAsia="仿宋_GB2312" w:cs="Times New Roman"/>
          <w:color w:val="000000" w:themeColor="text1"/>
        </w:rPr>
      </w:pPr>
    </w:p>
    <w:p w14:paraId="2928C033">
      <w:pPr>
        <w:spacing w:line="520" w:lineRule="exact"/>
        <w:rPr>
          <w:rFonts w:ascii="Times New Roman" w:hAnsi="Times New Roman" w:eastAsia="仿宋_GB2312" w:cs="Times New Roman"/>
          <w:color w:val="000000" w:themeColor="text1"/>
        </w:rPr>
      </w:pPr>
    </w:p>
    <w:p w14:paraId="631CDBB9">
      <w:pPr>
        <w:spacing w:line="520" w:lineRule="exact"/>
        <w:rPr>
          <w:rFonts w:ascii="Times New Roman" w:hAnsi="Times New Roman" w:eastAsia="仿宋_GB2312" w:cs="Times New Roman"/>
          <w:color w:val="000000" w:themeColor="text1"/>
        </w:rPr>
      </w:pPr>
    </w:p>
    <w:p w14:paraId="4779EEC4">
      <w:pPr>
        <w:spacing w:line="520" w:lineRule="exact"/>
        <w:rPr>
          <w:rFonts w:ascii="Times New Roman" w:hAnsi="Times New Roman" w:eastAsia="仿宋_GB2312" w:cs="Times New Roman"/>
          <w:color w:val="000000" w:themeColor="text1"/>
        </w:rPr>
      </w:pPr>
      <w:r>
        <w:rPr>
          <w:rFonts w:hint="eastAsia" w:ascii="Times New Roman" w:hAnsi="Times New Roman" w:eastAsia="仿宋_GB2312" w:cs="Times New Roman"/>
          <w:color w:val="000000" w:themeColor="text1"/>
        </w:rPr>
        <w:t>附件</w:t>
      </w:r>
      <w:r>
        <w:rPr>
          <w:rFonts w:ascii="Times New Roman" w:hAnsi="Times New Roman" w:eastAsia="仿宋_GB2312" w:cs="Times New Roman"/>
          <w:color w:val="000000" w:themeColor="text1"/>
        </w:rPr>
        <w:t>2</w:t>
      </w:r>
    </w:p>
    <w:p w14:paraId="2FAA3920">
      <w:pPr>
        <w:spacing w:line="600" w:lineRule="exact"/>
        <w:ind w:left="630" w:hanging="630" w:hangingChars="300"/>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部门职能分解及</w:t>
      </w:r>
      <w:r>
        <w:rPr>
          <w:rFonts w:hint="eastAsia" w:ascii="Times New Roman" w:hAnsi="Times New Roman" w:eastAsia="仿宋_GB2312" w:cs="Times New Roman"/>
          <w:color w:val="000000" w:themeColor="text1"/>
          <w:lang w:eastAsia="zh-CN"/>
        </w:rPr>
        <w:t>2024</w:t>
      </w:r>
      <w:r>
        <w:rPr>
          <w:rFonts w:ascii="Times New Roman" w:hAnsi="Times New Roman" w:eastAsia="仿宋_GB2312" w:cs="Times New Roman"/>
          <w:color w:val="000000" w:themeColor="text1"/>
        </w:rPr>
        <w:t>年度工作完成情况</w:t>
      </w:r>
    </w:p>
    <w:p w14:paraId="3A41926E">
      <w:pPr>
        <w:spacing w:line="600" w:lineRule="exact"/>
        <w:ind w:firstLine="420" w:firstLineChars="200"/>
        <w:jc w:val="left"/>
        <w:rPr>
          <w:rFonts w:ascii="仿宋_GB2312" w:hAnsi="华文中宋" w:eastAsia="仿宋_GB2312"/>
          <w:szCs w:val="21"/>
        </w:rPr>
      </w:pPr>
      <w:r>
        <w:rPr>
          <w:rFonts w:hint="eastAsia" w:ascii="仿宋_GB2312" w:hAnsi="仿宋" w:eastAsia="仿宋_GB2312"/>
          <w:szCs w:val="21"/>
          <w:lang w:val="en-US" w:eastAsia="zh-CN"/>
        </w:rPr>
        <w:t>2024年，县融媒体中心在县委、县政府的正确领导下，以学习宣传贯彻党的二十大精神为主线，紧紧围绕县委、县政府中心工作，坚持正确的政治方向、舆论导向和价值取向，在实践中坚持融合、发展、管理并进，不断提高新闻信息生产、传播、服务能力，更好地发挥了舆论的引导功能，不断推动媒体融合向纵深发展，真正实现了“一次性采集、多渠道发布、快速度传播、广覆盖受众”格局。</w:t>
      </w:r>
      <w:r>
        <w:rPr>
          <w:rFonts w:hint="eastAsia" w:ascii="仿宋_GB2312" w:hAnsi="仿宋" w:eastAsia="仿宋_GB2312"/>
          <w:szCs w:val="21"/>
        </w:rPr>
        <w:t>现将</w:t>
      </w:r>
      <w:r>
        <w:rPr>
          <w:rFonts w:hint="eastAsia" w:ascii="仿宋_GB2312" w:hAnsi="仿宋" w:eastAsia="仿宋_GB2312"/>
          <w:szCs w:val="21"/>
          <w:lang w:eastAsia="zh-CN"/>
        </w:rPr>
        <w:t>2024</w:t>
      </w:r>
      <w:r>
        <w:rPr>
          <w:rFonts w:hint="eastAsia" w:ascii="仿宋_GB2312" w:hAnsi="仿宋" w:eastAsia="仿宋_GB2312"/>
          <w:szCs w:val="21"/>
        </w:rPr>
        <w:t>年工作总结如下：</w:t>
      </w:r>
      <w:r>
        <w:rPr>
          <w:rFonts w:hint="eastAsia" w:ascii="仿宋_GB2312" w:hAnsi="Times New Roman" w:eastAsia="仿宋_GB2312" w:cs="Times New Roman"/>
          <w:color w:val="000000" w:themeColor="text1"/>
          <w:szCs w:val="21"/>
        </w:rPr>
        <w:t xml:space="preserve"> </w:t>
      </w:r>
    </w:p>
    <w:p w14:paraId="598926A4">
      <w:pPr>
        <w:spacing w:line="600" w:lineRule="exact"/>
        <w:ind w:firstLine="420" w:firstLineChars="200"/>
        <w:jc w:val="left"/>
        <w:rPr>
          <w:rFonts w:ascii="仿宋_GB2312" w:hAnsi="黑体" w:eastAsia="仿宋_GB2312" w:cs="仿宋"/>
          <w:color w:val="000000"/>
          <w:szCs w:val="21"/>
        </w:rPr>
      </w:pPr>
      <w:r>
        <w:rPr>
          <w:rFonts w:hint="eastAsia" w:ascii="仿宋_GB2312" w:hAnsi="黑体" w:eastAsia="仿宋_GB2312" w:cs="仿宋"/>
          <w:color w:val="000000"/>
          <w:szCs w:val="21"/>
        </w:rPr>
        <w:t>工作完成情况：</w:t>
      </w:r>
    </w:p>
    <w:p w14:paraId="20D90693">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（一）</w:t>
      </w:r>
      <w:r>
        <w:rPr>
          <w:rFonts w:hint="eastAsia" w:ascii="仿宋_GB2312" w:eastAsia="仿宋_GB2312"/>
          <w:szCs w:val="21"/>
        </w:rPr>
        <w:t>守正创新，凝聚力量</w:t>
      </w:r>
    </w:p>
    <w:p w14:paraId="12E64408">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县融媒体中心紧扣全县工作大局，引领新舆论、唱响主旋律、弘扬正能量，为全县经济社会发展凝聚强大精神力量。精心策划，深入采访，推出一系列有深度、有影响力的电视新闻报道，并积极探索新媒体报道方式，通过微信公众号、微博、抖音等平台发布信息，以更加生动、直观的形式展现新闻内容，全面展示了寻甸重点工作推进、经验成效、特色亮点，以进一步全面深化改革引领高质量“五区一城”建设，为实现县委“55111”奋斗目标、谱写中国式现代化寻甸篇章提供强大舆论支持。截至10月25日，共播出新闻237组、采写新闻稿件1196篇，在每月最后一周播出自制栏目《走近寻甸》、《人间难得几回寻》、《山水寻甸》等自制短视频，通过形式多样的节目讲好寻甸故事；在保证数量的同时，更加注重新闻报道的质量，不断提高新闻的时效性、准确性和深度。在平时的工作中，除保障正常的时政新闻报道外，还把关注民生、反映民意作为新闻报道的出发点和落脚点，积极倾听群众呼声，反映群众诉求。在教育、医疗、就业、产业发展等民生领域，精心策划并推出一系列新闻主题报道，如《争当排头兵 奋进新征程 寻甸产业园区一批项目陆续投产》、《又是一年丰收季 金源乡稻谷成熟 开镰收割》、《东西部协作见真效结硕果 深化帮扶协作 寻甸乡村振兴添助力》等，深入挖掘了我县在经济发展、社会民生、文化建设等方面的成就和亮点，为推动全县各项工作的开展发挥了积极的舆论引导作用。</w:t>
      </w:r>
    </w:p>
    <w:p w14:paraId="24591324">
      <w:pPr>
        <w:spacing w:line="600" w:lineRule="exact"/>
        <w:ind w:firstLine="420" w:firstLineChars="200"/>
        <w:jc w:val="left"/>
        <w:rPr>
          <w:rFonts w:hint="eastAsia" w:ascii="仿宋_GB2312" w:eastAsia="仿宋_GB2312"/>
          <w:szCs w:val="21"/>
        </w:rPr>
      </w:pPr>
      <w:r>
        <w:rPr>
          <w:rFonts w:hint="eastAsia" w:ascii="仿宋_GB2312" w:eastAsia="仿宋_GB2312"/>
          <w:szCs w:val="21"/>
        </w:rPr>
        <w:t>（二）强化阵地管理，落实主体责任</w:t>
      </w:r>
    </w:p>
    <w:p w14:paraId="622105A0">
      <w:pPr>
        <w:spacing w:line="600" w:lineRule="exact"/>
        <w:ind w:firstLine="420" w:firstLineChars="200"/>
        <w:jc w:val="left"/>
        <w:rPr>
          <w:rFonts w:hint="eastAsia" w:ascii="仿宋_GB2312" w:eastAsia="仿宋_GB2312"/>
          <w:szCs w:val="21"/>
          <w:lang w:eastAsia="zh-CN"/>
        </w:rPr>
      </w:pPr>
      <w:r>
        <w:rPr>
          <w:rFonts w:hint="eastAsia" w:ascii="仿宋_GB2312" w:eastAsia="仿宋_GB2312"/>
          <w:szCs w:val="21"/>
          <w:lang w:val="en-US" w:eastAsia="zh-CN"/>
        </w:rPr>
        <w:t>1.贯彻落实意识形态责任制。</w:t>
      </w:r>
      <w:r>
        <w:rPr>
          <w:rFonts w:hint="eastAsia" w:ascii="仿宋_GB2312" w:eastAsia="仿宋_GB2312"/>
          <w:szCs w:val="21"/>
        </w:rPr>
        <w:t>中心高度重视意识形态工作，将意识形态工作纳入重要议事日程、纳入党建工作责任制、纳入干部目标管理，与主责主业同部署、同落实、同检查、同考核。切实落实意识形态工作主体责任，主要负责人履行“第一责任人”职责，分管负责人协助抓好统筹协调指导工作，严格执行“一岗双责”制度。</w:t>
      </w:r>
      <w:r>
        <w:rPr>
          <w:rFonts w:hint="eastAsia" w:ascii="仿宋_GB2312" w:eastAsia="仿宋_GB2312"/>
          <w:szCs w:val="21"/>
          <w:lang w:val="en-US" w:eastAsia="zh-CN"/>
        </w:rPr>
        <w:t>2.加强分析研判。</w:t>
      </w:r>
      <w:r>
        <w:rPr>
          <w:rFonts w:hint="eastAsia" w:ascii="仿宋_GB2312" w:eastAsia="仿宋_GB2312"/>
          <w:szCs w:val="21"/>
        </w:rPr>
        <w:t>严格落实《意识形态工作分析研判制度》，每</w:t>
      </w:r>
      <w:r>
        <w:rPr>
          <w:rFonts w:hint="eastAsia" w:ascii="仿宋_GB2312" w:eastAsia="仿宋_GB2312"/>
          <w:szCs w:val="21"/>
          <w:lang w:eastAsia="zh-CN"/>
        </w:rPr>
        <w:t>季度至少召开</w:t>
      </w:r>
      <w:r>
        <w:rPr>
          <w:rFonts w:hint="eastAsia" w:ascii="仿宋_GB2312" w:eastAsia="仿宋_GB2312"/>
          <w:szCs w:val="21"/>
          <w:lang w:val="en-US" w:eastAsia="zh-CN"/>
        </w:rPr>
        <w:t>1</w:t>
      </w:r>
      <w:r>
        <w:rPr>
          <w:rFonts w:hint="eastAsia" w:ascii="仿宋_GB2312" w:eastAsia="仿宋_GB2312"/>
          <w:szCs w:val="21"/>
        </w:rPr>
        <w:t>次专题研究部署。会上学习传达《习近平总书记关于意识形态工作的重要论述》等文件精神，阶段性总结当前意识形态工作开展情况，并开展研讨交流。同时，摸排意识形态领域三重包保方面存在的问题，围绕新闻导向、稿件审核、以职务身份在公开平台注册账号等方面开展自查自纠，全媒体平台均能严格落实播前三审、重播重审等制度等，严把节目审核关口</w:t>
      </w:r>
      <w:r>
        <w:rPr>
          <w:rFonts w:hint="eastAsia" w:ascii="仿宋_GB2312" w:eastAsia="仿宋_GB2312"/>
          <w:szCs w:val="21"/>
          <w:lang w:eastAsia="zh-CN"/>
        </w:rPr>
        <w:t>。</w:t>
      </w:r>
    </w:p>
    <w:p w14:paraId="14E2D265">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 xml:space="preserve">（三）立足本土，扩宽影响                                                                                                                                                                                                                                                                                                                                                                                                                                                                                                                                                                                                                                                                                                                                                                                                                                                                                                                                                                                                                                                                                                                                                                                                                                                                                                                                                                                                                                                                                                                                                                                                                                                                                                                   </w:t>
      </w:r>
    </w:p>
    <w:p w14:paraId="6BCC5F8B">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2024年，县融媒体中心牢固树立围绕中心、服务大局的理念，充分利用视频号、抖音、快手、微信、微博、寻甸融媒app等新媒体平台，为全县经济社会发展各项工作提供有力支持。通过平台影响力，策划报道发展中的典型经验和社会各界正能量。截至10月23日，共发布短视频2439个，其中，900万+作品《真正的“娃娃鱼”#童年的快乐#大鱼#记录假期好时光》1个，策划推出的《昆明的阿勒泰等你来寻》系列作品全网浏览量超700万，寻甸的阿勒泰火爆出圈，收获大量流量和粉丝好评。100万+作品《寻甸县2024年下半年98名入伍新兵带着家乡亲人的殷切希望，踏上征途、奔赴部队，投身强军兴军伟大事业》1个，50万+作品8个，10万+作品约89个。在微信公众号发布3019条信息，粉丝量年增长约2万人左右，阅读量1万+的6条。</w:t>
      </w:r>
    </w:p>
    <w:p w14:paraId="39046CBC">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（四）强攻外宣，提升形象</w:t>
      </w:r>
    </w:p>
    <w:p w14:paraId="26CAB58B">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2024年，县融媒体中心积极向中央和省、市级媒体推送寻甸选题、寻甸经验、寻甸亮点等外宣新闻稿件，随着信息科技发展速度的加快，传统媒体和新媒体逐步融合。县融媒体中心主动适应传播手段的变化，以优质内容为核心，以抢时效为抓手，提高宣传“速度”，做大做强寻甸融媒品牌。2023年11月至2024年10月共收集信息3600余条，向上级媒体推送1500余条，上级媒体刊发信息2800余条，其中国家级媒体刊发300余条，省级媒体刊发1500余条，市级媒体刊发1000余条。同时，2024年寻甸火把节、花山节、丰收节等活动在视频号直播3场，腾讯会议直播寻甸教育高质量发展大会等重大活动、重大会议6场次。</w:t>
      </w:r>
    </w:p>
    <w:p w14:paraId="3CB11378">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（五）提高技术，狠抓安全播出</w:t>
      </w:r>
    </w:p>
    <w:p w14:paraId="3AA476AC">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2024年，县融媒体中心积极坚持安全发展理念，把防范安全事故作为重中之重，切实加强日常监督，狠抓安全播出管理，通过强化组织保障、制度保障，措施保障、提升业务能力等工作方式，切实做到思想到位、认识到位、部署到位，过去一年圆满完成各节假日及全国两会的重保期安播工作；同时，规范机房管理、值班备勤、安全管理等一系列制度，修改了应急协调、突发事件应急、事故处置等应急预案，完善了安全播出指挥系统，切实把安全播出、网络安全、安全保卫等各个环节工作做严、做细、做深、做实，形成了“全面动员、全员参与、上下联动、齐抓共管”的责任体系，实现融媒体中心安全播出无事故。设备器材维护和各项保障工作圆满完成。</w:t>
      </w:r>
    </w:p>
    <w:p w14:paraId="2A59C3C3">
      <w:pPr>
        <w:spacing w:line="600" w:lineRule="exact"/>
        <w:ind w:firstLine="420" w:firstLineChars="200"/>
        <w:jc w:val="left"/>
        <w:rPr>
          <w:rFonts w:hint="default" w:ascii="仿宋_GB2312" w:eastAsia="仿宋_GB2312"/>
          <w:szCs w:val="21"/>
          <w:lang w:val="en-US" w:eastAsia="zh-CN"/>
        </w:rPr>
      </w:pPr>
      <w:r>
        <w:rPr>
          <w:rFonts w:hint="eastAsia" w:ascii="仿宋_GB2312" w:eastAsia="仿宋_GB2312"/>
          <w:szCs w:val="21"/>
          <w:lang w:val="en-US" w:eastAsia="zh-CN"/>
        </w:rPr>
        <w:t>（六）强化思想，服务大局</w:t>
      </w:r>
    </w:p>
    <w:p w14:paraId="0C69BE3F">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2024年，县融媒体中心在党的建设、内部管理优化、服务效能提升等多项工作取得了较好成绩。利用每周例会和专题学习会深入贯彻党的方针政策，强化政治理论学习，提升了全体干部职工的政治站位和思想觉悟，为融媒体事业的健康发展奠定了坚实的政治基础。完善各项规章制度，提高团队协作效率和工作执行力。注重服务效能的提升，关注员工需求，营造了和谐、高效、富有活力的办公环境。同时，加强了财务监督，确保财务信息的真实性和准确性，为融媒体事业的健康发展提供了坚实的财务保障。</w:t>
      </w:r>
    </w:p>
    <w:p w14:paraId="5F380B72">
      <w:pPr>
        <w:spacing w:line="600" w:lineRule="exact"/>
        <w:ind w:firstLine="420" w:firstLineChars="200"/>
        <w:jc w:val="left"/>
        <w:rPr>
          <w:rFonts w:hint="default" w:ascii="仿宋_GB2312" w:eastAsia="仿宋_GB2312"/>
          <w:szCs w:val="21"/>
          <w:lang w:val="en-US" w:eastAsia="zh-CN"/>
        </w:rPr>
      </w:pPr>
      <w:r>
        <w:rPr>
          <w:rFonts w:hint="eastAsia" w:ascii="仿宋_GB2312" w:eastAsia="仿宋_GB2312"/>
          <w:szCs w:val="21"/>
          <w:lang w:val="en-US" w:eastAsia="zh-CN"/>
        </w:rPr>
        <w:t>（七）扩宽渠道，强化“造血”</w:t>
      </w:r>
    </w:p>
    <w:p w14:paraId="2CA96DED">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县融媒体中心是连接政府、企业和公众的桥梁。2024年，县融媒体中心已完成宣传合作10余项，其中包括与寻甸农商行、凤龙湾童话镇、永腾江山阅、拜逗单车、寻甸县智慧停车项目部、寻甸五洲医院等单位的深度合作。这些合作项目不仅增强了县融媒体中心自身的造血能力，还为中心带来了显著的效益和正面、积极的影响。在电视、微信、抖音、快手等各平台实现了广告收入共计20余万元，为融媒体中心的运营提供了有力的资金保障。同时，中心按照县委、县政府的工作部署，对县委县政府重点项目、重点工作做好协调对接和宣传服务保障工作。积极协调微信、微博、抖音、快手、app等平台，及时做好宣传报道各行各业典型人物、感人瞬间、经验教训，圆满完成了交办的宣传片拍摄制作任务。协调拍摄了东西部协作成效片《小心愿》1部，经济发展六条赛道竞赛成效片2部，以及《寻才兴语》专栏3期、政协面对面2期等，同时制作了其他各类宣传片10余个。这些宣传作品不仅展示了寻甸县的发展成果和亮点，还增强了人民群众对家乡的认同感和自豪感，为地方经济社会发展营造了良好的舆论氛围。</w:t>
      </w:r>
    </w:p>
    <w:p w14:paraId="6BA28458">
      <w:pPr>
        <w:spacing w:line="600" w:lineRule="exact"/>
        <w:ind w:firstLine="422" w:firstLineChars="200"/>
        <w:jc w:val="left"/>
        <w:rPr>
          <w:rFonts w:ascii="仿宋_GB2312" w:hAnsi="黑体" w:eastAsia="仿宋_GB2312" w:cs="黑体"/>
          <w:b/>
          <w:bCs/>
          <w:szCs w:val="21"/>
        </w:rPr>
      </w:pPr>
      <w:r>
        <w:rPr>
          <w:rFonts w:hint="eastAsia" w:ascii="仿宋_GB2312" w:hAnsi="黑体" w:eastAsia="仿宋_GB2312" w:cs="黑体"/>
          <w:b/>
          <w:bCs/>
          <w:szCs w:val="21"/>
        </w:rPr>
        <w:t>二、存在问题</w:t>
      </w:r>
    </w:p>
    <w:p w14:paraId="1C223940">
      <w:pPr>
        <w:spacing w:line="600" w:lineRule="exact"/>
        <w:ind w:firstLine="420" w:firstLineChars="200"/>
        <w:jc w:val="left"/>
        <w:rPr>
          <w:rFonts w:hint="eastAsia" w:ascii="仿宋_GB2312" w:eastAsia="仿宋_GB2312"/>
          <w:szCs w:val="21"/>
        </w:rPr>
      </w:pPr>
      <w:r>
        <w:rPr>
          <w:rFonts w:hint="eastAsia" w:ascii="仿宋_GB2312" w:eastAsia="仿宋_GB2312"/>
          <w:szCs w:val="21"/>
          <w:lang w:eastAsia="zh-CN"/>
        </w:rPr>
        <w:t>2024</w:t>
      </w:r>
      <w:r>
        <w:rPr>
          <w:rFonts w:hint="eastAsia" w:ascii="仿宋_GB2312" w:eastAsia="仿宋_GB2312"/>
          <w:szCs w:val="21"/>
        </w:rPr>
        <w:t>年，县融媒体中心在新闻宣传、安全播出、制度建设、运营创收等方面均取得了一定成绩，但仍然存在着一些不足，主要表现在媒体深度融合认识不足、学习和工作主动性不够；宣传力量尚显薄弱、平台影响力不均衡；队伍能力水平参差不齐，主动策划、创新意识不强；宣传机制和激励机制不够完善，无法有效调动工作积极性。在2024年，县融媒体中心将一如既往地坚持追求真实、客观、准确和有价值的新闻宣传报道，不断探索和创新报道方式，向受众全面展示寻甸发展成效，讲好寻甸故事。</w:t>
      </w:r>
    </w:p>
    <w:p w14:paraId="3732354B">
      <w:pPr>
        <w:spacing w:line="600" w:lineRule="exact"/>
        <w:ind w:firstLine="422" w:firstLineChars="200"/>
        <w:jc w:val="left"/>
        <w:rPr>
          <w:rFonts w:hint="eastAsia" w:ascii="仿宋_GB2312" w:hAnsi="黑体" w:eastAsia="仿宋_GB2312" w:cs="黑体"/>
          <w:b/>
          <w:bCs/>
          <w:szCs w:val="21"/>
        </w:rPr>
      </w:pPr>
      <w:r>
        <w:rPr>
          <w:rFonts w:hint="eastAsia" w:ascii="仿宋_GB2312" w:hAnsi="黑体" w:eastAsia="仿宋_GB2312" w:cs="黑体"/>
          <w:b/>
          <w:bCs/>
          <w:szCs w:val="21"/>
        </w:rPr>
        <w:t>三、</w:t>
      </w:r>
      <w:r>
        <w:rPr>
          <w:rFonts w:hint="eastAsia" w:ascii="仿宋_GB2312" w:hAnsi="黑体" w:eastAsia="仿宋_GB2312" w:cs="黑体"/>
          <w:b/>
          <w:bCs/>
          <w:szCs w:val="21"/>
          <w:lang w:eastAsia="zh-CN"/>
        </w:rPr>
        <w:t>2024</w:t>
      </w:r>
      <w:r>
        <w:rPr>
          <w:rFonts w:hint="eastAsia" w:ascii="仿宋_GB2312" w:hAnsi="黑体" w:eastAsia="仿宋_GB2312" w:cs="黑体"/>
          <w:b/>
          <w:bCs/>
          <w:szCs w:val="21"/>
        </w:rPr>
        <w:t>年工作打算</w:t>
      </w:r>
    </w:p>
    <w:p w14:paraId="311D56BF">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过去的一年，县融媒体中心以习近平新时代中国特色社会主义思想为指导，围绕县委、县政府及中心工作要求，把握正确舆论导向，筑牢意识形态主阵地，扎实抓好新闻宣传和舆论引导工作，各项工作稳步推进。在新的一年里，县融媒体中心将一如既往地坚持追求真实、客观、准确和有价值的宣传工作要求，不断探索和创新报道方式，向受众全面展示寻甸发展成效，讲好寻甸故事，为助力乡村振兴贡献力量。</w:t>
      </w:r>
    </w:p>
    <w:p w14:paraId="6E023561">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rPr>
        <w:t>（一）注重思想引领，加强意识形态教育。以习近平新时代中国特色社会主义思想为指导，全面贯彻落实党的二十大精神，从旗帜鲜明讲政治的高度全面推进意识形态责任制落实。</w:t>
      </w:r>
      <w:r>
        <w:rPr>
          <w:rFonts w:hint="eastAsia" w:ascii="仿宋_GB2312" w:eastAsia="仿宋_GB2312"/>
          <w:szCs w:val="21"/>
          <w:lang w:val="en-US"/>
        </w:rPr>
        <w:t>进一步完善落实安全播出、安全生产各项制度；加强安全播出、安全生产培训演练，排查安全隐患，提高职工安全保障意识和突发事件的应对处置能力；认真履行意识形态主体责任，增强“四个意识”、坚定“四个自信”、做到“两个维护”，严格执行“三审制”，严把政治导向关，做到不审不发、重播重审；加强新媒体管理，确保舆论导向正确。</w:t>
      </w:r>
    </w:p>
    <w:p w14:paraId="54F24E42">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二）注重宣传策划，提升媒体融合影响力。实施媒体矩阵构建工程，建设以“寻甸融媒”客户端和“寻甸融媒”微信公众号、“昆明寻甸发布”抖音号为引领，聚合引导各乡镇、县直单位、国有企业平台的新媒体宣传矩阵，第一时间获取新闻线索、丰富选题，建立媒体互动合作，进一步深化与全县各级各部门合作交流，实现资源共享、理念共享。坚持内容为王，继续实施微信公众号头条工程，用好关键时间节点、重要事件、重大主题，抓住热点，精心策划，争取2025年做到全年作品质量达到优良标准，作品在市级以上媒体发表数量同比增长5%；激发创新活力，鼓励团队创新思维，全年策划创新短视频，推出原创内容增加7%以上；拓宽宣传渠道，实现与微信、微博、抖音等平台的有效联动，提高全媒体传播效果；增强受众互动，通过线上线下活动，提高受众参与度，实现粉丝数量同比增长4%。</w:t>
      </w:r>
    </w:p>
    <w:p w14:paraId="28832C57">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三）提高业务水平，加大全媒体人才建设。全力推进机构改革固本、人才培养强基、考核管理创优工程，完善各项考核方案，建立健全中心奖励办法，推进全媒体人才队伍建设。不断完善人才培养内循环，打造“学习型”单位，做好新闻写作、视频拍摄、新技术使用等培训工作，以媒体融合“岗位大练兵业务大比武”为载体，以赛代练、以练促干，鼓励人才在不同平台、不同岗位之间交流学习，协作配合，推动全方位锻炼、全能型发展。着力提升新闻采编和发布能力，打造一支忠诚、干净、担当的新闻宣传队伍，通过加强内部培训和外部交流，提高全体干部职工的业务水平和综合素质，确保新闻报道的及时性、准确性和权威性，提升融媒体产品的质量和影响力。</w:t>
      </w:r>
    </w:p>
    <w:p w14:paraId="63D82CAB">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四）落实工作任务，坚决确保安全播出。警钟长鸣，安全保障。一是保障技术安全，坚持不懈抓制度保障，健全完善各类安播制度，不断加大应急处置执行力度，提高快速反应能力和处置突发事件的能力；明确岗位职责、层层落实，抓好硬件设施维护工作，落实应急广播及播出系统设备专业设备维护。二是保障新闻内容安全，严格执行“三审三校”制度，规范采、编、制、审、播流程。三是强化重要时段安全保障，不断完善安全刊播防控体系建设，坚决确保媒体安全、优质刊播。</w:t>
      </w:r>
    </w:p>
    <w:p w14:paraId="1C0CC8B7">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五）推进产业发展，提升自我造血机能。2025年，县融媒体中心坚持以习近平新时代中国特色社会主义思想为指导，深入学习贯彻党的二十大精神，紧紧围绕县委、县政府中心工作，充分发挥融县媒体中心外联部的作用，努力实现高质量发展。以服务大局、服务群众为宗旨，积极拓展宣传渠道，提升传播效果，为全县经济社会发展营造良好舆论氛围。以创新为动力，强化内部管理，提升团队素质，打造一支高素质、专业化的外联队伍。将继续对接老客户，拓展新客户，增强“造血”功能，力争创收在去年基础上增长6%以上，实现经营创收和新闻宣传两驾马车良性循环发展。加大人员业务能力培训，提升摄影摄像剪辑技术水平，紧跟时代步伐，满足客户需求，做好服务保障大局工作。</w:t>
      </w:r>
    </w:p>
    <w:p w14:paraId="7831303E">
      <w:pPr>
        <w:spacing w:line="600" w:lineRule="exact"/>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（六）拉高标杆，管理运行持续进步。在接下来的工作中，县融媒体中心将继续深入学习贯彻习近平新时代中国特色社会主义思想和党的二十大精神</w:t>
      </w:r>
      <w:bookmarkStart w:id="2" w:name="_GoBack"/>
      <w:bookmarkEnd w:id="2"/>
      <w:r>
        <w:rPr>
          <w:rFonts w:hint="eastAsia" w:ascii="仿宋_GB2312" w:eastAsia="仿宋_GB2312"/>
          <w:szCs w:val="21"/>
          <w:lang w:val="en-US" w:eastAsia="zh-CN"/>
        </w:rPr>
        <w:t>，不仅将其作为各项工作的根本遵循和行动指南，更要在实际工作中不断践行和体现这些精神与思想的核心要义。围绕县委、县政府的工作部署，充分发挥作为地方主流媒体和新闻宣传阵地的职能作用，通过创新报道形式、丰富报道内容、拓宽传播渠道等方式，全面推动媒体融合发展，确保新闻宣传工作的正确方向和有效传播。同时，中心将严格落实各项管理制度，加强对干部职工的监督和管理，确保各项工作依法依规进行，积极开展党风廉政教育活动，增强干部职工的廉洁自律意识，加强党风廉政建设营造风清气正的工作氛围。始终坚持党建引领，强化政治机关意识，把党的政治建设摆在首位，确保融媒体工作的正确政治方向。不断完善党建工作机制，加强党员队伍建设，提高党组织的凝聚力和战斗力，为推动媒体融合发展提供坚强的政治保障。</w:t>
      </w:r>
    </w:p>
    <w:p w14:paraId="78FEBB11">
      <w:pPr>
        <w:spacing w:line="600" w:lineRule="exact"/>
        <w:ind w:firstLine="420" w:firstLineChars="200"/>
        <w:jc w:val="left"/>
        <w:rPr>
          <w:rFonts w:hint="eastAsia" w:ascii="仿宋_GB2312" w:eastAsia="仿宋_GB2312"/>
          <w:szCs w:val="21"/>
          <w:lang w:val="en-US" w:eastAsia="zh-CN"/>
        </w:rPr>
      </w:pPr>
    </w:p>
    <w:p w14:paraId="101D622E">
      <w:pPr>
        <w:spacing w:line="600" w:lineRule="exact"/>
        <w:ind w:firstLine="420" w:firstLineChars="200"/>
        <w:jc w:val="left"/>
        <w:rPr>
          <w:rFonts w:hint="eastAsia" w:ascii="仿宋_GB2312" w:eastAsia="仿宋_GB2312"/>
          <w:szCs w:val="21"/>
          <w:lang w:val="en-US" w:eastAsia="zh-CN"/>
        </w:rPr>
      </w:pPr>
    </w:p>
    <w:p w14:paraId="6566C158">
      <w:pPr>
        <w:spacing w:line="600" w:lineRule="exact"/>
        <w:ind w:firstLine="420" w:firstLineChars="200"/>
        <w:jc w:val="left"/>
        <w:rPr>
          <w:rFonts w:hint="eastAsia" w:ascii="仿宋_GB2312" w:eastAsia="仿宋_GB2312"/>
          <w:szCs w:val="21"/>
          <w:lang w:val="en-US" w:eastAsia="zh-CN"/>
        </w:rPr>
      </w:pPr>
    </w:p>
    <w:p w14:paraId="639F349E">
      <w:pPr>
        <w:spacing w:line="600" w:lineRule="exact"/>
        <w:ind w:firstLine="420" w:firstLineChars="200"/>
        <w:jc w:val="left"/>
        <w:rPr>
          <w:rFonts w:hint="eastAsia" w:ascii="仿宋_GB2312" w:eastAsia="仿宋_GB2312"/>
          <w:szCs w:val="21"/>
          <w:lang w:val="en-US" w:eastAsia="zh-CN"/>
        </w:rPr>
      </w:pPr>
    </w:p>
    <w:p w14:paraId="7BBB6064">
      <w:pPr>
        <w:spacing w:line="600" w:lineRule="exact"/>
        <w:ind w:firstLine="420" w:firstLineChars="200"/>
        <w:jc w:val="left"/>
        <w:rPr>
          <w:rFonts w:hint="eastAsia" w:ascii="仿宋_GB2312" w:eastAsia="仿宋_GB2312"/>
          <w:szCs w:val="21"/>
          <w:lang w:val="en-US" w:eastAsia="zh-CN"/>
        </w:rPr>
      </w:pPr>
    </w:p>
    <w:p w14:paraId="61FA55E2">
      <w:pPr>
        <w:spacing w:line="600" w:lineRule="exact"/>
        <w:ind w:firstLine="420" w:firstLineChars="200"/>
        <w:jc w:val="left"/>
        <w:rPr>
          <w:rFonts w:hint="eastAsia" w:ascii="仿宋_GB2312" w:eastAsia="仿宋_GB2312"/>
          <w:szCs w:val="21"/>
          <w:lang w:val="en-US" w:eastAsia="zh-CN"/>
        </w:rPr>
      </w:pPr>
    </w:p>
    <w:p w14:paraId="09EB643C">
      <w:pPr>
        <w:spacing w:line="600" w:lineRule="exact"/>
        <w:ind w:firstLine="420" w:firstLineChars="200"/>
        <w:jc w:val="left"/>
        <w:rPr>
          <w:rFonts w:hint="eastAsia" w:ascii="仿宋_GB2312" w:eastAsia="仿宋_GB2312"/>
          <w:szCs w:val="21"/>
          <w:lang w:val="en-US" w:eastAsia="zh-CN"/>
        </w:rPr>
      </w:pPr>
    </w:p>
    <w:p w14:paraId="0BD3BE41">
      <w:pPr>
        <w:spacing w:line="600" w:lineRule="exact"/>
        <w:ind w:firstLine="420" w:firstLineChars="200"/>
        <w:jc w:val="left"/>
        <w:rPr>
          <w:rFonts w:hint="eastAsia" w:ascii="仿宋_GB2312" w:eastAsia="仿宋_GB2312"/>
          <w:szCs w:val="21"/>
          <w:lang w:val="en-US" w:eastAsia="zh-CN"/>
        </w:rPr>
      </w:pPr>
    </w:p>
    <w:p w14:paraId="0A4208A7">
      <w:pPr>
        <w:spacing w:line="600" w:lineRule="exact"/>
        <w:ind w:firstLine="420" w:firstLineChars="200"/>
        <w:jc w:val="left"/>
        <w:rPr>
          <w:rFonts w:hint="eastAsia" w:ascii="仿宋_GB2312" w:eastAsia="仿宋_GB2312"/>
          <w:szCs w:val="21"/>
          <w:lang w:val="en-US" w:eastAsia="zh-CN"/>
        </w:rPr>
      </w:pPr>
    </w:p>
    <w:p w14:paraId="5EA758DB">
      <w:pPr>
        <w:spacing w:line="600" w:lineRule="exact"/>
        <w:ind w:firstLine="420" w:firstLineChars="200"/>
        <w:jc w:val="left"/>
        <w:rPr>
          <w:rFonts w:hint="eastAsia" w:ascii="仿宋_GB2312" w:eastAsia="仿宋_GB2312"/>
          <w:szCs w:val="21"/>
          <w:lang w:val="en-US" w:eastAsia="zh-CN"/>
        </w:rPr>
      </w:pPr>
    </w:p>
    <w:p w14:paraId="28F6D6AC">
      <w:pPr>
        <w:spacing w:line="600" w:lineRule="exact"/>
        <w:ind w:firstLine="420" w:firstLineChars="200"/>
        <w:jc w:val="left"/>
        <w:rPr>
          <w:rFonts w:hint="eastAsia" w:ascii="仿宋_GB2312" w:eastAsia="仿宋_GB2312"/>
          <w:szCs w:val="21"/>
          <w:lang w:val="en-US" w:eastAsia="zh-CN"/>
        </w:rPr>
      </w:pPr>
    </w:p>
    <w:p w14:paraId="4D6BD0AF">
      <w:pPr>
        <w:spacing w:line="600" w:lineRule="exact"/>
        <w:ind w:firstLine="420" w:firstLineChars="200"/>
        <w:jc w:val="left"/>
        <w:rPr>
          <w:rFonts w:hint="eastAsia" w:ascii="仿宋_GB2312" w:eastAsia="仿宋_GB2312"/>
          <w:szCs w:val="21"/>
          <w:lang w:val="en-US" w:eastAsia="zh-CN"/>
        </w:rPr>
      </w:pPr>
    </w:p>
    <w:p w14:paraId="03D9837E">
      <w:pPr>
        <w:spacing w:line="600" w:lineRule="exact"/>
        <w:ind w:firstLine="420" w:firstLineChars="200"/>
        <w:jc w:val="left"/>
        <w:rPr>
          <w:rFonts w:hint="eastAsia" w:ascii="仿宋_GB2312" w:eastAsia="仿宋_GB2312"/>
          <w:szCs w:val="21"/>
          <w:lang w:val="en-US" w:eastAsia="zh-CN"/>
        </w:rPr>
      </w:pPr>
    </w:p>
    <w:p w14:paraId="33442834">
      <w:pPr>
        <w:spacing w:line="600" w:lineRule="exact"/>
        <w:ind w:firstLine="420" w:firstLineChars="200"/>
        <w:jc w:val="left"/>
        <w:rPr>
          <w:rFonts w:hint="eastAsia" w:ascii="仿宋_GB2312" w:eastAsia="仿宋_GB2312"/>
          <w:szCs w:val="21"/>
          <w:lang w:val="en-US" w:eastAsia="zh-CN"/>
        </w:rPr>
      </w:pPr>
    </w:p>
    <w:p w14:paraId="248C2B97">
      <w:pPr>
        <w:spacing w:line="600" w:lineRule="exact"/>
        <w:ind w:firstLine="420" w:firstLineChars="200"/>
        <w:jc w:val="left"/>
        <w:rPr>
          <w:rFonts w:hint="eastAsia" w:ascii="仿宋_GB2312" w:eastAsia="仿宋_GB2312"/>
          <w:szCs w:val="21"/>
          <w:lang w:val="en-US" w:eastAsia="zh-CN"/>
        </w:rPr>
      </w:pPr>
    </w:p>
    <w:p w14:paraId="62CBD781">
      <w:pPr>
        <w:spacing w:line="600" w:lineRule="exact"/>
        <w:jc w:val="left"/>
        <w:rPr>
          <w:rFonts w:hint="eastAsia" w:ascii="仿宋_GB2312" w:eastAsia="仿宋_GB2312"/>
          <w:szCs w:val="21"/>
          <w:lang w:val="en-US" w:eastAsia="zh-CN"/>
        </w:rPr>
      </w:pPr>
    </w:p>
    <w:p w14:paraId="168737D8">
      <w:pPr>
        <w:spacing w:line="600" w:lineRule="exact"/>
        <w:jc w:val="left"/>
        <w:rPr>
          <w:rFonts w:ascii="Times New Roman" w:hAnsi="Times New Roman" w:eastAsia="仿宋_GB2312" w:cs="Times New Roman"/>
          <w:color w:val="000000" w:themeColor="text1"/>
        </w:rPr>
      </w:pPr>
      <w:r>
        <w:rPr>
          <w:rFonts w:hint="eastAsia" w:ascii="Times New Roman" w:hAnsi="Times New Roman" w:eastAsia="仿宋_GB2312" w:cs="Times New Roman"/>
          <w:color w:val="000000" w:themeColor="text1"/>
        </w:rPr>
        <w:t>附件</w:t>
      </w:r>
      <w:r>
        <w:rPr>
          <w:rFonts w:ascii="Times New Roman" w:hAnsi="Times New Roman" w:eastAsia="仿宋_GB2312" w:cs="Times New Roman"/>
          <w:color w:val="000000" w:themeColor="text1"/>
        </w:rPr>
        <w:t xml:space="preserve">3 </w:t>
      </w:r>
    </w:p>
    <w:p w14:paraId="498542CB">
      <w:pPr>
        <w:spacing w:line="520" w:lineRule="exact"/>
        <w:ind w:left="630" w:hanging="630" w:hangingChars="300"/>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寻甸回族彝族自治县</w:t>
      </w:r>
      <w:r>
        <w:rPr>
          <w:rFonts w:hint="eastAsia" w:ascii="Times New Roman" w:hAnsi="Times New Roman" w:eastAsia="仿宋_GB2312" w:cs="Times New Roman"/>
          <w:color w:val="000000" w:themeColor="text1"/>
        </w:rPr>
        <w:t>融媒体中心</w:t>
      </w:r>
      <w:r>
        <w:rPr>
          <w:rFonts w:hint="eastAsia" w:ascii="Times New Roman" w:hAnsi="Times New Roman" w:eastAsia="仿宋_GB2312" w:cs="Times New Roman"/>
          <w:color w:val="000000" w:themeColor="text1"/>
          <w:lang w:eastAsia="zh-CN"/>
        </w:rPr>
        <w:t>2024</w:t>
      </w:r>
      <w:r>
        <w:rPr>
          <w:rFonts w:ascii="Times New Roman" w:hAnsi="Times New Roman" w:eastAsia="仿宋_GB2312" w:cs="Times New Roman"/>
          <w:color w:val="000000" w:themeColor="text1"/>
        </w:rPr>
        <w:t>年部门整体支出绩效评价指标体系</w:t>
      </w:r>
    </w:p>
    <w:tbl>
      <w:tblPr>
        <w:tblStyle w:val="8"/>
        <w:tblW w:w="9972" w:type="dxa"/>
        <w:jc w:val="center"/>
        <w:tblLayout w:type="fixed"/>
        <w:tblCellMar>
          <w:top w:w="0" w:type="dxa"/>
          <w:left w:w="30" w:type="dxa"/>
          <w:bottom w:w="0" w:type="dxa"/>
          <w:right w:w="30" w:type="dxa"/>
        </w:tblCellMar>
      </w:tblPr>
      <w:tblGrid>
        <w:gridCol w:w="551"/>
        <w:gridCol w:w="650"/>
        <w:gridCol w:w="1336"/>
        <w:gridCol w:w="521"/>
        <w:gridCol w:w="600"/>
        <w:gridCol w:w="2195"/>
        <w:gridCol w:w="2747"/>
        <w:gridCol w:w="1372"/>
      </w:tblGrid>
      <w:tr w14:paraId="422DE161">
        <w:tblPrEx>
          <w:tblCellMar>
            <w:top w:w="0" w:type="dxa"/>
            <w:left w:w="30" w:type="dxa"/>
            <w:bottom w:w="0" w:type="dxa"/>
            <w:right w:w="30" w:type="dxa"/>
          </w:tblCellMar>
        </w:tblPrEx>
        <w:trPr>
          <w:trHeight w:val="451"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25F09D7F">
            <w:pPr>
              <w:autoSpaceDE w:val="0"/>
              <w:autoSpaceDN w:val="0"/>
              <w:adjustRightInd w:val="0"/>
              <w:jc w:val="center"/>
              <w:rPr>
                <w:rFonts w:ascii="Times New Roman" w:hAnsi="Times New Roman" w:eastAsia="黑体" w:cs="Times New Roman"/>
                <w:b/>
                <w:bCs/>
                <w:color w:val="000000" w:themeColor="text1"/>
                <w:kern w:val="0"/>
                <w:szCs w:val="21"/>
              </w:rPr>
            </w:pPr>
            <w:r>
              <w:rPr>
                <w:rFonts w:ascii="Times New Roman" w:hAnsi="Times New Roman" w:eastAsia="黑体" w:cs="Times New Roman"/>
                <w:b/>
                <w:bCs/>
                <w:color w:val="000000" w:themeColor="text1"/>
                <w:kern w:val="0"/>
                <w:szCs w:val="21"/>
              </w:rPr>
              <w:t>一级指标</w:t>
            </w:r>
          </w:p>
        </w:tc>
        <w:tc>
          <w:tcPr>
            <w:tcW w:w="650" w:type="dxa"/>
            <w:tcBorders>
              <w:top w:val="single" w:color="auto" w:sz="6" w:space="0"/>
              <w:left w:val="single" w:color="auto" w:sz="6" w:space="0"/>
              <w:bottom w:val="single" w:color="auto" w:sz="6" w:space="0"/>
              <w:right w:val="single" w:color="auto" w:sz="6" w:space="0"/>
            </w:tcBorders>
            <w:vAlign w:val="center"/>
          </w:tcPr>
          <w:p w14:paraId="1BC5E878">
            <w:pPr>
              <w:autoSpaceDE w:val="0"/>
              <w:autoSpaceDN w:val="0"/>
              <w:adjustRightInd w:val="0"/>
              <w:jc w:val="center"/>
              <w:rPr>
                <w:rFonts w:ascii="Times New Roman" w:hAnsi="Times New Roman" w:eastAsia="黑体" w:cs="Times New Roman"/>
                <w:b/>
                <w:bCs/>
                <w:color w:val="000000" w:themeColor="text1"/>
                <w:kern w:val="0"/>
                <w:szCs w:val="21"/>
              </w:rPr>
            </w:pPr>
            <w:r>
              <w:rPr>
                <w:rFonts w:ascii="Times New Roman" w:hAnsi="Times New Roman" w:eastAsia="黑体" w:cs="Times New Roman"/>
                <w:b/>
                <w:bCs/>
                <w:color w:val="000000" w:themeColor="text1"/>
                <w:kern w:val="0"/>
                <w:szCs w:val="21"/>
              </w:rPr>
              <w:t>二级  指标</w:t>
            </w:r>
          </w:p>
        </w:tc>
        <w:tc>
          <w:tcPr>
            <w:tcW w:w="1336" w:type="dxa"/>
            <w:tcBorders>
              <w:top w:val="single" w:color="auto" w:sz="6" w:space="0"/>
              <w:left w:val="single" w:color="auto" w:sz="6" w:space="0"/>
              <w:bottom w:val="single" w:color="auto" w:sz="6" w:space="0"/>
              <w:right w:val="single" w:color="auto" w:sz="6" w:space="0"/>
            </w:tcBorders>
            <w:vAlign w:val="center"/>
          </w:tcPr>
          <w:p w14:paraId="18832C3F">
            <w:pPr>
              <w:autoSpaceDE w:val="0"/>
              <w:autoSpaceDN w:val="0"/>
              <w:adjustRightInd w:val="0"/>
              <w:jc w:val="center"/>
              <w:rPr>
                <w:rFonts w:ascii="Times New Roman" w:hAnsi="Times New Roman" w:eastAsia="黑体" w:cs="Times New Roman"/>
                <w:b/>
                <w:bCs/>
                <w:color w:val="000000" w:themeColor="text1"/>
                <w:kern w:val="0"/>
                <w:szCs w:val="21"/>
              </w:rPr>
            </w:pPr>
            <w:r>
              <w:rPr>
                <w:rFonts w:ascii="Times New Roman" w:hAnsi="Times New Roman" w:eastAsia="黑体" w:cs="Times New Roman"/>
                <w:b/>
                <w:bCs/>
                <w:color w:val="000000" w:themeColor="text1"/>
                <w:kern w:val="0"/>
                <w:szCs w:val="21"/>
              </w:rPr>
              <w:t>三级指标</w:t>
            </w:r>
          </w:p>
        </w:tc>
        <w:tc>
          <w:tcPr>
            <w:tcW w:w="521" w:type="dxa"/>
            <w:tcBorders>
              <w:top w:val="single" w:color="auto" w:sz="6" w:space="0"/>
              <w:left w:val="single" w:color="auto" w:sz="6" w:space="0"/>
              <w:bottom w:val="single" w:color="auto" w:sz="6" w:space="0"/>
              <w:right w:val="single" w:color="auto" w:sz="6" w:space="0"/>
            </w:tcBorders>
            <w:vAlign w:val="center"/>
          </w:tcPr>
          <w:p w14:paraId="176EC62D">
            <w:pPr>
              <w:autoSpaceDE w:val="0"/>
              <w:autoSpaceDN w:val="0"/>
              <w:adjustRightInd w:val="0"/>
              <w:jc w:val="center"/>
              <w:rPr>
                <w:rFonts w:ascii="Times New Roman" w:hAnsi="Times New Roman" w:eastAsia="黑体" w:cs="Times New Roman"/>
                <w:b/>
                <w:bCs/>
                <w:color w:val="000000" w:themeColor="text1"/>
                <w:kern w:val="0"/>
                <w:szCs w:val="21"/>
              </w:rPr>
            </w:pPr>
            <w:r>
              <w:rPr>
                <w:rFonts w:ascii="Times New Roman" w:hAnsi="Times New Roman" w:eastAsia="黑体" w:cs="Times New Roman"/>
                <w:b/>
                <w:bCs/>
                <w:color w:val="000000" w:themeColor="text1"/>
                <w:kern w:val="0"/>
                <w:szCs w:val="21"/>
              </w:rPr>
              <w:t>指标   分值</w:t>
            </w:r>
          </w:p>
        </w:tc>
        <w:tc>
          <w:tcPr>
            <w:tcW w:w="600" w:type="dxa"/>
            <w:tcBorders>
              <w:top w:val="single" w:color="auto" w:sz="6" w:space="0"/>
              <w:left w:val="single" w:color="auto" w:sz="6" w:space="0"/>
              <w:bottom w:val="single" w:color="auto" w:sz="6" w:space="0"/>
              <w:right w:val="single" w:color="auto" w:sz="6" w:space="0"/>
            </w:tcBorders>
            <w:vAlign w:val="center"/>
          </w:tcPr>
          <w:p w14:paraId="4BFE1C1F">
            <w:pPr>
              <w:autoSpaceDE w:val="0"/>
              <w:autoSpaceDN w:val="0"/>
              <w:adjustRightInd w:val="0"/>
              <w:jc w:val="center"/>
              <w:rPr>
                <w:rFonts w:ascii="Times New Roman" w:hAnsi="Times New Roman" w:eastAsia="黑体" w:cs="Times New Roman"/>
                <w:b/>
                <w:bCs/>
                <w:color w:val="000000" w:themeColor="text1"/>
                <w:kern w:val="0"/>
                <w:szCs w:val="21"/>
              </w:rPr>
            </w:pPr>
            <w:r>
              <w:rPr>
                <w:rFonts w:ascii="Times New Roman" w:hAnsi="Times New Roman" w:eastAsia="黑体" w:cs="Times New Roman"/>
                <w:b/>
                <w:bCs/>
                <w:color w:val="000000" w:themeColor="text1"/>
                <w:kern w:val="0"/>
                <w:szCs w:val="21"/>
              </w:rPr>
              <w:t>得分</w:t>
            </w:r>
          </w:p>
        </w:tc>
        <w:tc>
          <w:tcPr>
            <w:tcW w:w="2195" w:type="dxa"/>
            <w:tcBorders>
              <w:top w:val="single" w:color="auto" w:sz="6" w:space="0"/>
              <w:left w:val="single" w:color="auto" w:sz="6" w:space="0"/>
              <w:bottom w:val="single" w:color="auto" w:sz="6" w:space="0"/>
              <w:right w:val="single" w:color="auto" w:sz="6" w:space="0"/>
            </w:tcBorders>
            <w:vAlign w:val="center"/>
          </w:tcPr>
          <w:p w14:paraId="08A5C176">
            <w:pPr>
              <w:autoSpaceDE w:val="0"/>
              <w:autoSpaceDN w:val="0"/>
              <w:adjustRightInd w:val="0"/>
              <w:jc w:val="center"/>
              <w:rPr>
                <w:rFonts w:ascii="Times New Roman" w:hAnsi="Times New Roman" w:eastAsia="黑体" w:cs="Times New Roman"/>
                <w:b/>
                <w:bCs/>
                <w:color w:val="000000" w:themeColor="text1"/>
                <w:kern w:val="0"/>
                <w:szCs w:val="21"/>
              </w:rPr>
            </w:pPr>
            <w:r>
              <w:rPr>
                <w:rFonts w:ascii="Times New Roman" w:hAnsi="Times New Roman" w:eastAsia="黑体" w:cs="Times New Roman"/>
                <w:b/>
                <w:bCs/>
                <w:color w:val="000000" w:themeColor="text1"/>
                <w:kern w:val="0"/>
                <w:szCs w:val="21"/>
              </w:rPr>
              <w:t>指标解释</w:t>
            </w:r>
          </w:p>
        </w:tc>
        <w:tc>
          <w:tcPr>
            <w:tcW w:w="2747" w:type="dxa"/>
            <w:tcBorders>
              <w:top w:val="single" w:color="auto" w:sz="6" w:space="0"/>
              <w:left w:val="single" w:color="auto" w:sz="6" w:space="0"/>
              <w:bottom w:val="single" w:color="auto" w:sz="6" w:space="0"/>
              <w:right w:val="single" w:color="auto" w:sz="6" w:space="0"/>
            </w:tcBorders>
            <w:vAlign w:val="center"/>
          </w:tcPr>
          <w:p w14:paraId="7D8DE0A3">
            <w:pPr>
              <w:autoSpaceDE w:val="0"/>
              <w:autoSpaceDN w:val="0"/>
              <w:adjustRightInd w:val="0"/>
              <w:jc w:val="center"/>
              <w:rPr>
                <w:rFonts w:ascii="Times New Roman" w:hAnsi="Times New Roman" w:eastAsia="黑体" w:cs="Times New Roman"/>
                <w:b/>
                <w:bCs/>
                <w:color w:val="000000" w:themeColor="text1"/>
                <w:kern w:val="0"/>
                <w:szCs w:val="21"/>
              </w:rPr>
            </w:pPr>
            <w:r>
              <w:rPr>
                <w:rFonts w:ascii="Times New Roman" w:hAnsi="Times New Roman" w:eastAsia="黑体" w:cs="Times New Roman"/>
                <w:b/>
                <w:bCs/>
                <w:color w:val="000000" w:themeColor="text1"/>
                <w:kern w:val="0"/>
                <w:szCs w:val="21"/>
              </w:rPr>
              <w:t>指标评分细则</w:t>
            </w:r>
          </w:p>
        </w:tc>
        <w:tc>
          <w:tcPr>
            <w:tcW w:w="1372" w:type="dxa"/>
            <w:tcBorders>
              <w:top w:val="single" w:color="auto" w:sz="6" w:space="0"/>
              <w:left w:val="single" w:color="auto" w:sz="6" w:space="0"/>
              <w:bottom w:val="single" w:color="auto" w:sz="6" w:space="0"/>
              <w:right w:val="single" w:color="auto" w:sz="6" w:space="0"/>
            </w:tcBorders>
            <w:vAlign w:val="center"/>
          </w:tcPr>
          <w:p w14:paraId="3386AC02">
            <w:pPr>
              <w:autoSpaceDE w:val="0"/>
              <w:autoSpaceDN w:val="0"/>
              <w:adjustRightInd w:val="0"/>
              <w:jc w:val="center"/>
              <w:rPr>
                <w:rFonts w:ascii="Times New Roman" w:hAnsi="Times New Roman" w:eastAsia="黑体" w:cs="Times New Roman"/>
                <w:b/>
                <w:bCs/>
                <w:color w:val="000000" w:themeColor="text1"/>
                <w:kern w:val="0"/>
                <w:szCs w:val="21"/>
              </w:rPr>
            </w:pPr>
            <w:r>
              <w:rPr>
                <w:rFonts w:ascii="Times New Roman" w:hAnsi="Times New Roman" w:eastAsia="黑体" w:cs="Times New Roman"/>
                <w:b/>
                <w:bCs/>
                <w:color w:val="000000" w:themeColor="text1"/>
                <w:kern w:val="0"/>
                <w:szCs w:val="21"/>
              </w:rPr>
              <w:t>数据来源</w:t>
            </w:r>
          </w:p>
        </w:tc>
      </w:tr>
      <w:tr w14:paraId="70C01129">
        <w:tblPrEx>
          <w:tblCellMar>
            <w:top w:w="0" w:type="dxa"/>
            <w:left w:w="30" w:type="dxa"/>
            <w:bottom w:w="0" w:type="dxa"/>
            <w:right w:w="30" w:type="dxa"/>
          </w:tblCellMar>
        </w:tblPrEx>
        <w:trPr>
          <w:trHeight w:val="1140"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717B64E4">
            <w:pPr>
              <w:autoSpaceDE w:val="0"/>
              <w:autoSpaceDN w:val="0"/>
              <w:adjustRightInd w:val="0"/>
              <w:rPr>
                <w:rFonts w:ascii="Times New Roman" w:hAnsi="Times New Roman" w:eastAsia="仿宋_GB2312" w:cs="Times New Roman"/>
                <w:b/>
                <w:bCs/>
                <w:color w:val="000000" w:themeColor="text1"/>
                <w:kern w:val="0"/>
                <w:szCs w:val="21"/>
              </w:rPr>
            </w:pPr>
            <w:r>
              <w:rPr>
                <w:rFonts w:ascii="Times New Roman" w:hAnsi="Times New Roman" w:eastAsia="仿宋_GB2312" w:cs="Times New Roman"/>
                <w:b/>
                <w:bCs/>
                <w:color w:val="000000" w:themeColor="text1"/>
                <w:kern w:val="0"/>
                <w:szCs w:val="21"/>
              </w:rPr>
              <w:t>A部门决策（35分）</w:t>
            </w:r>
          </w:p>
        </w:tc>
        <w:tc>
          <w:tcPr>
            <w:tcW w:w="650" w:type="dxa"/>
            <w:tcBorders>
              <w:top w:val="single" w:color="auto" w:sz="6" w:space="0"/>
              <w:left w:val="single" w:color="auto" w:sz="6" w:space="0"/>
              <w:bottom w:val="single" w:color="auto" w:sz="6" w:space="0"/>
              <w:right w:val="single" w:color="auto" w:sz="6" w:space="0"/>
            </w:tcBorders>
            <w:vAlign w:val="center"/>
          </w:tcPr>
          <w:p w14:paraId="1EDA5BA5">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A1部门目标（12分）</w:t>
            </w:r>
          </w:p>
        </w:tc>
        <w:tc>
          <w:tcPr>
            <w:tcW w:w="1336" w:type="dxa"/>
            <w:tcBorders>
              <w:top w:val="single" w:color="auto" w:sz="6" w:space="0"/>
              <w:left w:val="single" w:color="auto" w:sz="6" w:space="0"/>
              <w:bottom w:val="single" w:color="auto" w:sz="6" w:space="0"/>
              <w:right w:val="single" w:color="auto" w:sz="6" w:space="0"/>
            </w:tcBorders>
            <w:vAlign w:val="center"/>
          </w:tcPr>
          <w:p w14:paraId="0FC1E567">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A11部门中长期规划目标的明确性与合理性（2分）</w:t>
            </w:r>
          </w:p>
        </w:tc>
        <w:tc>
          <w:tcPr>
            <w:tcW w:w="521" w:type="dxa"/>
            <w:tcBorders>
              <w:top w:val="single" w:color="auto" w:sz="6" w:space="0"/>
              <w:left w:val="single" w:color="auto" w:sz="6" w:space="0"/>
              <w:bottom w:val="single" w:color="auto" w:sz="6" w:space="0"/>
              <w:right w:val="single" w:color="auto" w:sz="6" w:space="0"/>
            </w:tcBorders>
            <w:vAlign w:val="center"/>
          </w:tcPr>
          <w:p w14:paraId="47BB7349">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2</w:t>
            </w:r>
          </w:p>
        </w:tc>
        <w:tc>
          <w:tcPr>
            <w:tcW w:w="600" w:type="dxa"/>
            <w:tcBorders>
              <w:top w:val="single" w:color="auto" w:sz="6" w:space="0"/>
              <w:left w:val="single" w:color="auto" w:sz="6" w:space="0"/>
              <w:bottom w:val="single" w:color="auto" w:sz="6" w:space="0"/>
              <w:right w:val="single" w:color="auto" w:sz="6" w:space="0"/>
            </w:tcBorders>
            <w:vAlign w:val="center"/>
          </w:tcPr>
          <w:p w14:paraId="19EF44E8">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2</w:t>
            </w:r>
          </w:p>
        </w:tc>
        <w:tc>
          <w:tcPr>
            <w:tcW w:w="2195" w:type="dxa"/>
            <w:tcBorders>
              <w:top w:val="single" w:color="auto" w:sz="6" w:space="0"/>
              <w:left w:val="single" w:color="auto" w:sz="6" w:space="0"/>
              <w:bottom w:val="single" w:color="auto" w:sz="6" w:space="0"/>
              <w:right w:val="single" w:color="auto" w:sz="6" w:space="0"/>
            </w:tcBorders>
            <w:vAlign w:val="center"/>
          </w:tcPr>
          <w:p w14:paraId="37A4F95A">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部门（单位）中长期规划目标的设定情况；中长期规划目标应设定明确，应与政府中长期规划目标相适应，且应与部门职能相适应。</w:t>
            </w:r>
          </w:p>
        </w:tc>
        <w:tc>
          <w:tcPr>
            <w:tcW w:w="2747" w:type="dxa"/>
            <w:tcBorders>
              <w:top w:val="single" w:color="auto" w:sz="6" w:space="0"/>
              <w:left w:val="single" w:color="auto" w:sz="6" w:space="0"/>
              <w:bottom w:val="single" w:color="auto" w:sz="6" w:space="0"/>
              <w:right w:val="single" w:color="auto" w:sz="6" w:space="0"/>
            </w:tcBorders>
            <w:vAlign w:val="center"/>
          </w:tcPr>
          <w:p w14:paraId="1E0F1187">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设定了部门中长期规划目标，得0.5分；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设定的部门中长期规划目标明确，得0.5分；</w:t>
            </w:r>
            <w:r>
              <w:rPr>
                <w:rFonts w:hint="eastAsia" w:ascii="宋体" w:hAnsi="宋体" w:eastAsia="宋体" w:cs="宋体"/>
                <w:color w:val="000000" w:themeColor="text1"/>
                <w:kern w:val="0"/>
                <w:szCs w:val="21"/>
              </w:rPr>
              <w:t>③</w:t>
            </w:r>
            <w:r>
              <w:rPr>
                <w:rFonts w:ascii="Times New Roman" w:hAnsi="Times New Roman" w:eastAsia="仿宋_GB2312" w:cs="Times New Roman"/>
                <w:color w:val="000000" w:themeColor="text1"/>
                <w:kern w:val="0"/>
                <w:szCs w:val="21"/>
              </w:rPr>
              <w:t>能够适应市、县政府相关规划，得0.5分；</w:t>
            </w:r>
            <w:r>
              <w:rPr>
                <w:rFonts w:hint="eastAsia" w:ascii="宋体" w:hAnsi="宋体" w:eastAsia="宋体" w:cs="宋体"/>
                <w:color w:val="000000" w:themeColor="text1"/>
                <w:kern w:val="0"/>
                <w:szCs w:val="21"/>
              </w:rPr>
              <w:t>④</w:t>
            </w:r>
            <w:r>
              <w:rPr>
                <w:rFonts w:ascii="Times New Roman" w:hAnsi="Times New Roman" w:eastAsia="仿宋_GB2312" w:cs="Times New Roman"/>
                <w:color w:val="000000" w:themeColor="text1"/>
                <w:kern w:val="0"/>
                <w:szCs w:val="21"/>
              </w:rPr>
              <w:t>能够与部门职能相适应，得0.5分。</w:t>
            </w:r>
          </w:p>
        </w:tc>
        <w:tc>
          <w:tcPr>
            <w:tcW w:w="1372" w:type="dxa"/>
            <w:tcBorders>
              <w:top w:val="single" w:color="auto" w:sz="6" w:space="0"/>
              <w:left w:val="single" w:color="auto" w:sz="6" w:space="0"/>
              <w:bottom w:val="single" w:color="auto" w:sz="6" w:space="0"/>
              <w:right w:val="single" w:color="auto" w:sz="6" w:space="0"/>
            </w:tcBorders>
            <w:vAlign w:val="center"/>
          </w:tcPr>
          <w:p w14:paraId="084013F8">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部门中长期规划目标、市、县政府相关规划、部门“三定”方案、部门职能文件。</w:t>
            </w:r>
          </w:p>
        </w:tc>
      </w:tr>
      <w:tr w14:paraId="4AF1768C">
        <w:tblPrEx>
          <w:tblCellMar>
            <w:top w:w="0" w:type="dxa"/>
            <w:left w:w="30" w:type="dxa"/>
            <w:bottom w:w="0" w:type="dxa"/>
            <w:right w:w="30" w:type="dxa"/>
          </w:tblCellMar>
        </w:tblPrEx>
        <w:trPr>
          <w:trHeight w:val="583"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0288D7C9">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1438F062">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0814F73D">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A12年度工作目标的明确性与合理性（2分）</w:t>
            </w:r>
          </w:p>
        </w:tc>
        <w:tc>
          <w:tcPr>
            <w:tcW w:w="521" w:type="dxa"/>
            <w:tcBorders>
              <w:top w:val="single" w:color="auto" w:sz="6" w:space="0"/>
              <w:left w:val="single" w:color="auto" w:sz="6" w:space="0"/>
              <w:bottom w:val="single" w:color="auto" w:sz="6" w:space="0"/>
              <w:right w:val="single" w:color="auto" w:sz="6" w:space="0"/>
            </w:tcBorders>
            <w:vAlign w:val="center"/>
          </w:tcPr>
          <w:p w14:paraId="0271CFEA">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2</w:t>
            </w:r>
          </w:p>
        </w:tc>
        <w:tc>
          <w:tcPr>
            <w:tcW w:w="600" w:type="dxa"/>
            <w:tcBorders>
              <w:top w:val="single" w:color="auto" w:sz="6" w:space="0"/>
              <w:left w:val="single" w:color="auto" w:sz="6" w:space="0"/>
              <w:bottom w:val="single" w:color="auto" w:sz="6" w:space="0"/>
              <w:right w:val="single" w:color="auto" w:sz="6" w:space="0"/>
            </w:tcBorders>
            <w:vAlign w:val="center"/>
          </w:tcPr>
          <w:p w14:paraId="5BDE2BED">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2</w:t>
            </w:r>
          </w:p>
        </w:tc>
        <w:tc>
          <w:tcPr>
            <w:tcW w:w="2195" w:type="dxa"/>
            <w:tcBorders>
              <w:top w:val="single" w:color="auto" w:sz="6" w:space="0"/>
              <w:left w:val="single" w:color="auto" w:sz="6" w:space="0"/>
              <w:bottom w:val="single" w:color="auto" w:sz="6" w:space="0"/>
              <w:right w:val="single" w:color="auto" w:sz="6" w:space="0"/>
            </w:tcBorders>
            <w:vAlign w:val="center"/>
          </w:tcPr>
          <w:p w14:paraId="07DA5822">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部门年度工作目标的设定是否明确合理</w:t>
            </w:r>
          </w:p>
        </w:tc>
        <w:tc>
          <w:tcPr>
            <w:tcW w:w="2747" w:type="dxa"/>
            <w:tcBorders>
              <w:top w:val="single" w:color="auto" w:sz="6" w:space="0"/>
              <w:left w:val="single" w:color="auto" w:sz="6" w:space="0"/>
              <w:bottom w:val="single" w:color="auto" w:sz="6" w:space="0"/>
              <w:right w:val="single" w:color="auto" w:sz="6" w:space="0"/>
            </w:tcBorders>
            <w:vAlign w:val="center"/>
          </w:tcPr>
          <w:p w14:paraId="689FEB31">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部门年度工作目标明确设定，得1分；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年度工作目标与部门中长期规划目标一致，得1分。</w:t>
            </w:r>
          </w:p>
        </w:tc>
        <w:tc>
          <w:tcPr>
            <w:tcW w:w="1372" w:type="dxa"/>
            <w:tcBorders>
              <w:top w:val="single" w:color="auto" w:sz="6" w:space="0"/>
              <w:left w:val="single" w:color="auto" w:sz="6" w:space="0"/>
              <w:bottom w:val="single" w:color="auto" w:sz="6" w:space="0"/>
              <w:right w:val="single" w:color="auto" w:sz="6" w:space="0"/>
            </w:tcBorders>
            <w:vAlign w:val="center"/>
          </w:tcPr>
          <w:p w14:paraId="1AC1D977">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年度工作目标与部门中长期规划文件</w:t>
            </w:r>
          </w:p>
        </w:tc>
      </w:tr>
      <w:tr w14:paraId="61D68A3A">
        <w:tblPrEx>
          <w:tblCellMar>
            <w:top w:w="0" w:type="dxa"/>
            <w:left w:w="30" w:type="dxa"/>
            <w:bottom w:w="0" w:type="dxa"/>
            <w:right w:w="30" w:type="dxa"/>
          </w:tblCellMar>
        </w:tblPrEx>
        <w:trPr>
          <w:trHeight w:val="557"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433B38A9">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68E4CC05">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11F4BB6A">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A13年度工作计划与年度工作目标的一致性（2分）</w:t>
            </w:r>
          </w:p>
        </w:tc>
        <w:tc>
          <w:tcPr>
            <w:tcW w:w="521" w:type="dxa"/>
            <w:tcBorders>
              <w:top w:val="single" w:color="auto" w:sz="6" w:space="0"/>
              <w:left w:val="single" w:color="auto" w:sz="6" w:space="0"/>
              <w:bottom w:val="single" w:color="auto" w:sz="6" w:space="0"/>
              <w:right w:val="single" w:color="auto" w:sz="6" w:space="0"/>
            </w:tcBorders>
            <w:vAlign w:val="center"/>
          </w:tcPr>
          <w:p w14:paraId="1C2A97D6">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2</w:t>
            </w:r>
          </w:p>
        </w:tc>
        <w:tc>
          <w:tcPr>
            <w:tcW w:w="600" w:type="dxa"/>
            <w:tcBorders>
              <w:top w:val="single" w:color="auto" w:sz="6" w:space="0"/>
              <w:left w:val="single" w:color="auto" w:sz="6" w:space="0"/>
              <w:bottom w:val="single" w:color="auto" w:sz="6" w:space="0"/>
              <w:right w:val="single" w:color="auto" w:sz="6" w:space="0"/>
            </w:tcBorders>
            <w:vAlign w:val="center"/>
          </w:tcPr>
          <w:p w14:paraId="06E1C959">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1.8</w:t>
            </w:r>
          </w:p>
        </w:tc>
        <w:tc>
          <w:tcPr>
            <w:tcW w:w="2195" w:type="dxa"/>
            <w:tcBorders>
              <w:top w:val="single" w:color="auto" w:sz="6" w:space="0"/>
              <w:left w:val="single" w:color="auto" w:sz="6" w:space="0"/>
              <w:bottom w:val="single" w:color="auto" w:sz="6" w:space="0"/>
              <w:right w:val="single" w:color="auto" w:sz="6" w:space="0"/>
            </w:tcBorders>
            <w:vAlign w:val="center"/>
          </w:tcPr>
          <w:p w14:paraId="20374D9D">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部门年度工作计划是否与部门年度工作目标相一致。</w:t>
            </w:r>
          </w:p>
        </w:tc>
        <w:tc>
          <w:tcPr>
            <w:tcW w:w="2747" w:type="dxa"/>
            <w:tcBorders>
              <w:top w:val="single" w:color="auto" w:sz="6" w:space="0"/>
              <w:left w:val="single" w:color="auto" w:sz="6" w:space="0"/>
              <w:bottom w:val="single" w:color="auto" w:sz="6" w:space="0"/>
              <w:right w:val="single" w:color="auto" w:sz="6" w:space="0"/>
            </w:tcBorders>
            <w:vAlign w:val="center"/>
          </w:tcPr>
          <w:p w14:paraId="2015C225">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将部门详细工作计划与年度工作目标对应匹配，视匹配情况酌情得0-2分。</w:t>
            </w:r>
          </w:p>
        </w:tc>
        <w:tc>
          <w:tcPr>
            <w:tcW w:w="1372" w:type="dxa"/>
            <w:tcBorders>
              <w:top w:val="single" w:color="auto" w:sz="6" w:space="0"/>
              <w:left w:val="single" w:color="auto" w:sz="6" w:space="0"/>
              <w:bottom w:val="single" w:color="auto" w:sz="6" w:space="0"/>
              <w:right w:val="single" w:color="auto" w:sz="6" w:space="0"/>
            </w:tcBorders>
            <w:vAlign w:val="center"/>
          </w:tcPr>
          <w:p w14:paraId="5F5E7875">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年度工作计划与年度工作目标文件</w:t>
            </w:r>
          </w:p>
        </w:tc>
      </w:tr>
      <w:tr w14:paraId="02D49406">
        <w:tblPrEx>
          <w:tblCellMar>
            <w:top w:w="0" w:type="dxa"/>
            <w:left w:w="30" w:type="dxa"/>
            <w:bottom w:w="0" w:type="dxa"/>
            <w:right w:w="30" w:type="dxa"/>
          </w:tblCellMar>
        </w:tblPrEx>
        <w:trPr>
          <w:trHeight w:val="761"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12C410C5">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03A51827">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74426655">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A14绩效目标合理性（3分）</w:t>
            </w:r>
          </w:p>
        </w:tc>
        <w:tc>
          <w:tcPr>
            <w:tcW w:w="521" w:type="dxa"/>
            <w:tcBorders>
              <w:top w:val="single" w:color="auto" w:sz="6" w:space="0"/>
              <w:left w:val="single" w:color="auto" w:sz="6" w:space="0"/>
              <w:bottom w:val="single" w:color="auto" w:sz="6" w:space="0"/>
              <w:right w:val="single" w:color="auto" w:sz="6" w:space="0"/>
            </w:tcBorders>
            <w:vAlign w:val="center"/>
          </w:tcPr>
          <w:p w14:paraId="77855582">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3</w:t>
            </w:r>
          </w:p>
        </w:tc>
        <w:tc>
          <w:tcPr>
            <w:tcW w:w="600" w:type="dxa"/>
            <w:tcBorders>
              <w:top w:val="single" w:color="auto" w:sz="6" w:space="0"/>
              <w:left w:val="single" w:color="auto" w:sz="6" w:space="0"/>
              <w:bottom w:val="single" w:color="auto" w:sz="6" w:space="0"/>
              <w:right w:val="single" w:color="auto" w:sz="6" w:space="0"/>
            </w:tcBorders>
            <w:vAlign w:val="center"/>
          </w:tcPr>
          <w:p w14:paraId="0E47D28B">
            <w:pPr>
              <w:autoSpaceDE w:val="0"/>
              <w:autoSpaceDN w:val="0"/>
              <w:adjustRightInd w:val="0"/>
              <w:jc w:val="center"/>
              <w:rPr>
                <w:rFonts w:hint="eastAsia" w:ascii="Times New Roman" w:hAnsi="Times New Roman" w:eastAsia="仿宋_GB2312" w:cs="Times New Roman"/>
                <w:color w:val="000000" w:themeColor="text1"/>
                <w:kern w:val="0"/>
                <w:szCs w:val="21"/>
                <w:lang w:eastAsia="zh-CN"/>
              </w:rPr>
            </w:pPr>
            <w:r>
              <w:rPr>
                <w:rFonts w:ascii="Times New Roman" w:hAnsi="Times New Roman" w:eastAsia="仿宋_GB2312" w:cs="Times New Roman"/>
                <w:color w:val="000000" w:themeColor="text1"/>
                <w:kern w:val="0"/>
                <w:szCs w:val="21"/>
              </w:rPr>
              <w:t>2.</w:t>
            </w:r>
            <w:r>
              <w:rPr>
                <w:rFonts w:hint="eastAsia" w:ascii="Times New Roman" w:hAnsi="Times New Roman" w:eastAsia="仿宋_GB2312" w:cs="Times New Roman"/>
                <w:color w:val="000000" w:themeColor="text1"/>
                <w:kern w:val="0"/>
                <w:szCs w:val="21"/>
                <w:lang w:val="en-US" w:eastAsia="zh-CN"/>
              </w:rPr>
              <w:t>7</w:t>
            </w:r>
          </w:p>
        </w:tc>
        <w:tc>
          <w:tcPr>
            <w:tcW w:w="2195" w:type="dxa"/>
            <w:tcBorders>
              <w:top w:val="single" w:color="auto" w:sz="6" w:space="0"/>
              <w:left w:val="single" w:color="auto" w:sz="6" w:space="0"/>
              <w:bottom w:val="single" w:color="auto" w:sz="6" w:space="0"/>
              <w:right w:val="single" w:color="auto" w:sz="6" w:space="0"/>
            </w:tcBorders>
            <w:vAlign w:val="center"/>
          </w:tcPr>
          <w:p w14:paraId="37308AAB">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用以反映和考核部门整体绩效目标与部门职能、年度工作目标的一致性。</w:t>
            </w:r>
          </w:p>
        </w:tc>
        <w:tc>
          <w:tcPr>
            <w:tcW w:w="2747" w:type="dxa"/>
            <w:tcBorders>
              <w:top w:val="single" w:color="auto" w:sz="6" w:space="0"/>
              <w:left w:val="single" w:color="auto" w:sz="6" w:space="0"/>
              <w:bottom w:val="single" w:color="auto" w:sz="6" w:space="0"/>
              <w:right w:val="single" w:color="auto" w:sz="6" w:space="0"/>
            </w:tcBorders>
            <w:vAlign w:val="center"/>
          </w:tcPr>
          <w:p w14:paraId="0415ED7B">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符合部门制定的中长期实施规划计1分；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符合部门“三定”方案确定的职责计1分；</w:t>
            </w:r>
            <w:r>
              <w:rPr>
                <w:rFonts w:hint="eastAsia" w:ascii="宋体" w:hAnsi="宋体" w:eastAsia="宋体" w:cs="宋体"/>
                <w:color w:val="000000" w:themeColor="text1"/>
                <w:kern w:val="0"/>
                <w:szCs w:val="21"/>
              </w:rPr>
              <w:t>③</w:t>
            </w:r>
            <w:r>
              <w:rPr>
                <w:rFonts w:ascii="Times New Roman" w:hAnsi="Times New Roman" w:eastAsia="仿宋_GB2312" w:cs="Times New Roman"/>
                <w:color w:val="000000" w:themeColor="text1"/>
                <w:kern w:val="0"/>
                <w:szCs w:val="21"/>
              </w:rPr>
              <w:t>与部门年度工作目标、任务相一致计1分。</w:t>
            </w:r>
          </w:p>
        </w:tc>
        <w:tc>
          <w:tcPr>
            <w:tcW w:w="1372" w:type="dxa"/>
            <w:tcBorders>
              <w:top w:val="single" w:color="auto" w:sz="6" w:space="0"/>
              <w:left w:val="single" w:color="auto" w:sz="6" w:space="0"/>
              <w:bottom w:val="single" w:color="auto" w:sz="6" w:space="0"/>
              <w:right w:val="single" w:color="auto" w:sz="6" w:space="0"/>
            </w:tcBorders>
            <w:vAlign w:val="center"/>
          </w:tcPr>
          <w:p w14:paraId="5871EC39">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部门中长期规划、部门“三定”方案、年度重点工作任务与工作计划</w:t>
            </w:r>
          </w:p>
        </w:tc>
      </w:tr>
      <w:tr w14:paraId="3D5BA736">
        <w:tblPrEx>
          <w:tblCellMar>
            <w:top w:w="0" w:type="dxa"/>
            <w:left w:w="30" w:type="dxa"/>
            <w:bottom w:w="0" w:type="dxa"/>
            <w:right w:w="30" w:type="dxa"/>
          </w:tblCellMar>
        </w:tblPrEx>
        <w:trPr>
          <w:trHeight w:val="1111"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50B4AF91">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203FC775">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2F088C24">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A15绩效指标明确性（3分）</w:t>
            </w:r>
          </w:p>
        </w:tc>
        <w:tc>
          <w:tcPr>
            <w:tcW w:w="521" w:type="dxa"/>
            <w:tcBorders>
              <w:top w:val="single" w:color="auto" w:sz="6" w:space="0"/>
              <w:left w:val="single" w:color="auto" w:sz="6" w:space="0"/>
              <w:bottom w:val="single" w:color="auto" w:sz="6" w:space="0"/>
              <w:right w:val="single" w:color="auto" w:sz="6" w:space="0"/>
            </w:tcBorders>
            <w:vAlign w:val="center"/>
          </w:tcPr>
          <w:p w14:paraId="0E7283C5">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3</w:t>
            </w:r>
          </w:p>
        </w:tc>
        <w:tc>
          <w:tcPr>
            <w:tcW w:w="600" w:type="dxa"/>
            <w:tcBorders>
              <w:top w:val="single" w:color="auto" w:sz="6" w:space="0"/>
              <w:left w:val="single" w:color="auto" w:sz="6" w:space="0"/>
              <w:bottom w:val="single" w:color="auto" w:sz="6" w:space="0"/>
              <w:right w:val="single" w:color="auto" w:sz="6" w:space="0"/>
            </w:tcBorders>
            <w:vAlign w:val="center"/>
          </w:tcPr>
          <w:p w14:paraId="091D4F61">
            <w:pPr>
              <w:autoSpaceDE w:val="0"/>
              <w:autoSpaceDN w:val="0"/>
              <w:adjustRightInd w:val="0"/>
              <w:jc w:val="center"/>
              <w:rPr>
                <w:rFonts w:hint="eastAsia" w:ascii="Times New Roman" w:hAnsi="Times New Roman" w:eastAsia="仿宋_GB2312" w:cs="Times New Roman"/>
                <w:color w:val="000000" w:themeColor="text1"/>
                <w:kern w:val="0"/>
                <w:szCs w:val="21"/>
                <w:lang w:eastAsia="zh-CN"/>
              </w:rPr>
            </w:pPr>
            <w:r>
              <w:rPr>
                <w:rFonts w:ascii="Times New Roman" w:hAnsi="Times New Roman" w:eastAsia="仿宋_GB2312" w:cs="Times New Roman"/>
                <w:color w:val="000000" w:themeColor="text1"/>
                <w:kern w:val="0"/>
                <w:szCs w:val="21"/>
              </w:rPr>
              <w:t>2</w:t>
            </w:r>
            <w:r>
              <w:rPr>
                <w:rFonts w:hint="eastAsia" w:ascii="Times New Roman" w:hAnsi="Times New Roman" w:eastAsia="仿宋_GB2312" w:cs="Times New Roman"/>
                <w:color w:val="000000" w:themeColor="text1"/>
                <w:kern w:val="0"/>
                <w:szCs w:val="21"/>
              </w:rPr>
              <w:t>.</w:t>
            </w:r>
            <w:r>
              <w:rPr>
                <w:rFonts w:hint="eastAsia" w:ascii="Times New Roman" w:hAnsi="Times New Roman" w:eastAsia="仿宋_GB2312" w:cs="Times New Roman"/>
                <w:color w:val="000000" w:themeColor="text1"/>
                <w:kern w:val="0"/>
                <w:szCs w:val="21"/>
                <w:lang w:val="en-US" w:eastAsia="zh-CN"/>
              </w:rPr>
              <w:t>6</w:t>
            </w:r>
          </w:p>
        </w:tc>
        <w:tc>
          <w:tcPr>
            <w:tcW w:w="2195" w:type="dxa"/>
            <w:tcBorders>
              <w:top w:val="single" w:color="auto" w:sz="6" w:space="0"/>
              <w:left w:val="single" w:color="auto" w:sz="6" w:space="0"/>
              <w:bottom w:val="single" w:color="auto" w:sz="6" w:space="0"/>
              <w:right w:val="single" w:color="auto" w:sz="6" w:space="0"/>
            </w:tcBorders>
            <w:vAlign w:val="center"/>
          </w:tcPr>
          <w:p w14:paraId="629B45AF">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整体绩效目标所设定的绩效指标是否依据部门工作目标和工作任务进行细化、量化，绩效指标是否可衡量。</w:t>
            </w:r>
          </w:p>
        </w:tc>
        <w:tc>
          <w:tcPr>
            <w:tcW w:w="2747" w:type="dxa"/>
            <w:tcBorders>
              <w:top w:val="single" w:color="auto" w:sz="6" w:space="0"/>
              <w:left w:val="single" w:color="auto" w:sz="6" w:space="0"/>
              <w:bottom w:val="single" w:color="auto" w:sz="6" w:space="0"/>
              <w:right w:val="single" w:color="auto" w:sz="6" w:space="0"/>
            </w:tcBorders>
            <w:vAlign w:val="center"/>
          </w:tcPr>
          <w:p w14:paraId="3BE26A0B">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将部门整体的绩效目标细化分解为具体的工作任务计1分；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通过清晰、可衡量的指标值予以体现计0.5分。</w:t>
            </w:r>
            <w:r>
              <w:rPr>
                <w:rFonts w:hint="eastAsia" w:ascii="宋体" w:hAnsi="宋体" w:eastAsia="宋体" w:cs="宋体"/>
                <w:color w:val="000000" w:themeColor="text1"/>
                <w:kern w:val="0"/>
                <w:szCs w:val="21"/>
              </w:rPr>
              <w:t>③</w:t>
            </w:r>
            <w:r>
              <w:rPr>
                <w:rFonts w:ascii="Times New Roman" w:hAnsi="Times New Roman" w:eastAsia="仿宋_GB2312" w:cs="Times New Roman"/>
                <w:color w:val="000000" w:themeColor="text1"/>
                <w:kern w:val="0"/>
                <w:szCs w:val="21"/>
              </w:rPr>
              <w:t>与部门年度的任务数或计划数相对应计0.5分；</w:t>
            </w:r>
            <w:r>
              <w:rPr>
                <w:rFonts w:hint="eastAsia" w:ascii="宋体" w:hAnsi="宋体" w:eastAsia="宋体" w:cs="宋体"/>
                <w:color w:val="000000" w:themeColor="text1"/>
                <w:kern w:val="0"/>
                <w:szCs w:val="21"/>
              </w:rPr>
              <w:t>④</w:t>
            </w:r>
            <w:r>
              <w:rPr>
                <w:rFonts w:ascii="Times New Roman" w:hAnsi="Times New Roman" w:eastAsia="仿宋_GB2312" w:cs="Times New Roman"/>
                <w:color w:val="000000" w:themeColor="text1"/>
                <w:kern w:val="0"/>
                <w:szCs w:val="21"/>
              </w:rPr>
              <w:t>与本年度部门预算资金相匹配计1分。</w:t>
            </w:r>
          </w:p>
        </w:tc>
        <w:tc>
          <w:tcPr>
            <w:tcW w:w="1372" w:type="dxa"/>
            <w:tcBorders>
              <w:top w:val="single" w:color="auto" w:sz="6" w:space="0"/>
              <w:left w:val="single" w:color="auto" w:sz="6" w:space="0"/>
              <w:bottom w:val="single" w:color="auto" w:sz="6" w:space="0"/>
              <w:right w:val="single" w:color="auto" w:sz="6" w:space="0"/>
            </w:tcBorders>
            <w:vAlign w:val="center"/>
          </w:tcPr>
          <w:p w14:paraId="09A99C18">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部门年度重点工作任务与工作计划。</w:t>
            </w:r>
          </w:p>
        </w:tc>
      </w:tr>
      <w:tr w14:paraId="41ADAA31">
        <w:tblPrEx>
          <w:tblCellMar>
            <w:top w:w="0" w:type="dxa"/>
            <w:left w:w="30" w:type="dxa"/>
            <w:bottom w:w="0" w:type="dxa"/>
            <w:right w:w="30" w:type="dxa"/>
          </w:tblCellMar>
        </w:tblPrEx>
        <w:trPr>
          <w:trHeight w:val="761"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5CEF9885">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4C87309B">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A2部门职能（10分）</w:t>
            </w:r>
          </w:p>
        </w:tc>
        <w:tc>
          <w:tcPr>
            <w:tcW w:w="1336" w:type="dxa"/>
            <w:tcBorders>
              <w:top w:val="single" w:color="auto" w:sz="6" w:space="0"/>
              <w:left w:val="single" w:color="auto" w:sz="6" w:space="0"/>
              <w:bottom w:val="single" w:color="auto" w:sz="6" w:space="0"/>
              <w:right w:val="single" w:color="auto" w:sz="6" w:space="0"/>
            </w:tcBorders>
            <w:vAlign w:val="center"/>
          </w:tcPr>
          <w:p w14:paraId="6578B2EF">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A21部门职能的明确性与科学性（1分）</w:t>
            </w:r>
          </w:p>
        </w:tc>
        <w:tc>
          <w:tcPr>
            <w:tcW w:w="521" w:type="dxa"/>
            <w:tcBorders>
              <w:top w:val="single" w:color="auto" w:sz="6" w:space="0"/>
              <w:left w:val="single" w:color="auto" w:sz="6" w:space="0"/>
              <w:bottom w:val="single" w:color="auto" w:sz="6" w:space="0"/>
              <w:right w:val="single" w:color="auto" w:sz="6" w:space="0"/>
            </w:tcBorders>
            <w:vAlign w:val="center"/>
          </w:tcPr>
          <w:p w14:paraId="2FD75AE8">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600" w:type="dxa"/>
            <w:tcBorders>
              <w:top w:val="single" w:color="auto" w:sz="6" w:space="0"/>
              <w:left w:val="single" w:color="auto" w:sz="6" w:space="0"/>
              <w:bottom w:val="single" w:color="auto" w:sz="6" w:space="0"/>
              <w:right w:val="single" w:color="auto" w:sz="6" w:space="0"/>
            </w:tcBorders>
            <w:vAlign w:val="center"/>
          </w:tcPr>
          <w:p w14:paraId="288BA1C2">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2195" w:type="dxa"/>
            <w:tcBorders>
              <w:top w:val="single" w:color="auto" w:sz="6" w:space="0"/>
              <w:left w:val="single" w:color="auto" w:sz="6" w:space="0"/>
              <w:bottom w:val="single" w:color="auto" w:sz="6" w:space="0"/>
              <w:right w:val="single" w:color="auto" w:sz="6" w:space="0"/>
            </w:tcBorders>
            <w:vAlign w:val="center"/>
          </w:tcPr>
          <w:p w14:paraId="040A44CB">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考察部门职能界定是否明确科学，是否有相关文件。</w:t>
            </w:r>
          </w:p>
        </w:tc>
        <w:tc>
          <w:tcPr>
            <w:tcW w:w="2747" w:type="dxa"/>
            <w:tcBorders>
              <w:top w:val="single" w:color="auto" w:sz="6" w:space="0"/>
              <w:left w:val="single" w:color="auto" w:sz="6" w:space="0"/>
              <w:bottom w:val="single" w:color="auto" w:sz="6" w:space="0"/>
              <w:right w:val="single" w:color="auto" w:sz="6" w:space="0"/>
            </w:tcBorders>
            <w:vAlign w:val="center"/>
          </w:tcPr>
          <w:p w14:paraId="2BDDE1D2">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职能明确、设定依据充分，得1分；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有“三定”文件，但职能描述不明确，得0.5分;</w:t>
            </w:r>
            <w:r>
              <w:rPr>
                <w:rFonts w:hint="eastAsia" w:ascii="宋体" w:hAnsi="宋体" w:eastAsia="宋体" w:cs="宋体"/>
                <w:color w:val="000000" w:themeColor="text1"/>
                <w:kern w:val="0"/>
                <w:szCs w:val="21"/>
              </w:rPr>
              <w:t>③</w:t>
            </w:r>
            <w:r>
              <w:rPr>
                <w:rFonts w:ascii="Times New Roman" w:hAnsi="Times New Roman" w:eastAsia="仿宋_GB2312" w:cs="Times New Roman"/>
                <w:color w:val="000000" w:themeColor="text1"/>
                <w:kern w:val="0"/>
                <w:szCs w:val="21"/>
              </w:rPr>
              <w:t>没有职能设定的文件依据且职能不清，得0分</w:t>
            </w:r>
          </w:p>
        </w:tc>
        <w:tc>
          <w:tcPr>
            <w:tcW w:w="1372" w:type="dxa"/>
            <w:tcBorders>
              <w:top w:val="single" w:color="auto" w:sz="6" w:space="0"/>
              <w:left w:val="single" w:color="auto" w:sz="6" w:space="0"/>
              <w:bottom w:val="single" w:color="auto" w:sz="6" w:space="0"/>
              <w:right w:val="single" w:color="auto" w:sz="6" w:space="0"/>
            </w:tcBorders>
            <w:vAlign w:val="center"/>
          </w:tcPr>
          <w:p w14:paraId="07DDA22E">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部门职能描述、“三定”文件</w:t>
            </w:r>
          </w:p>
        </w:tc>
      </w:tr>
      <w:tr w14:paraId="7BC24323">
        <w:tblPrEx>
          <w:tblCellMar>
            <w:top w:w="0" w:type="dxa"/>
            <w:left w:w="30" w:type="dxa"/>
            <w:bottom w:w="0" w:type="dxa"/>
            <w:right w:w="30" w:type="dxa"/>
          </w:tblCellMar>
        </w:tblPrEx>
        <w:trPr>
          <w:trHeight w:val="612"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64EEC3DC">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5FF6CA53">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3D7F8860">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A22年度工作目标与部门职能的适应性（4分）</w:t>
            </w:r>
          </w:p>
        </w:tc>
        <w:tc>
          <w:tcPr>
            <w:tcW w:w="521" w:type="dxa"/>
            <w:tcBorders>
              <w:top w:val="single" w:color="auto" w:sz="6" w:space="0"/>
              <w:left w:val="single" w:color="auto" w:sz="6" w:space="0"/>
              <w:bottom w:val="single" w:color="auto" w:sz="6" w:space="0"/>
              <w:right w:val="single" w:color="auto" w:sz="6" w:space="0"/>
            </w:tcBorders>
            <w:vAlign w:val="center"/>
          </w:tcPr>
          <w:p w14:paraId="4695EADA">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4</w:t>
            </w:r>
          </w:p>
        </w:tc>
        <w:tc>
          <w:tcPr>
            <w:tcW w:w="600" w:type="dxa"/>
            <w:tcBorders>
              <w:top w:val="single" w:color="auto" w:sz="6" w:space="0"/>
              <w:left w:val="single" w:color="auto" w:sz="6" w:space="0"/>
              <w:bottom w:val="single" w:color="auto" w:sz="6" w:space="0"/>
              <w:right w:val="single" w:color="auto" w:sz="6" w:space="0"/>
            </w:tcBorders>
            <w:vAlign w:val="center"/>
          </w:tcPr>
          <w:p w14:paraId="404342F0">
            <w:pPr>
              <w:autoSpaceDE w:val="0"/>
              <w:autoSpaceDN w:val="0"/>
              <w:adjustRightInd w:val="0"/>
              <w:jc w:val="center"/>
              <w:rPr>
                <w:rFonts w:hint="default" w:ascii="Times New Roman" w:hAnsi="Times New Roman" w:eastAsia="仿宋_GB2312" w:cs="Times New Roman"/>
                <w:color w:val="000000" w:themeColor="text1"/>
                <w:kern w:val="0"/>
                <w:szCs w:val="21"/>
                <w:lang w:val="en-US" w:eastAsia="zh-CN"/>
              </w:rPr>
            </w:pPr>
            <w:r>
              <w:rPr>
                <w:rFonts w:hint="eastAsia" w:ascii="Times New Roman" w:hAnsi="Times New Roman" w:eastAsia="仿宋_GB2312" w:cs="Times New Roman"/>
                <w:color w:val="000000" w:themeColor="text1"/>
                <w:kern w:val="0"/>
                <w:szCs w:val="21"/>
                <w:lang w:val="en-US" w:eastAsia="zh-CN"/>
              </w:rPr>
              <w:t>3.5</w:t>
            </w:r>
          </w:p>
        </w:tc>
        <w:tc>
          <w:tcPr>
            <w:tcW w:w="2195" w:type="dxa"/>
            <w:tcBorders>
              <w:top w:val="single" w:color="auto" w:sz="6" w:space="0"/>
              <w:left w:val="single" w:color="auto" w:sz="6" w:space="0"/>
              <w:bottom w:val="single" w:color="auto" w:sz="6" w:space="0"/>
              <w:right w:val="single" w:color="auto" w:sz="6" w:space="0"/>
            </w:tcBorders>
            <w:vAlign w:val="center"/>
          </w:tcPr>
          <w:p w14:paraId="1D35A62A">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部门所设定的具体目标是否与部门职能相适应。</w:t>
            </w:r>
          </w:p>
        </w:tc>
        <w:tc>
          <w:tcPr>
            <w:tcW w:w="2747" w:type="dxa"/>
            <w:tcBorders>
              <w:top w:val="single" w:color="auto" w:sz="6" w:space="0"/>
              <w:left w:val="single" w:color="auto" w:sz="6" w:space="0"/>
              <w:bottom w:val="single" w:color="auto" w:sz="6" w:space="0"/>
              <w:right w:val="single" w:color="auto" w:sz="6" w:space="0"/>
            </w:tcBorders>
            <w:vAlign w:val="center"/>
          </w:tcPr>
          <w:p w14:paraId="7A6232F9">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将部门详细工作目标与部门职能对应匹配，视匹配情况酌情得0-4分。</w:t>
            </w:r>
          </w:p>
        </w:tc>
        <w:tc>
          <w:tcPr>
            <w:tcW w:w="1372" w:type="dxa"/>
            <w:tcBorders>
              <w:top w:val="single" w:color="auto" w:sz="6" w:space="0"/>
              <w:left w:val="single" w:color="auto" w:sz="6" w:space="0"/>
              <w:bottom w:val="single" w:color="auto" w:sz="6" w:space="0"/>
              <w:right w:val="single" w:color="auto" w:sz="6" w:space="0"/>
            </w:tcBorders>
            <w:vAlign w:val="center"/>
          </w:tcPr>
          <w:p w14:paraId="0C1376A1">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部门年度工作目标、部门职能</w:t>
            </w:r>
          </w:p>
        </w:tc>
      </w:tr>
      <w:tr w14:paraId="2D654352">
        <w:tblPrEx>
          <w:tblCellMar>
            <w:top w:w="0" w:type="dxa"/>
            <w:left w:w="30" w:type="dxa"/>
            <w:bottom w:w="0" w:type="dxa"/>
            <w:right w:w="30" w:type="dxa"/>
          </w:tblCellMar>
        </w:tblPrEx>
        <w:trPr>
          <w:trHeight w:val="593"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4B91F4D0">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4F38317B">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2E981479">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A23年度具体工作与部门职能的匹配性（4分）</w:t>
            </w:r>
          </w:p>
        </w:tc>
        <w:tc>
          <w:tcPr>
            <w:tcW w:w="521" w:type="dxa"/>
            <w:tcBorders>
              <w:top w:val="single" w:color="auto" w:sz="6" w:space="0"/>
              <w:left w:val="single" w:color="auto" w:sz="6" w:space="0"/>
              <w:bottom w:val="single" w:color="auto" w:sz="6" w:space="0"/>
              <w:right w:val="single" w:color="auto" w:sz="6" w:space="0"/>
            </w:tcBorders>
            <w:vAlign w:val="center"/>
          </w:tcPr>
          <w:p w14:paraId="549FA80C">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4</w:t>
            </w:r>
          </w:p>
        </w:tc>
        <w:tc>
          <w:tcPr>
            <w:tcW w:w="600" w:type="dxa"/>
            <w:tcBorders>
              <w:top w:val="single" w:color="auto" w:sz="6" w:space="0"/>
              <w:left w:val="single" w:color="auto" w:sz="6" w:space="0"/>
              <w:bottom w:val="single" w:color="auto" w:sz="6" w:space="0"/>
              <w:right w:val="single" w:color="auto" w:sz="6" w:space="0"/>
            </w:tcBorders>
            <w:vAlign w:val="center"/>
          </w:tcPr>
          <w:p w14:paraId="34F768F9">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4</w:t>
            </w:r>
          </w:p>
        </w:tc>
        <w:tc>
          <w:tcPr>
            <w:tcW w:w="2195" w:type="dxa"/>
            <w:tcBorders>
              <w:top w:val="single" w:color="auto" w:sz="6" w:space="0"/>
              <w:left w:val="single" w:color="auto" w:sz="6" w:space="0"/>
              <w:bottom w:val="single" w:color="auto" w:sz="6" w:space="0"/>
              <w:right w:val="single" w:color="auto" w:sz="6" w:space="0"/>
            </w:tcBorders>
            <w:vAlign w:val="center"/>
          </w:tcPr>
          <w:p w14:paraId="32F8C082">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部门年度各类具体工作是否与部门职能相匹配。</w:t>
            </w:r>
          </w:p>
        </w:tc>
        <w:tc>
          <w:tcPr>
            <w:tcW w:w="2747" w:type="dxa"/>
            <w:tcBorders>
              <w:top w:val="single" w:color="auto" w:sz="6" w:space="0"/>
              <w:left w:val="single" w:color="auto" w:sz="6" w:space="0"/>
              <w:bottom w:val="single" w:color="auto" w:sz="6" w:space="0"/>
              <w:right w:val="single" w:color="auto" w:sz="6" w:space="0"/>
            </w:tcBorders>
            <w:vAlign w:val="center"/>
          </w:tcPr>
          <w:p w14:paraId="0695C99F">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将部门年度具体工作与部门职能对应匹配，视匹配情况酌情得0-4分。</w:t>
            </w:r>
          </w:p>
        </w:tc>
        <w:tc>
          <w:tcPr>
            <w:tcW w:w="1372" w:type="dxa"/>
            <w:tcBorders>
              <w:top w:val="single" w:color="auto" w:sz="6" w:space="0"/>
              <w:left w:val="single" w:color="auto" w:sz="6" w:space="0"/>
              <w:bottom w:val="single" w:color="auto" w:sz="6" w:space="0"/>
              <w:right w:val="single" w:color="auto" w:sz="6" w:space="0"/>
            </w:tcBorders>
            <w:vAlign w:val="center"/>
          </w:tcPr>
          <w:p w14:paraId="27D43691">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部门年度各项具体工作，部门职能</w:t>
            </w:r>
          </w:p>
        </w:tc>
      </w:tr>
      <w:tr w14:paraId="7428E7BE">
        <w:tblPrEx>
          <w:tblCellMar>
            <w:top w:w="0" w:type="dxa"/>
            <w:left w:w="30" w:type="dxa"/>
            <w:bottom w:w="0" w:type="dxa"/>
            <w:right w:w="30" w:type="dxa"/>
          </w:tblCellMar>
        </w:tblPrEx>
        <w:trPr>
          <w:trHeight w:val="593"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205DD203">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0D35A680">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7199153A">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A24部门内设科室及下属单位职责的明确性（1分）</w:t>
            </w:r>
          </w:p>
        </w:tc>
        <w:tc>
          <w:tcPr>
            <w:tcW w:w="521" w:type="dxa"/>
            <w:tcBorders>
              <w:top w:val="single" w:color="auto" w:sz="6" w:space="0"/>
              <w:left w:val="single" w:color="auto" w:sz="6" w:space="0"/>
              <w:bottom w:val="single" w:color="auto" w:sz="6" w:space="0"/>
              <w:right w:val="single" w:color="auto" w:sz="6" w:space="0"/>
            </w:tcBorders>
            <w:vAlign w:val="center"/>
          </w:tcPr>
          <w:p w14:paraId="4D6D22A9">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600" w:type="dxa"/>
            <w:tcBorders>
              <w:top w:val="single" w:color="auto" w:sz="6" w:space="0"/>
              <w:left w:val="single" w:color="auto" w:sz="6" w:space="0"/>
              <w:bottom w:val="single" w:color="auto" w:sz="6" w:space="0"/>
              <w:right w:val="single" w:color="auto" w:sz="6" w:space="0"/>
            </w:tcBorders>
            <w:vAlign w:val="center"/>
          </w:tcPr>
          <w:p w14:paraId="5E7D57C5">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2195" w:type="dxa"/>
            <w:tcBorders>
              <w:top w:val="single" w:color="auto" w:sz="6" w:space="0"/>
              <w:left w:val="single" w:color="auto" w:sz="6" w:space="0"/>
              <w:bottom w:val="single" w:color="auto" w:sz="6" w:space="0"/>
              <w:right w:val="single" w:color="auto" w:sz="6" w:space="0"/>
            </w:tcBorders>
            <w:vAlign w:val="center"/>
          </w:tcPr>
          <w:p w14:paraId="4F81DAAD">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部门内设科室及下属单位具体职责是否明确</w:t>
            </w:r>
          </w:p>
        </w:tc>
        <w:tc>
          <w:tcPr>
            <w:tcW w:w="2747" w:type="dxa"/>
            <w:tcBorders>
              <w:top w:val="single" w:color="auto" w:sz="6" w:space="0"/>
              <w:left w:val="single" w:color="auto" w:sz="6" w:space="0"/>
              <w:bottom w:val="single" w:color="auto" w:sz="6" w:space="0"/>
              <w:right w:val="single" w:color="auto" w:sz="6" w:space="0"/>
            </w:tcBorders>
            <w:vAlign w:val="center"/>
          </w:tcPr>
          <w:p w14:paraId="33F42088">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有职责文件制度规定部门各科（室）及下属单位具体职责，得0.5分；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具体职责明确，得0.5分。</w:t>
            </w:r>
          </w:p>
        </w:tc>
        <w:tc>
          <w:tcPr>
            <w:tcW w:w="1372" w:type="dxa"/>
            <w:tcBorders>
              <w:top w:val="single" w:color="auto" w:sz="6" w:space="0"/>
              <w:left w:val="single" w:color="auto" w:sz="6" w:space="0"/>
              <w:bottom w:val="single" w:color="auto" w:sz="6" w:space="0"/>
              <w:right w:val="single" w:color="auto" w:sz="6" w:space="0"/>
            </w:tcBorders>
            <w:vAlign w:val="center"/>
          </w:tcPr>
          <w:p w14:paraId="11E1D85B">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内设科室及下属单位职责文件</w:t>
            </w:r>
          </w:p>
        </w:tc>
      </w:tr>
      <w:tr w14:paraId="49809027">
        <w:tblPrEx>
          <w:tblCellMar>
            <w:top w:w="0" w:type="dxa"/>
            <w:left w:w="30" w:type="dxa"/>
            <w:bottom w:w="0" w:type="dxa"/>
            <w:right w:w="30" w:type="dxa"/>
          </w:tblCellMar>
        </w:tblPrEx>
        <w:trPr>
          <w:trHeight w:val="576"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44753F2F">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2F37C340">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A3资源配置（13分）</w:t>
            </w:r>
          </w:p>
        </w:tc>
        <w:tc>
          <w:tcPr>
            <w:tcW w:w="1336" w:type="dxa"/>
            <w:tcBorders>
              <w:top w:val="single" w:color="auto" w:sz="6" w:space="0"/>
              <w:left w:val="single" w:color="auto" w:sz="6" w:space="0"/>
              <w:bottom w:val="single" w:color="auto" w:sz="6" w:space="0"/>
              <w:right w:val="single" w:color="auto" w:sz="6" w:space="0"/>
            </w:tcBorders>
            <w:vAlign w:val="center"/>
          </w:tcPr>
          <w:p w14:paraId="6E87DE8A">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A31基本支出预算合理性（2分）</w:t>
            </w:r>
          </w:p>
        </w:tc>
        <w:tc>
          <w:tcPr>
            <w:tcW w:w="521" w:type="dxa"/>
            <w:tcBorders>
              <w:top w:val="single" w:color="auto" w:sz="6" w:space="0"/>
              <w:left w:val="single" w:color="auto" w:sz="6" w:space="0"/>
              <w:bottom w:val="single" w:color="auto" w:sz="6" w:space="0"/>
              <w:right w:val="single" w:color="auto" w:sz="6" w:space="0"/>
            </w:tcBorders>
            <w:vAlign w:val="center"/>
          </w:tcPr>
          <w:p w14:paraId="553C5E8D">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2</w:t>
            </w:r>
          </w:p>
        </w:tc>
        <w:tc>
          <w:tcPr>
            <w:tcW w:w="600" w:type="dxa"/>
            <w:tcBorders>
              <w:top w:val="single" w:color="auto" w:sz="6" w:space="0"/>
              <w:left w:val="single" w:color="auto" w:sz="6" w:space="0"/>
              <w:bottom w:val="single" w:color="auto" w:sz="6" w:space="0"/>
              <w:right w:val="single" w:color="auto" w:sz="6" w:space="0"/>
            </w:tcBorders>
            <w:vAlign w:val="center"/>
          </w:tcPr>
          <w:p w14:paraId="34D3972E">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1.5</w:t>
            </w:r>
          </w:p>
        </w:tc>
        <w:tc>
          <w:tcPr>
            <w:tcW w:w="2195" w:type="dxa"/>
            <w:tcBorders>
              <w:top w:val="single" w:color="auto" w:sz="6" w:space="0"/>
              <w:left w:val="single" w:color="auto" w:sz="6" w:space="0"/>
              <w:bottom w:val="single" w:color="auto" w:sz="6" w:space="0"/>
              <w:right w:val="single" w:color="auto" w:sz="6" w:space="0"/>
            </w:tcBorders>
            <w:vAlign w:val="center"/>
          </w:tcPr>
          <w:p w14:paraId="063A4502">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用以反映部门年度基本支出预算是否根据人员经费、公用经费标准进行合理编制。</w:t>
            </w:r>
          </w:p>
        </w:tc>
        <w:tc>
          <w:tcPr>
            <w:tcW w:w="2747" w:type="dxa"/>
            <w:tcBorders>
              <w:top w:val="single" w:color="auto" w:sz="6" w:space="0"/>
              <w:left w:val="single" w:color="auto" w:sz="6" w:space="0"/>
              <w:bottom w:val="single" w:color="auto" w:sz="6" w:space="0"/>
              <w:right w:val="single" w:color="auto" w:sz="6" w:space="0"/>
            </w:tcBorders>
            <w:vAlign w:val="center"/>
          </w:tcPr>
          <w:p w14:paraId="44729ACC">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如实核定人员基数，得1分；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根据基本预算标准进行编制，得1分。</w:t>
            </w:r>
          </w:p>
        </w:tc>
        <w:tc>
          <w:tcPr>
            <w:tcW w:w="1372" w:type="dxa"/>
            <w:tcBorders>
              <w:top w:val="single" w:color="auto" w:sz="6" w:space="0"/>
              <w:left w:val="single" w:color="auto" w:sz="6" w:space="0"/>
              <w:bottom w:val="single" w:color="auto" w:sz="6" w:space="0"/>
              <w:right w:val="single" w:color="auto" w:sz="6" w:space="0"/>
            </w:tcBorders>
            <w:vAlign w:val="center"/>
          </w:tcPr>
          <w:p w14:paraId="3792D2D2">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部门基本支出预算标准、基本支出预算</w:t>
            </w:r>
          </w:p>
        </w:tc>
      </w:tr>
      <w:tr w14:paraId="2D18337B">
        <w:tblPrEx>
          <w:tblCellMar>
            <w:top w:w="0" w:type="dxa"/>
            <w:left w:w="30" w:type="dxa"/>
            <w:bottom w:w="0" w:type="dxa"/>
            <w:right w:w="30" w:type="dxa"/>
          </w:tblCellMar>
        </w:tblPrEx>
        <w:trPr>
          <w:trHeight w:val="802"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19F4A867">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2CB90CFB">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0786BB16">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A32项目支出预算合理性（4分）</w:t>
            </w:r>
          </w:p>
        </w:tc>
        <w:tc>
          <w:tcPr>
            <w:tcW w:w="521" w:type="dxa"/>
            <w:tcBorders>
              <w:top w:val="single" w:color="auto" w:sz="6" w:space="0"/>
              <w:left w:val="single" w:color="auto" w:sz="6" w:space="0"/>
              <w:bottom w:val="single" w:color="auto" w:sz="6" w:space="0"/>
              <w:right w:val="single" w:color="auto" w:sz="6" w:space="0"/>
            </w:tcBorders>
            <w:vAlign w:val="center"/>
          </w:tcPr>
          <w:p w14:paraId="0EFEA52E">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4</w:t>
            </w:r>
          </w:p>
        </w:tc>
        <w:tc>
          <w:tcPr>
            <w:tcW w:w="600" w:type="dxa"/>
            <w:tcBorders>
              <w:top w:val="single" w:color="auto" w:sz="6" w:space="0"/>
              <w:left w:val="single" w:color="auto" w:sz="6" w:space="0"/>
              <w:bottom w:val="single" w:color="auto" w:sz="6" w:space="0"/>
              <w:right w:val="single" w:color="auto" w:sz="6" w:space="0"/>
            </w:tcBorders>
            <w:vAlign w:val="center"/>
          </w:tcPr>
          <w:p w14:paraId="326FC478">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4</w:t>
            </w:r>
          </w:p>
        </w:tc>
        <w:tc>
          <w:tcPr>
            <w:tcW w:w="2195" w:type="dxa"/>
            <w:tcBorders>
              <w:top w:val="single" w:color="auto" w:sz="6" w:space="0"/>
              <w:left w:val="single" w:color="auto" w:sz="6" w:space="0"/>
              <w:bottom w:val="single" w:color="auto" w:sz="6" w:space="0"/>
              <w:right w:val="single" w:color="auto" w:sz="6" w:space="0"/>
            </w:tcBorders>
            <w:vAlign w:val="center"/>
          </w:tcPr>
          <w:p w14:paraId="1724DB42">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用以反映部门年度项目支出预算程序、预算依据、适用范围的合理性。</w:t>
            </w:r>
          </w:p>
        </w:tc>
        <w:tc>
          <w:tcPr>
            <w:tcW w:w="2747" w:type="dxa"/>
            <w:tcBorders>
              <w:top w:val="single" w:color="auto" w:sz="6" w:space="0"/>
              <w:left w:val="single" w:color="auto" w:sz="6" w:space="0"/>
              <w:bottom w:val="single" w:color="auto" w:sz="6" w:space="0"/>
              <w:right w:val="single" w:color="auto" w:sz="6" w:space="0"/>
            </w:tcBorders>
            <w:vAlign w:val="center"/>
          </w:tcPr>
          <w:p w14:paraId="215D4E1D">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预算程序合理，得1分；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预算依据充分，得2分；</w:t>
            </w:r>
            <w:r>
              <w:rPr>
                <w:rFonts w:hint="eastAsia" w:ascii="宋体" w:hAnsi="宋体" w:eastAsia="宋体" w:cs="宋体"/>
                <w:color w:val="000000" w:themeColor="text1"/>
                <w:kern w:val="0"/>
                <w:szCs w:val="21"/>
              </w:rPr>
              <w:t>③</w:t>
            </w:r>
            <w:r>
              <w:rPr>
                <w:rFonts w:ascii="Times New Roman" w:hAnsi="Times New Roman" w:eastAsia="仿宋_GB2312" w:cs="Times New Roman"/>
                <w:color w:val="000000" w:themeColor="text1"/>
                <w:kern w:val="0"/>
                <w:szCs w:val="21"/>
              </w:rPr>
              <w:t>符合资金使用范围，得1分。</w:t>
            </w:r>
          </w:p>
        </w:tc>
        <w:tc>
          <w:tcPr>
            <w:tcW w:w="1372" w:type="dxa"/>
            <w:tcBorders>
              <w:top w:val="single" w:color="auto" w:sz="6" w:space="0"/>
              <w:left w:val="single" w:color="auto" w:sz="6" w:space="0"/>
              <w:bottom w:val="single" w:color="auto" w:sz="6" w:space="0"/>
              <w:right w:val="single" w:color="auto" w:sz="6" w:space="0"/>
            </w:tcBorders>
            <w:vAlign w:val="center"/>
          </w:tcPr>
          <w:p w14:paraId="7FD9433C">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部门项目支出预算编制详细资料，访谈、文件梳理等、其他资料</w:t>
            </w:r>
          </w:p>
        </w:tc>
      </w:tr>
      <w:tr w14:paraId="55F456DE">
        <w:tblPrEx>
          <w:tblCellMar>
            <w:top w:w="0" w:type="dxa"/>
            <w:left w:w="30" w:type="dxa"/>
            <w:bottom w:w="0" w:type="dxa"/>
            <w:right w:w="30" w:type="dxa"/>
          </w:tblCellMar>
        </w:tblPrEx>
        <w:trPr>
          <w:trHeight w:val="605"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2881D4CC">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08CD828F">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4A014453">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A33人力资源投入合理性（2分）</w:t>
            </w:r>
          </w:p>
        </w:tc>
        <w:tc>
          <w:tcPr>
            <w:tcW w:w="521" w:type="dxa"/>
            <w:tcBorders>
              <w:top w:val="single" w:color="auto" w:sz="6" w:space="0"/>
              <w:left w:val="single" w:color="auto" w:sz="6" w:space="0"/>
              <w:bottom w:val="single" w:color="auto" w:sz="6" w:space="0"/>
              <w:right w:val="single" w:color="auto" w:sz="6" w:space="0"/>
            </w:tcBorders>
            <w:vAlign w:val="center"/>
          </w:tcPr>
          <w:p w14:paraId="43AB085E">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2</w:t>
            </w:r>
          </w:p>
        </w:tc>
        <w:tc>
          <w:tcPr>
            <w:tcW w:w="600" w:type="dxa"/>
            <w:tcBorders>
              <w:top w:val="single" w:color="auto" w:sz="6" w:space="0"/>
              <w:left w:val="single" w:color="auto" w:sz="6" w:space="0"/>
              <w:bottom w:val="single" w:color="auto" w:sz="6" w:space="0"/>
              <w:right w:val="single" w:color="auto" w:sz="6" w:space="0"/>
            </w:tcBorders>
            <w:vAlign w:val="center"/>
          </w:tcPr>
          <w:p w14:paraId="46C4525E">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r>
              <w:rPr>
                <w:rFonts w:hint="eastAsia" w:ascii="Times New Roman" w:hAnsi="Times New Roman" w:eastAsia="仿宋_GB2312" w:cs="Times New Roman"/>
                <w:color w:val="000000" w:themeColor="text1"/>
                <w:kern w:val="0"/>
                <w:szCs w:val="21"/>
              </w:rPr>
              <w:t>5</w:t>
            </w:r>
          </w:p>
        </w:tc>
        <w:tc>
          <w:tcPr>
            <w:tcW w:w="2195" w:type="dxa"/>
            <w:tcBorders>
              <w:top w:val="single" w:color="auto" w:sz="6" w:space="0"/>
              <w:left w:val="single" w:color="auto" w:sz="6" w:space="0"/>
              <w:bottom w:val="single" w:color="auto" w:sz="6" w:space="0"/>
              <w:right w:val="single" w:color="auto" w:sz="6" w:space="0"/>
            </w:tcBorders>
            <w:vAlign w:val="center"/>
          </w:tcPr>
          <w:p w14:paraId="7173BC01">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用以反映部门核定人员的编制与部门工作内容的合理性</w:t>
            </w:r>
          </w:p>
        </w:tc>
        <w:tc>
          <w:tcPr>
            <w:tcW w:w="2747" w:type="dxa"/>
            <w:tcBorders>
              <w:top w:val="single" w:color="auto" w:sz="6" w:space="0"/>
              <w:left w:val="single" w:color="auto" w:sz="6" w:space="0"/>
              <w:bottom w:val="single" w:color="auto" w:sz="6" w:space="0"/>
              <w:right w:val="single" w:color="auto" w:sz="6" w:space="0"/>
            </w:tcBorders>
            <w:vAlign w:val="center"/>
          </w:tcPr>
          <w:p w14:paraId="70F02011">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通过问卷及访谈调研,分析人员的工作量和工作时长，视匹配情况得0-2分。</w:t>
            </w:r>
          </w:p>
        </w:tc>
        <w:tc>
          <w:tcPr>
            <w:tcW w:w="1372" w:type="dxa"/>
            <w:tcBorders>
              <w:top w:val="single" w:color="auto" w:sz="6" w:space="0"/>
              <w:left w:val="single" w:color="auto" w:sz="6" w:space="0"/>
              <w:bottom w:val="single" w:color="auto" w:sz="6" w:space="0"/>
              <w:right w:val="single" w:color="auto" w:sz="6" w:space="0"/>
            </w:tcBorders>
            <w:vAlign w:val="center"/>
          </w:tcPr>
          <w:p w14:paraId="7ECC5AA6">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人员编制文件、调研</w:t>
            </w:r>
          </w:p>
        </w:tc>
      </w:tr>
      <w:tr w14:paraId="04EB8772">
        <w:tblPrEx>
          <w:tblCellMar>
            <w:top w:w="0" w:type="dxa"/>
            <w:left w:w="30" w:type="dxa"/>
            <w:bottom w:w="0" w:type="dxa"/>
            <w:right w:w="30" w:type="dxa"/>
          </w:tblCellMar>
        </w:tblPrEx>
        <w:trPr>
          <w:trHeight w:val="451"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5F90FA4D">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327F48D6">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51F6B694">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A34办公资源投入合理性（2分）</w:t>
            </w:r>
          </w:p>
        </w:tc>
        <w:tc>
          <w:tcPr>
            <w:tcW w:w="521" w:type="dxa"/>
            <w:tcBorders>
              <w:top w:val="single" w:color="auto" w:sz="6" w:space="0"/>
              <w:left w:val="single" w:color="auto" w:sz="6" w:space="0"/>
              <w:bottom w:val="single" w:color="auto" w:sz="6" w:space="0"/>
              <w:right w:val="single" w:color="auto" w:sz="6" w:space="0"/>
            </w:tcBorders>
            <w:vAlign w:val="center"/>
          </w:tcPr>
          <w:p w14:paraId="6D9FEC80">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2</w:t>
            </w:r>
          </w:p>
        </w:tc>
        <w:tc>
          <w:tcPr>
            <w:tcW w:w="600" w:type="dxa"/>
            <w:tcBorders>
              <w:top w:val="single" w:color="auto" w:sz="6" w:space="0"/>
              <w:left w:val="single" w:color="auto" w:sz="6" w:space="0"/>
              <w:bottom w:val="single" w:color="auto" w:sz="6" w:space="0"/>
              <w:right w:val="single" w:color="auto" w:sz="6" w:space="0"/>
            </w:tcBorders>
            <w:vAlign w:val="center"/>
          </w:tcPr>
          <w:p w14:paraId="6402FB0D">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2</w:t>
            </w:r>
          </w:p>
        </w:tc>
        <w:tc>
          <w:tcPr>
            <w:tcW w:w="2195" w:type="dxa"/>
            <w:tcBorders>
              <w:top w:val="single" w:color="auto" w:sz="6" w:space="0"/>
              <w:left w:val="single" w:color="auto" w:sz="6" w:space="0"/>
              <w:bottom w:val="single" w:color="auto" w:sz="6" w:space="0"/>
              <w:right w:val="single" w:color="auto" w:sz="6" w:space="0"/>
            </w:tcBorders>
            <w:vAlign w:val="center"/>
          </w:tcPr>
          <w:p w14:paraId="22AEBCFA">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用以反映部门现有办公资源能否满足部门日常工作需求</w:t>
            </w:r>
          </w:p>
        </w:tc>
        <w:tc>
          <w:tcPr>
            <w:tcW w:w="2747" w:type="dxa"/>
            <w:tcBorders>
              <w:top w:val="single" w:color="auto" w:sz="6" w:space="0"/>
              <w:left w:val="single" w:color="auto" w:sz="6" w:space="0"/>
              <w:bottom w:val="single" w:color="auto" w:sz="6" w:space="0"/>
              <w:right w:val="single" w:color="auto" w:sz="6" w:space="0"/>
            </w:tcBorders>
            <w:vAlign w:val="center"/>
          </w:tcPr>
          <w:p w14:paraId="76F7C4FF">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办公资源经费保障充足，得1分；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办公资源配置合理，得1分。</w:t>
            </w:r>
          </w:p>
        </w:tc>
        <w:tc>
          <w:tcPr>
            <w:tcW w:w="1372" w:type="dxa"/>
            <w:tcBorders>
              <w:top w:val="single" w:color="auto" w:sz="6" w:space="0"/>
              <w:left w:val="single" w:color="auto" w:sz="6" w:space="0"/>
              <w:bottom w:val="single" w:color="auto" w:sz="6" w:space="0"/>
              <w:right w:val="single" w:color="auto" w:sz="6" w:space="0"/>
            </w:tcBorders>
            <w:vAlign w:val="center"/>
          </w:tcPr>
          <w:p w14:paraId="69121A68">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部门办公资源配置情况、调研等资料</w:t>
            </w:r>
          </w:p>
        </w:tc>
      </w:tr>
      <w:tr w14:paraId="559AD8AC">
        <w:tblPrEx>
          <w:tblCellMar>
            <w:top w:w="0" w:type="dxa"/>
            <w:left w:w="30" w:type="dxa"/>
            <w:bottom w:w="0" w:type="dxa"/>
            <w:right w:w="30" w:type="dxa"/>
          </w:tblCellMar>
        </w:tblPrEx>
        <w:trPr>
          <w:trHeight w:val="1270"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08BBDF4D">
            <w:pPr>
              <w:autoSpaceDE w:val="0"/>
              <w:autoSpaceDN w:val="0"/>
              <w:adjustRightInd w:val="0"/>
              <w:rPr>
                <w:rFonts w:ascii="Times New Roman" w:hAnsi="Times New Roman" w:eastAsia="仿宋_GB2312" w:cs="Times New Roman"/>
                <w:b/>
                <w:bCs/>
                <w:color w:val="000000" w:themeColor="text1"/>
                <w:kern w:val="0"/>
                <w:szCs w:val="21"/>
              </w:rPr>
            </w:pPr>
            <w:r>
              <w:rPr>
                <w:rFonts w:ascii="Times New Roman" w:hAnsi="Times New Roman" w:eastAsia="仿宋_GB2312" w:cs="Times New Roman"/>
                <w:b/>
                <w:bCs/>
                <w:color w:val="000000" w:themeColor="text1"/>
                <w:kern w:val="0"/>
                <w:szCs w:val="21"/>
              </w:rPr>
              <w:t>A部门决策（35分）</w:t>
            </w:r>
          </w:p>
        </w:tc>
        <w:tc>
          <w:tcPr>
            <w:tcW w:w="650" w:type="dxa"/>
            <w:tcBorders>
              <w:top w:val="single" w:color="auto" w:sz="6" w:space="0"/>
              <w:left w:val="single" w:color="auto" w:sz="6" w:space="0"/>
              <w:bottom w:val="single" w:color="auto" w:sz="6" w:space="0"/>
              <w:right w:val="single" w:color="auto" w:sz="6" w:space="0"/>
            </w:tcBorders>
            <w:vAlign w:val="center"/>
          </w:tcPr>
          <w:p w14:paraId="3CADC6C7">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A3资源配置（13分）</w:t>
            </w:r>
          </w:p>
        </w:tc>
        <w:tc>
          <w:tcPr>
            <w:tcW w:w="1336" w:type="dxa"/>
            <w:tcBorders>
              <w:top w:val="single" w:color="auto" w:sz="6" w:space="0"/>
              <w:left w:val="single" w:color="auto" w:sz="6" w:space="0"/>
              <w:bottom w:val="single" w:color="auto" w:sz="6" w:space="0"/>
              <w:right w:val="single" w:color="auto" w:sz="6" w:space="0"/>
            </w:tcBorders>
            <w:vAlign w:val="center"/>
          </w:tcPr>
          <w:p w14:paraId="4BA34599">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A35重点项目资源分配合理性（3分）</w:t>
            </w:r>
          </w:p>
        </w:tc>
        <w:tc>
          <w:tcPr>
            <w:tcW w:w="521" w:type="dxa"/>
            <w:tcBorders>
              <w:top w:val="single" w:color="auto" w:sz="6" w:space="0"/>
              <w:left w:val="single" w:color="auto" w:sz="6" w:space="0"/>
              <w:bottom w:val="single" w:color="auto" w:sz="6" w:space="0"/>
              <w:right w:val="single" w:color="auto" w:sz="6" w:space="0"/>
            </w:tcBorders>
            <w:vAlign w:val="center"/>
          </w:tcPr>
          <w:p w14:paraId="08AD68A5">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3</w:t>
            </w:r>
          </w:p>
        </w:tc>
        <w:tc>
          <w:tcPr>
            <w:tcW w:w="600" w:type="dxa"/>
            <w:tcBorders>
              <w:top w:val="single" w:color="auto" w:sz="6" w:space="0"/>
              <w:left w:val="single" w:color="auto" w:sz="6" w:space="0"/>
              <w:bottom w:val="single" w:color="auto" w:sz="6" w:space="0"/>
              <w:right w:val="single" w:color="auto" w:sz="6" w:space="0"/>
            </w:tcBorders>
            <w:vAlign w:val="center"/>
          </w:tcPr>
          <w:p w14:paraId="0B453CAD">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3</w:t>
            </w:r>
          </w:p>
        </w:tc>
        <w:tc>
          <w:tcPr>
            <w:tcW w:w="2195" w:type="dxa"/>
            <w:tcBorders>
              <w:top w:val="single" w:color="auto" w:sz="6" w:space="0"/>
              <w:left w:val="single" w:color="auto" w:sz="6" w:space="0"/>
              <w:bottom w:val="single" w:color="auto" w:sz="6" w:space="0"/>
              <w:right w:val="single" w:color="auto" w:sz="6" w:space="0"/>
            </w:tcBorders>
            <w:vAlign w:val="center"/>
          </w:tcPr>
          <w:p w14:paraId="23B98603">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部门本年度预算安排的重点项目支出与部门项目总支出的比率，用以反映和考核部门对履行主要职责或完成重点任务的保障程度。</w:t>
            </w:r>
          </w:p>
        </w:tc>
        <w:tc>
          <w:tcPr>
            <w:tcW w:w="2747" w:type="dxa"/>
            <w:tcBorders>
              <w:top w:val="single" w:color="auto" w:sz="6" w:space="0"/>
              <w:left w:val="single" w:color="auto" w:sz="6" w:space="0"/>
              <w:bottom w:val="single" w:color="auto" w:sz="6" w:space="0"/>
              <w:right w:val="single" w:color="auto" w:sz="6" w:space="0"/>
            </w:tcBorders>
            <w:vAlign w:val="center"/>
          </w:tcPr>
          <w:p w14:paraId="3A016559">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根据重点项目资源分配，对重点项目完成实施的保障程度进行评分。能够保障重点项目顺利实施、全面完成当年工作目标任务的得满分，每有一项重点项目因资金不足无法完成，按权重（3分）的1/3扣分，扣完为止。</w:t>
            </w:r>
          </w:p>
        </w:tc>
        <w:tc>
          <w:tcPr>
            <w:tcW w:w="1372" w:type="dxa"/>
            <w:tcBorders>
              <w:top w:val="single" w:color="auto" w:sz="6" w:space="0"/>
              <w:left w:val="single" w:color="auto" w:sz="6" w:space="0"/>
              <w:bottom w:val="single" w:color="auto" w:sz="6" w:space="0"/>
              <w:right w:val="single" w:color="auto" w:sz="6" w:space="0"/>
            </w:tcBorders>
            <w:vAlign w:val="center"/>
          </w:tcPr>
          <w:p w14:paraId="784CCF9D">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重点项目相关资料</w:t>
            </w:r>
          </w:p>
        </w:tc>
      </w:tr>
      <w:tr w14:paraId="3B7F29E1">
        <w:tblPrEx>
          <w:tblCellMar>
            <w:top w:w="0" w:type="dxa"/>
            <w:left w:w="30" w:type="dxa"/>
            <w:bottom w:w="0" w:type="dxa"/>
            <w:right w:w="30" w:type="dxa"/>
          </w:tblCellMar>
        </w:tblPrEx>
        <w:trPr>
          <w:trHeight w:val="1394"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3F518BA3">
            <w:pPr>
              <w:autoSpaceDE w:val="0"/>
              <w:autoSpaceDN w:val="0"/>
              <w:adjustRightInd w:val="0"/>
              <w:rPr>
                <w:rFonts w:ascii="Times New Roman" w:hAnsi="Times New Roman" w:eastAsia="仿宋_GB2312" w:cs="Times New Roman"/>
                <w:b/>
                <w:bCs/>
                <w:color w:val="000000" w:themeColor="text1"/>
                <w:kern w:val="0"/>
                <w:szCs w:val="21"/>
              </w:rPr>
            </w:pPr>
            <w:r>
              <w:rPr>
                <w:rFonts w:ascii="Times New Roman" w:hAnsi="Times New Roman" w:eastAsia="仿宋_GB2312" w:cs="Times New Roman"/>
                <w:b/>
                <w:bCs/>
                <w:color w:val="000000" w:themeColor="text1"/>
                <w:kern w:val="0"/>
                <w:szCs w:val="21"/>
              </w:rPr>
              <w:t>B部门管理（20分）</w:t>
            </w:r>
          </w:p>
        </w:tc>
        <w:tc>
          <w:tcPr>
            <w:tcW w:w="650" w:type="dxa"/>
            <w:tcBorders>
              <w:top w:val="single" w:color="auto" w:sz="6" w:space="0"/>
              <w:left w:val="single" w:color="auto" w:sz="6" w:space="0"/>
              <w:bottom w:val="single" w:color="auto" w:sz="6" w:space="0"/>
              <w:right w:val="single" w:color="auto" w:sz="6" w:space="0"/>
            </w:tcBorders>
            <w:vAlign w:val="center"/>
          </w:tcPr>
          <w:p w14:paraId="163D82B9">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B1预算管理（7分）</w:t>
            </w:r>
          </w:p>
        </w:tc>
        <w:tc>
          <w:tcPr>
            <w:tcW w:w="1336" w:type="dxa"/>
            <w:tcBorders>
              <w:top w:val="single" w:color="auto" w:sz="6" w:space="0"/>
              <w:left w:val="single" w:color="auto" w:sz="6" w:space="0"/>
              <w:bottom w:val="single" w:color="auto" w:sz="6" w:space="0"/>
              <w:right w:val="single" w:color="auto" w:sz="6" w:space="0"/>
            </w:tcBorders>
            <w:vAlign w:val="center"/>
          </w:tcPr>
          <w:p w14:paraId="1F59C34C">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B11基本支出预算执行率（1分）</w:t>
            </w:r>
          </w:p>
        </w:tc>
        <w:tc>
          <w:tcPr>
            <w:tcW w:w="521" w:type="dxa"/>
            <w:tcBorders>
              <w:top w:val="single" w:color="auto" w:sz="6" w:space="0"/>
              <w:left w:val="single" w:color="auto" w:sz="6" w:space="0"/>
              <w:bottom w:val="single" w:color="auto" w:sz="6" w:space="0"/>
              <w:right w:val="single" w:color="auto" w:sz="6" w:space="0"/>
            </w:tcBorders>
            <w:vAlign w:val="center"/>
          </w:tcPr>
          <w:p w14:paraId="6D40A5F8">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600" w:type="dxa"/>
            <w:tcBorders>
              <w:top w:val="single" w:color="auto" w:sz="6" w:space="0"/>
              <w:left w:val="single" w:color="auto" w:sz="6" w:space="0"/>
              <w:bottom w:val="single" w:color="auto" w:sz="6" w:space="0"/>
              <w:right w:val="single" w:color="auto" w:sz="6" w:space="0"/>
            </w:tcBorders>
            <w:vAlign w:val="center"/>
          </w:tcPr>
          <w:p w14:paraId="650C6507">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2195" w:type="dxa"/>
            <w:tcBorders>
              <w:top w:val="single" w:color="auto" w:sz="6" w:space="0"/>
              <w:left w:val="single" w:color="auto" w:sz="6" w:space="0"/>
              <w:bottom w:val="single" w:color="auto" w:sz="6" w:space="0"/>
              <w:right w:val="single" w:color="auto" w:sz="6" w:space="0"/>
            </w:tcBorders>
            <w:vAlign w:val="center"/>
          </w:tcPr>
          <w:p w14:paraId="2FB3C871">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部门基本支出本年度决算数与预算数的比率，用以反映和考核部门（单位）基本支出预算执行程度。</w:t>
            </w:r>
          </w:p>
        </w:tc>
        <w:tc>
          <w:tcPr>
            <w:tcW w:w="2747" w:type="dxa"/>
            <w:tcBorders>
              <w:top w:val="single" w:color="auto" w:sz="6" w:space="0"/>
              <w:left w:val="single" w:color="auto" w:sz="6" w:space="0"/>
              <w:bottom w:val="single" w:color="auto" w:sz="6" w:space="0"/>
              <w:right w:val="single" w:color="auto" w:sz="6" w:space="0"/>
            </w:tcBorders>
            <w:vAlign w:val="center"/>
          </w:tcPr>
          <w:p w14:paraId="785F4BA4">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预算执行率=部门基本支出决算/部门基本支出预算×100%。决算数：部门本年度基本支出实际支出资金数。预算数：财政部门批复的本年度部门基本支出预算数以及当年批复的调整数。预算完成率≥95%得满分，未达到的每低于1%扣0.1分，扣完为止。</w:t>
            </w:r>
          </w:p>
        </w:tc>
        <w:tc>
          <w:tcPr>
            <w:tcW w:w="1372" w:type="dxa"/>
            <w:tcBorders>
              <w:top w:val="single" w:color="auto" w:sz="6" w:space="0"/>
              <w:left w:val="single" w:color="auto" w:sz="6" w:space="0"/>
              <w:bottom w:val="single" w:color="auto" w:sz="6" w:space="0"/>
              <w:right w:val="single" w:color="auto" w:sz="6" w:space="0"/>
            </w:tcBorders>
            <w:vAlign w:val="center"/>
          </w:tcPr>
          <w:p w14:paraId="47C63F2F">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基本支出预算批复，预算调整批复、预算编制等其他资料</w:t>
            </w:r>
          </w:p>
        </w:tc>
      </w:tr>
      <w:tr w14:paraId="28F09B87">
        <w:tblPrEx>
          <w:tblCellMar>
            <w:top w:w="0" w:type="dxa"/>
            <w:left w:w="30" w:type="dxa"/>
            <w:bottom w:w="0" w:type="dxa"/>
            <w:right w:w="30" w:type="dxa"/>
          </w:tblCellMar>
        </w:tblPrEx>
        <w:trPr>
          <w:trHeight w:val="1440"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4AC80793">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67E85337">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48892A38">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B12项目支出预算执行率（4分）</w:t>
            </w:r>
          </w:p>
        </w:tc>
        <w:tc>
          <w:tcPr>
            <w:tcW w:w="521" w:type="dxa"/>
            <w:tcBorders>
              <w:top w:val="single" w:color="auto" w:sz="6" w:space="0"/>
              <w:left w:val="single" w:color="auto" w:sz="6" w:space="0"/>
              <w:bottom w:val="single" w:color="auto" w:sz="6" w:space="0"/>
              <w:right w:val="single" w:color="auto" w:sz="6" w:space="0"/>
            </w:tcBorders>
            <w:vAlign w:val="center"/>
          </w:tcPr>
          <w:p w14:paraId="0E1C69CC">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4</w:t>
            </w:r>
          </w:p>
        </w:tc>
        <w:tc>
          <w:tcPr>
            <w:tcW w:w="600" w:type="dxa"/>
            <w:tcBorders>
              <w:top w:val="single" w:color="auto" w:sz="6" w:space="0"/>
              <w:left w:val="single" w:color="auto" w:sz="6" w:space="0"/>
              <w:bottom w:val="single" w:color="auto" w:sz="6" w:space="0"/>
              <w:right w:val="single" w:color="auto" w:sz="6" w:space="0"/>
            </w:tcBorders>
            <w:vAlign w:val="center"/>
          </w:tcPr>
          <w:p w14:paraId="01B9CD3E">
            <w:pPr>
              <w:autoSpaceDE w:val="0"/>
              <w:autoSpaceDN w:val="0"/>
              <w:adjustRightInd w:val="0"/>
              <w:jc w:val="center"/>
              <w:rPr>
                <w:rFonts w:hint="default" w:ascii="Times New Roman" w:hAnsi="Times New Roman" w:eastAsia="仿宋_GB2312" w:cs="Times New Roman"/>
                <w:color w:val="000000" w:themeColor="text1"/>
                <w:kern w:val="0"/>
                <w:szCs w:val="21"/>
                <w:lang w:val="en-US"/>
              </w:rPr>
            </w:pPr>
            <w:r>
              <w:rPr>
                <w:rFonts w:hint="eastAsia" w:ascii="Times New Roman" w:hAnsi="Times New Roman" w:eastAsia="仿宋_GB2312" w:cs="Times New Roman"/>
                <w:color w:val="000000" w:themeColor="text1"/>
                <w:kern w:val="0"/>
                <w:szCs w:val="21"/>
                <w:lang w:val="en-US" w:eastAsia="zh-CN"/>
              </w:rPr>
              <w:t>3.36</w:t>
            </w:r>
          </w:p>
        </w:tc>
        <w:tc>
          <w:tcPr>
            <w:tcW w:w="2195" w:type="dxa"/>
            <w:tcBorders>
              <w:top w:val="single" w:color="auto" w:sz="6" w:space="0"/>
              <w:left w:val="single" w:color="auto" w:sz="6" w:space="0"/>
              <w:bottom w:val="single" w:color="auto" w:sz="6" w:space="0"/>
              <w:right w:val="single" w:color="auto" w:sz="6" w:space="0"/>
            </w:tcBorders>
            <w:vAlign w:val="center"/>
          </w:tcPr>
          <w:p w14:paraId="5E1051CD">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部门项目支出本年度决算数与预算数的比率，用以反映和考核部门项目支出预算执行程度。</w:t>
            </w:r>
          </w:p>
        </w:tc>
        <w:tc>
          <w:tcPr>
            <w:tcW w:w="2747" w:type="dxa"/>
            <w:tcBorders>
              <w:top w:val="single" w:color="auto" w:sz="6" w:space="0"/>
              <w:left w:val="single" w:color="auto" w:sz="6" w:space="0"/>
              <w:bottom w:val="single" w:color="auto" w:sz="6" w:space="0"/>
              <w:right w:val="single" w:color="auto" w:sz="6" w:space="0"/>
            </w:tcBorders>
            <w:vAlign w:val="center"/>
          </w:tcPr>
          <w:p w14:paraId="0EBE9750">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预算执行率=部门项目支出决算/部门项目支出预算×100%。决算数：部门（单位）本年度项目支出实际支出资金数。预算数：财政部门批复的本年度部门（单位）项目支出预算数以及当年批复的调整数。预算完成率≥95%得满分，每低于1%扣0.2分，扣完为止。</w:t>
            </w:r>
          </w:p>
        </w:tc>
        <w:tc>
          <w:tcPr>
            <w:tcW w:w="1372" w:type="dxa"/>
            <w:tcBorders>
              <w:top w:val="single" w:color="auto" w:sz="6" w:space="0"/>
              <w:left w:val="single" w:color="auto" w:sz="6" w:space="0"/>
              <w:bottom w:val="single" w:color="auto" w:sz="6" w:space="0"/>
              <w:right w:val="single" w:color="auto" w:sz="6" w:space="0"/>
            </w:tcBorders>
            <w:vAlign w:val="center"/>
          </w:tcPr>
          <w:p w14:paraId="6E1E0047">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项目支出预算批复，预算调整批复、预算编制等其他资料</w:t>
            </w:r>
          </w:p>
        </w:tc>
      </w:tr>
      <w:tr w14:paraId="15D0F929">
        <w:tblPrEx>
          <w:tblCellMar>
            <w:top w:w="0" w:type="dxa"/>
            <w:left w:w="30" w:type="dxa"/>
            <w:bottom w:w="0" w:type="dxa"/>
            <w:right w:w="30" w:type="dxa"/>
          </w:tblCellMar>
        </w:tblPrEx>
        <w:trPr>
          <w:trHeight w:val="1478"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52734A98">
            <w:pPr>
              <w:autoSpaceDE w:val="0"/>
              <w:autoSpaceDN w:val="0"/>
              <w:adjustRightInd w:val="0"/>
              <w:rPr>
                <w:rFonts w:ascii="Times New Roman" w:hAnsi="Times New Roman" w:eastAsia="仿宋_GB2312" w:cs="Times New Roman"/>
                <w:b/>
                <w:bCs/>
                <w:color w:val="000000" w:themeColor="text1"/>
                <w:kern w:val="0"/>
                <w:szCs w:val="21"/>
              </w:rPr>
            </w:pPr>
            <w:r>
              <w:rPr>
                <w:rFonts w:ascii="Times New Roman" w:hAnsi="Times New Roman" w:eastAsia="仿宋_GB2312" w:cs="Times New Roman"/>
                <w:b/>
                <w:bCs/>
                <w:color w:val="000000" w:themeColor="text1"/>
                <w:kern w:val="0"/>
                <w:szCs w:val="21"/>
              </w:rPr>
              <w:t>B部门管理（20分）</w:t>
            </w:r>
          </w:p>
        </w:tc>
        <w:tc>
          <w:tcPr>
            <w:tcW w:w="650" w:type="dxa"/>
            <w:tcBorders>
              <w:top w:val="single" w:color="auto" w:sz="6" w:space="0"/>
              <w:left w:val="single" w:color="auto" w:sz="6" w:space="0"/>
              <w:bottom w:val="nil"/>
              <w:right w:val="single" w:color="auto" w:sz="6" w:space="0"/>
            </w:tcBorders>
            <w:vAlign w:val="center"/>
          </w:tcPr>
          <w:p w14:paraId="3D81675A">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B1预算管理（7分）</w:t>
            </w:r>
          </w:p>
        </w:tc>
        <w:tc>
          <w:tcPr>
            <w:tcW w:w="1336" w:type="dxa"/>
            <w:tcBorders>
              <w:top w:val="single" w:color="auto" w:sz="6" w:space="0"/>
              <w:left w:val="single" w:color="auto" w:sz="6" w:space="0"/>
              <w:bottom w:val="single" w:color="auto" w:sz="6" w:space="0"/>
              <w:right w:val="single" w:color="auto" w:sz="6" w:space="0"/>
            </w:tcBorders>
            <w:vAlign w:val="center"/>
          </w:tcPr>
          <w:p w14:paraId="74165D3A">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B13“三公经费”控制率（1分）</w:t>
            </w:r>
          </w:p>
        </w:tc>
        <w:tc>
          <w:tcPr>
            <w:tcW w:w="521" w:type="dxa"/>
            <w:tcBorders>
              <w:top w:val="single" w:color="auto" w:sz="6" w:space="0"/>
              <w:left w:val="single" w:color="auto" w:sz="6" w:space="0"/>
              <w:bottom w:val="single" w:color="auto" w:sz="6" w:space="0"/>
              <w:right w:val="single" w:color="auto" w:sz="6" w:space="0"/>
            </w:tcBorders>
            <w:vAlign w:val="center"/>
          </w:tcPr>
          <w:p w14:paraId="68AB0680">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600" w:type="dxa"/>
            <w:tcBorders>
              <w:top w:val="single" w:color="auto" w:sz="6" w:space="0"/>
              <w:left w:val="single" w:color="auto" w:sz="6" w:space="0"/>
              <w:bottom w:val="single" w:color="auto" w:sz="6" w:space="0"/>
              <w:right w:val="single" w:color="auto" w:sz="6" w:space="0"/>
            </w:tcBorders>
            <w:vAlign w:val="center"/>
          </w:tcPr>
          <w:p w14:paraId="39DB12ED">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2195" w:type="dxa"/>
            <w:tcBorders>
              <w:top w:val="single" w:color="auto" w:sz="6" w:space="0"/>
              <w:left w:val="single" w:color="auto" w:sz="6" w:space="0"/>
              <w:bottom w:val="single" w:color="auto" w:sz="6" w:space="0"/>
              <w:right w:val="single" w:color="auto" w:sz="6" w:space="0"/>
            </w:tcBorders>
            <w:vAlign w:val="center"/>
          </w:tcPr>
          <w:p w14:paraId="7693DFC2">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部门本年度“三公”经费预算数与上年度“三公”经费预算数的变动比率，用以反映和考核部门（单位）对控制行政成本的努力程度。</w:t>
            </w:r>
          </w:p>
        </w:tc>
        <w:tc>
          <w:tcPr>
            <w:tcW w:w="2747" w:type="dxa"/>
            <w:tcBorders>
              <w:top w:val="single" w:color="auto" w:sz="6" w:space="0"/>
              <w:left w:val="single" w:color="auto" w:sz="6" w:space="0"/>
              <w:bottom w:val="single" w:color="auto" w:sz="6" w:space="0"/>
              <w:right w:val="single" w:color="auto" w:sz="6" w:space="0"/>
            </w:tcBorders>
            <w:vAlign w:val="center"/>
          </w:tcPr>
          <w:p w14:paraId="7557BD5A">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三公”经费控制率=（本年度“三公”经费总额/上年度“三公”经费总额）×100%。“三公”经费：年度预算安排的因公出国（境）费、公务用车购置及运行费和公务接待费。三公经费控制率≤100%得满分，≥120%得0分，区间内按权重进行扣分。</w:t>
            </w:r>
          </w:p>
        </w:tc>
        <w:tc>
          <w:tcPr>
            <w:tcW w:w="1372" w:type="dxa"/>
            <w:tcBorders>
              <w:top w:val="single" w:color="auto" w:sz="6" w:space="0"/>
              <w:left w:val="single" w:color="auto" w:sz="6" w:space="0"/>
              <w:bottom w:val="single" w:color="auto" w:sz="6" w:space="0"/>
              <w:right w:val="single" w:color="auto" w:sz="6" w:space="0"/>
            </w:tcBorders>
            <w:vAlign w:val="center"/>
          </w:tcPr>
          <w:p w14:paraId="7D908B7C">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三公经费使用情况</w:t>
            </w:r>
          </w:p>
        </w:tc>
      </w:tr>
      <w:tr w14:paraId="460E2664">
        <w:tblPrEx>
          <w:tblCellMar>
            <w:top w:w="0" w:type="dxa"/>
            <w:left w:w="30" w:type="dxa"/>
            <w:bottom w:w="0" w:type="dxa"/>
            <w:right w:w="30" w:type="dxa"/>
          </w:tblCellMar>
        </w:tblPrEx>
        <w:trPr>
          <w:trHeight w:val="605"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2DC5DF0C">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nil"/>
              <w:left w:val="single" w:color="auto" w:sz="6" w:space="0"/>
              <w:bottom w:val="single" w:color="auto" w:sz="6" w:space="0"/>
              <w:right w:val="single" w:color="auto" w:sz="6" w:space="0"/>
            </w:tcBorders>
            <w:vAlign w:val="center"/>
          </w:tcPr>
          <w:p w14:paraId="7091010E">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502A2E21">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B14预算调整情况（1分）</w:t>
            </w:r>
          </w:p>
        </w:tc>
        <w:tc>
          <w:tcPr>
            <w:tcW w:w="521" w:type="dxa"/>
            <w:tcBorders>
              <w:top w:val="single" w:color="auto" w:sz="6" w:space="0"/>
              <w:left w:val="single" w:color="auto" w:sz="6" w:space="0"/>
              <w:bottom w:val="single" w:color="auto" w:sz="6" w:space="0"/>
              <w:right w:val="single" w:color="auto" w:sz="6" w:space="0"/>
            </w:tcBorders>
            <w:vAlign w:val="center"/>
          </w:tcPr>
          <w:p w14:paraId="56EE165E">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600" w:type="dxa"/>
            <w:tcBorders>
              <w:top w:val="single" w:color="auto" w:sz="6" w:space="0"/>
              <w:left w:val="single" w:color="auto" w:sz="6" w:space="0"/>
              <w:bottom w:val="single" w:color="auto" w:sz="6" w:space="0"/>
              <w:right w:val="single" w:color="auto" w:sz="6" w:space="0"/>
            </w:tcBorders>
            <w:vAlign w:val="center"/>
          </w:tcPr>
          <w:p w14:paraId="02302198">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2195" w:type="dxa"/>
            <w:tcBorders>
              <w:top w:val="single" w:color="auto" w:sz="6" w:space="0"/>
              <w:left w:val="single" w:color="auto" w:sz="6" w:space="0"/>
              <w:bottom w:val="single" w:color="auto" w:sz="6" w:space="0"/>
              <w:right w:val="single" w:color="auto" w:sz="6" w:space="0"/>
            </w:tcBorders>
            <w:vAlign w:val="center"/>
          </w:tcPr>
          <w:p w14:paraId="35C8CB02">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用以反映预算单位是否根据年中预算实际执行情况及时合规进行预算调整。</w:t>
            </w:r>
          </w:p>
        </w:tc>
        <w:tc>
          <w:tcPr>
            <w:tcW w:w="2747" w:type="dxa"/>
            <w:tcBorders>
              <w:top w:val="single" w:color="auto" w:sz="6" w:space="0"/>
              <w:left w:val="single" w:color="auto" w:sz="6" w:space="0"/>
              <w:bottom w:val="single" w:color="auto" w:sz="6" w:space="0"/>
              <w:right w:val="single" w:color="auto" w:sz="6" w:space="0"/>
            </w:tcBorders>
            <w:vAlign w:val="center"/>
          </w:tcPr>
          <w:p w14:paraId="7F7B2B39">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根据年中预算执行情况及时申请预算调整，得0.5分；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按规定程序进行预算调整，得0.5分</w:t>
            </w:r>
          </w:p>
        </w:tc>
        <w:tc>
          <w:tcPr>
            <w:tcW w:w="1372" w:type="dxa"/>
            <w:tcBorders>
              <w:top w:val="single" w:color="auto" w:sz="6" w:space="0"/>
              <w:left w:val="single" w:color="auto" w:sz="6" w:space="0"/>
              <w:bottom w:val="single" w:color="auto" w:sz="6" w:space="0"/>
              <w:right w:val="single" w:color="auto" w:sz="6" w:space="0"/>
            </w:tcBorders>
            <w:vAlign w:val="center"/>
          </w:tcPr>
          <w:p w14:paraId="1356022C">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预算调整相关资料</w:t>
            </w:r>
          </w:p>
        </w:tc>
      </w:tr>
      <w:tr w14:paraId="32A42EA1">
        <w:tblPrEx>
          <w:tblCellMar>
            <w:top w:w="0" w:type="dxa"/>
            <w:left w:w="30" w:type="dxa"/>
            <w:bottom w:w="0" w:type="dxa"/>
            <w:right w:w="30" w:type="dxa"/>
          </w:tblCellMar>
        </w:tblPrEx>
        <w:trPr>
          <w:trHeight w:val="1111"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7A01696E">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1132FF48">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B2财务管理（6分）</w:t>
            </w:r>
          </w:p>
        </w:tc>
        <w:tc>
          <w:tcPr>
            <w:tcW w:w="1336" w:type="dxa"/>
            <w:tcBorders>
              <w:top w:val="single" w:color="auto" w:sz="6" w:space="0"/>
              <w:left w:val="single" w:color="auto" w:sz="6" w:space="0"/>
              <w:bottom w:val="single" w:color="auto" w:sz="6" w:space="0"/>
              <w:right w:val="single" w:color="auto" w:sz="6" w:space="0"/>
            </w:tcBorders>
            <w:vAlign w:val="center"/>
          </w:tcPr>
          <w:p w14:paraId="11023138">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B21财务管理制度健全性及执行情况（1分）</w:t>
            </w:r>
          </w:p>
        </w:tc>
        <w:tc>
          <w:tcPr>
            <w:tcW w:w="521" w:type="dxa"/>
            <w:tcBorders>
              <w:top w:val="single" w:color="auto" w:sz="6" w:space="0"/>
              <w:left w:val="single" w:color="auto" w:sz="6" w:space="0"/>
              <w:bottom w:val="single" w:color="auto" w:sz="6" w:space="0"/>
              <w:right w:val="single" w:color="auto" w:sz="6" w:space="0"/>
            </w:tcBorders>
            <w:vAlign w:val="center"/>
          </w:tcPr>
          <w:p w14:paraId="66674713">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600" w:type="dxa"/>
            <w:tcBorders>
              <w:top w:val="single" w:color="auto" w:sz="6" w:space="0"/>
              <w:left w:val="single" w:color="auto" w:sz="6" w:space="0"/>
              <w:bottom w:val="single" w:color="auto" w:sz="6" w:space="0"/>
              <w:right w:val="single" w:color="auto" w:sz="6" w:space="0"/>
            </w:tcBorders>
            <w:vAlign w:val="center"/>
          </w:tcPr>
          <w:p w14:paraId="27C38395">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0.9</w:t>
            </w:r>
          </w:p>
        </w:tc>
        <w:tc>
          <w:tcPr>
            <w:tcW w:w="2195" w:type="dxa"/>
            <w:tcBorders>
              <w:top w:val="single" w:color="auto" w:sz="6" w:space="0"/>
              <w:left w:val="single" w:color="auto" w:sz="6" w:space="0"/>
              <w:bottom w:val="single" w:color="auto" w:sz="6" w:space="0"/>
              <w:right w:val="single" w:color="auto" w:sz="6" w:space="0"/>
            </w:tcBorders>
            <w:vAlign w:val="center"/>
          </w:tcPr>
          <w:p w14:paraId="0B3E844A">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部门为加强预算管理、规范财务行为而制定的财务管理制度是否健全完整。用以反映和考核部门预算管理制度对完成主要职责或促进事业发展的保障情况。</w:t>
            </w:r>
          </w:p>
        </w:tc>
        <w:tc>
          <w:tcPr>
            <w:tcW w:w="2747" w:type="dxa"/>
            <w:tcBorders>
              <w:top w:val="single" w:color="auto" w:sz="6" w:space="0"/>
              <w:left w:val="single" w:color="auto" w:sz="6" w:space="0"/>
              <w:bottom w:val="single" w:color="auto" w:sz="6" w:space="0"/>
              <w:right w:val="single" w:color="auto" w:sz="6" w:space="0"/>
            </w:tcBorders>
            <w:vAlign w:val="center"/>
          </w:tcPr>
          <w:p w14:paraId="75A8256D">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是否已制定预算资金管理办法、内部财务管理制度、会计核算制度等管理制度，0.25分；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相关管理制度是否合法、合规、完整，0.25分；</w:t>
            </w:r>
            <w:r>
              <w:rPr>
                <w:rFonts w:hint="eastAsia" w:ascii="宋体" w:hAnsi="宋体" w:eastAsia="宋体" w:cs="宋体"/>
                <w:color w:val="000000" w:themeColor="text1"/>
                <w:kern w:val="0"/>
                <w:szCs w:val="21"/>
              </w:rPr>
              <w:t>③</w:t>
            </w:r>
            <w:r>
              <w:rPr>
                <w:rFonts w:ascii="Times New Roman" w:hAnsi="Times New Roman" w:eastAsia="仿宋_GB2312" w:cs="Times New Roman"/>
                <w:color w:val="000000" w:themeColor="text1"/>
                <w:kern w:val="0"/>
                <w:szCs w:val="21"/>
              </w:rPr>
              <w:t>相关管理制度是否得到有效执行，0.5分。</w:t>
            </w:r>
          </w:p>
        </w:tc>
        <w:tc>
          <w:tcPr>
            <w:tcW w:w="1372" w:type="dxa"/>
            <w:tcBorders>
              <w:top w:val="single" w:color="auto" w:sz="6" w:space="0"/>
              <w:left w:val="single" w:color="auto" w:sz="6" w:space="0"/>
              <w:bottom w:val="single" w:color="auto" w:sz="6" w:space="0"/>
              <w:right w:val="single" w:color="auto" w:sz="6" w:space="0"/>
            </w:tcBorders>
            <w:vAlign w:val="center"/>
          </w:tcPr>
          <w:p w14:paraId="621DB1FC">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财务管理相关制度及执行情况调研</w:t>
            </w:r>
          </w:p>
        </w:tc>
      </w:tr>
      <w:tr w14:paraId="07EF1199">
        <w:tblPrEx>
          <w:tblCellMar>
            <w:top w:w="0" w:type="dxa"/>
            <w:left w:w="30" w:type="dxa"/>
            <w:bottom w:w="0" w:type="dxa"/>
            <w:right w:w="30" w:type="dxa"/>
          </w:tblCellMar>
        </w:tblPrEx>
        <w:trPr>
          <w:trHeight w:val="1517"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3F92100D">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788E5052">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6576F93A">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B22资金使用合规性（4分）</w:t>
            </w:r>
          </w:p>
        </w:tc>
        <w:tc>
          <w:tcPr>
            <w:tcW w:w="521" w:type="dxa"/>
            <w:tcBorders>
              <w:top w:val="single" w:color="auto" w:sz="6" w:space="0"/>
              <w:left w:val="single" w:color="auto" w:sz="6" w:space="0"/>
              <w:bottom w:val="single" w:color="auto" w:sz="6" w:space="0"/>
              <w:right w:val="single" w:color="auto" w:sz="6" w:space="0"/>
            </w:tcBorders>
            <w:vAlign w:val="center"/>
          </w:tcPr>
          <w:p w14:paraId="7EDB1178">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4</w:t>
            </w:r>
          </w:p>
        </w:tc>
        <w:tc>
          <w:tcPr>
            <w:tcW w:w="600" w:type="dxa"/>
            <w:tcBorders>
              <w:top w:val="single" w:color="auto" w:sz="6" w:space="0"/>
              <w:left w:val="single" w:color="auto" w:sz="6" w:space="0"/>
              <w:bottom w:val="single" w:color="auto" w:sz="6" w:space="0"/>
              <w:right w:val="single" w:color="auto" w:sz="6" w:space="0"/>
            </w:tcBorders>
            <w:vAlign w:val="center"/>
          </w:tcPr>
          <w:p w14:paraId="2362968E">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4</w:t>
            </w:r>
          </w:p>
        </w:tc>
        <w:tc>
          <w:tcPr>
            <w:tcW w:w="2195" w:type="dxa"/>
            <w:tcBorders>
              <w:top w:val="single" w:color="auto" w:sz="6" w:space="0"/>
              <w:left w:val="single" w:color="auto" w:sz="6" w:space="0"/>
              <w:bottom w:val="single" w:color="auto" w:sz="6" w:space="0"/>
              <w:right w:val="single" w:color="auto" w:sz="6" w:space="0"/>
            </w:tcBorders>
            <w:vAlign w:val="center"/>
          </w:tcPr>
          <w:p w14:paraId="29CC3496">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部门使用预算资金是否符合相关财务管理制度的规定，用以反映和考核部门预算资金的规范运行情况。</w:t>
            </w:r>
          </w:p>
        </w:tc>
        <w:tc>
          <w:tcPr>
            <w:tcW w:w="2747" w:type="dxa"/>
            <w:tcBorders>
              <w:top w:val="single" w:color="auto" w:sz="6" w:space="0"/>
              <w:left w:val="single" w:color="auto" w:sz="6" w:space="0"/>
              <w:bottom w:val="single" w:color="auto" w:sz="6" w:space="0"/>
              <w:right w:val="single" w:color="auto" w:sz="6" w:space="0"/>
            </w:tcBorders>
            <w:vAlign w:val="center"/>
          </w:tcPr>
          <w:p w14:paraId="3FD03D92">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符合国家财经法规和财务管理制度规定以及有关专项资金管理办法的规定,1分；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资金的拨付有完整的审批程序和手续，1分；</w:t>
            </w:r>
            <w:r>
              <w:rPr>
                <w:rFonts w:hint="eastAsia" w:ascii="宋体" w:hAnsi="宋体" w:eastAsia="宋体" w:cs="宋体"/>
                <w:color w:val="000000" w:themeColor="text1"/>
                <w:kern w:val="0"/>
                <w:szCs w:val="21"/>
              </w:rPr>
              <w:t>③</w:t>
            </w:r>
            <w:r>
              <w:rPr>
                <w:rFonts w:ascii="Times New Roman" w:hAnsi="Times New Roman" w:eastAsia="仿宋_GB2312" w:cs="Times New Roman"/>
                <w:color w:val="000000" w:themeColor="text1"/>
                <w:kern w:val="0"/>
                <w:szCs w:val="21"/>
              </w:rPr>
              <w:t>项目的重大开支经过专题论证，1分；</w:t>
            </w:r>
            <w:r>
              <w:rPr>
                <w:rFonts w:hint="eastAsia" w:ascii="宋体" w:hAnsi="宋体" w:eastAsia="宋体" w:cs="宋体"/>
                <w:color w:val="000000" w:themeColor="text1"/>
                <w:kern w:val="0"/>
                <w:szCs w:val="21"/>
              </w:rPr>
              <w:t>④</w:t>
            </w:r>
            <w:r>
              <w:rPr>
                <w:rFonts w:ascii="Times New Roman" w:hAnsi="Times New Roman" w:eastAsia="仿宋_GB2312" w:cs="Times New Roman"/>
                <w:color w:val="000000" w:themeColor="text1"/>
                <w:kern w:val="0"/>
                <w:szCs w:val="21"/>
              </w:rPr>
              <w:t>符合部门预算批复的用途，1分；</w:t>
            </w:r>
            <w:r>
              <w:rPr>
                <w:rFonts w:hint="eastAsia" w:ascii="宋体" w:hAnsi="宋体" w:eastAsia="宋体" w:cs="宋体"/>
                <w:color w:val="000000" w:themeColor="text1"/>
                <w:kern w:val="0"/>
                <w:szCs w:val="21"/>
              </w:rPr>
              <w:t>⑤</w:t>
            </w:r>
            <w:r>
              <w:rPr>
                <w:rFonts w:ascii="Times New Roman" w:hAnsi="Times New Roman" w:eastAsia="仿宋_GB2312" w:cs="Times New Roman"/>
                <w:color w:val="000000" w:themeColor="text1"/>
                <w:kern w:val="0"/>
                <w:szCs w:val="21"/>
              </w:rPr>
              <w:t>是否存在截留、挤占、挪用、虚列支出等情况，一旦存在该指标不得分。</w:t>
            </w:r>
          </w:p>
        </w:tc>
        <w:tc>
          <w:tcPr>
            <w:tcW w:w="1372" w:type="dxa"/>
            <w:tcBorders>
              <w:top w:val="single" w:color="auto" w:sz="6" w:space="0"/>
              <w:left w:val="single" w:color="auto" w:sz="6" w:space="0"/>
              <w:bottom w:val="single" w:color="auto" w:sz="6" w:space="0"/>
              <w:right w:val="single" w:color="auto" w:sz="6" w:space="0"/>
            </w:tcBorders>
            <w:vAlign w:val="center"/>
          </w:tcPr>
          <w:p w14:paraId="092E8453">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资金支出相关凭证、流程梳理等</w:t>
            </w:r>
          </w:p>
        </w:tc>
      </w:tr>
      <w:tr w14:paraId="78C21C9D">
        <w:tblPrEx>
          <w:tblCellMar>
            <w:top w:w="0" w:type="dxa"/>
            <w:left w:w="30" w:type="dxa"/>
            <w:bottom w:w="0" w:type="dxa"/>
            <w:right w:w="30" w:type="dxa"/>
          </w:tblCellMar>
        </w:tblPrEx>
        <w:trPr>
          <w:trHeight w:val="773"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2E7C34E0">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2F85A64E">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61B2EEC5">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B23财务监控的有效性（1分）</w:t>
            </w:r>
          </w:p>
        </w:tc>
        <w:tc>
          <w:tcPr>
            <w:tcW w:w="521" w:type="dxa"/>
            <w:tcBorders>
              <w:top w:val="single" w:color="auto" w:sz="6" w:space="0"/>
              <w:left w:val="single" w:color="auto" w:sz="6" w:space="0"/>
              <w:bottom w:val="single" w:color="auto" w:sz="6" w:space="0"/>
              <w:right w:val="single" w:color="auto" w:sz="6" w:space="0"/>
            </w:tcBorders>
            <w:vAlign w:val="center"/>
          </w:tcPr>
          <w:p w14:paraId="38809ACE">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600" w:type="dxa"/>
            <w:tcBorders>
              <w:top w:val="single" w:color="auto" w:sz="6" w:space="0"/>
              <w:left w:val="single" w:color="auto" w:sz="6" w:space="0"/>
              <w:bottom w:val="single" w:color="auto" w:sz="6" w:space="0"/>
              <w:right w:val="single" w:color="auto" w:sz="6" w:space="0"/>
            </w:tcBorders>
            <w:vAlign w:val="center"/>
          </w:tcPr>
          <w:p w14:paraId="115009FA">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0.8</w:t>
            </w:r>
          </w:p>
        </w:tc>
        <w:tc>
          <w:tcPr>
            <w:tcW w:w="2195" w:type="dxa"/>
            <w:tcBorders>
              <w:top w:val="single" w:color="auto" w:sz="6" w:space="0"/>
              <w:left w:val="single" w:color="auto" w:sz="6" w:space="0"/>
              <w:bottom w:val="single" w:color="auto" w:sz="6" w:space="0"/>
              <w:right w:val="single" w:color="auto" w:sz="6" w:space="0"/>
            </w:tcBorders>
            <w:vAlign w:val="center"/>
          </w:tcPr>
          <w:p w14:paraId="1A79E4AC">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用以反映部门财务监控监督工作的有效性，包括监控、监督措施的制定及执行等方面。</w:t>
            </w:r>
          </w:p>
        </w:tc>
        <w:tc>
          <w:tcPr>
            <w:tcW w:w="2747" w:type="dxa"/>
            <w:tcBorders>
              <w:top w:val="single" w:color="auto" w:sz="6" w:space="0"/>
              <w:left w:val="single" w:color="auto" w:sz="6" w:space="0"/>
              <w:bottom w:val="single" w:color="auto" w:sz="6" w:space="0"/>
              <w:right w:val="single" w:color="auto" w:sz="6" w:space="0"/>
            </w:tcBorders>
            <w:vAlign w:val="center"/>
          </w:tcPr>
          <w:p w14:paraId="4AA2A45B">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制定明确的财务监控监督措施，得0.5分；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监控、监督措施执行有效，得0.5分；</w:t>
            </w:r>
          </w:p>
        </w:tc>
        <w:tc>
          <w:tcPr>
            <w:tcW w:w="1372" w:type="dxa"/>
            <w:tcBorders>
              <w:top w:val="single" w:color="auto" w:sz="6" w:space="0"/>
              <w:left w:val="single" w:color="auto" w:sz="6" w:space="0"/>
              <w:bottom w:val="single" w:color="auto" w:sz="6" w:space="0"/>
              <w:right w:val="single" w:color="auto" w:sz="6" w:space="0"/>
            </w:tcBorders>
            <w:vAlign w:val="center"/>
          </w:tcPr>
          <w:p w14:paraId="46EE889E">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财务监控监督相关办法及条款，实际执行情况资料</w:t>
            </w:r>
          </w:p>
        </w:tc>
      </w:tr>
      <w:tr w14:paraId="5EB29FBF">
        <w:tblPrEx>
          <w:tblCellMar>
            <w:top w:w="0" w:type="dxa"/>
            <w:left w:w="30" w:type="dxa"/>
            <w:bottom w:w="0" w:type="dxa"/>
            <w:right w:w="30" w:type="dxa"/>
          </w:tblCellMar>
        </w:tblPrEx>
        <w:trPr>
          <w:trHeight w:val="1310"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4E21F8F0">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6A454F08">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B3人力资源管理（2分）</w:t>
            </w:r>
          </w:p>
        </w:tc>
        <w:tc>
          <w:tcPr>
            <w:tcW w:w="1336" w:type="dxa"/>
            <w:tcBorders>
              <w:top w:val="single" w:color="auto" w:sz="6" w:space="0"/>
              <w:left w:val="single" w:color="auto" w:sz="6" w:space="0"/>
              <w:bottom w:val="single" w:color="auto" w:sz="6" w:space="0"/>
              <w:right w:val="single" w:color="auto" w:sz="6" w:space="0"/>
            </w:tcBorders>
            <w:vAlign w:val="center"/>
          </w:tcPr>
          <w:p w14:paraId="2303C600">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B31在职人员控制率（1分）</w:t>
            </w:r>
          </w:p>
        </w:tc>
        <w:tc>
          <w:tcPr>
            <w:tcW w:w="521" w:type="dxa"/>
            <w:tcBorders>
              <w:top w:val="single" w:color="auto" w:sz="6" w:space="0"/>
              <w:left w:val="single" w:color="auto" w:sz="6" w:space="0"/>
              <w:bottom w:val="single" w:color="auto" w:sz="6" w:space="0"/>
              <w:right w:val="single" w:color="auto" w:sz="6" w:space="0"/>
            </w:tcBorders>
            <w:vAlign w:val="center"/>
          </w:tcPr>
          <w:p w14:paraId="526E680E">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600" w:type="dxa"/>
            <w:tcBorders>
              <w:top w:val="single" w:color="auto" w:sz="6" w:space="0"/>
              <w:left w:val="single" w:color="auto" w:sz="6" w:space="0"/>
              <w:bottom w:val="single" w:color="auto" w:sz="6" w:space="0"/>
              <w:right w:val="single" w:color="auto" w:sz="6" w:space="0"/>
            </w:tcBorders>
            <w:vAlign w:val="center"/>
          </w:tcPr>
          <w:p w14:paraId="76BE321A">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2195" w:type="dxa"/>
            <w:tcBorders>
              <w:top w:val="single" w:color="auto" w:sz="6" w:space="0"/>
              <w:left w:val="single" w:color="auto" w:sz="6" w:space="0"/>
              <w:bottom w:val="single" w:color="auto" w:sz="6" w:space="0"/>
              <w:right w:val="single" w:color="auto" w:sz="6" w:space="0"/>
            </w:tcBorders>
            <w:vAlign w:val="center"/>
          </w:tcPr>
          <w:p w14:paraId="0390BFB2">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部门本年度实际在职人员数与编制数的比率，用以反映和考核部门对人员成本的控制程度。</w:t>
            </w:r>
          </w:p>
        </w:tc>
        <w:tc>
          <w:tcPr>
            <w:tcW w:w="2747" w:type="dxa"/>
            <w:tcBorders>
              <w:top w:val="single" w:color="auto" w:sz="6" w:space="0"/>
              <w:left w:val="single" w:color="auto" w:sz="6" w:space="0"/>
              <w:bottom w:val="single" w:color="auto" w:sz="6" w:space="0"/>
              <w:right w:val="single" w:color="auto" w:sz="6" w:space="0"/>
            </w:tcBorders>
            <w:vAlign w:val="center"/>
          </w:tcPr>
          <w:p w14:paraId="2D06CCFE">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在职人员控制率=（在职人员数/编制数）×100%。在职人员数：部门（单位）实际在职人数，以财政部门确定的部门决算编制口径为准。编制数：机构编制部门核定批复的部门人员编制数。在职人员控制率≤100%得满分，有超出不得分。</w:t>
            </w:r>
          </w:p>
        </w:tc>
        <w:tc>
          <w:tcPr>
            <w:tcW w:w="1372" w:type="dxa"/>
            <w:tcBorders>
              <w:top w:val="single" w:color="auto" w:sz="6" w:space="0"/>
              <w:left w:val="single" w:color="auto" w:sz="6" w:space="0"/>
              <w:bottom w:val="single" w:color="auto" w:sz="6" w:space="0"/>
              <w:right w:val="single" w:color="auto" w:sz="6" w:space="0"/>
            </w:tcBorders>
            <w:vAlign w:val="center"/>
          </w:tcPr>
          <w:p w14:paraId="4EC879D7">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部门编制数、在职人数、年内变化情况</w:t>
            </w:r>
          </w:p>
        </w:tc>
      </w:tr>
      <w:tr w14:paraId="5A9E7127">
        <w:tblPrEx>
          <w:tblCellMar>
            <w:top w:w="0" w:type="dxa"/>
            <w:left w:w="30" w:type="dxa"/>
            <w:bottom w:w="0" w:type="dxa"/>
            <w:right w:w="30" w:type="dxa"/>
          </w:tblCellMar>
        </w:tblPrEx>
        <w:trPr>
          <w:trHeight w:val="972"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58A68977">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7413A1E3">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1EC6BCAB">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B32人力资源管理执行情况（1分）</w:t>
            </w:r>
          </w:p>
        </w:tc>
        <w:tc>
          <w:tcPr>
            <w:tcW w:w="521" w:type="dxa"/>
            <w:tcBorders>
              <w:top w:val="single" w:color="auto" w:sz="6" w:space="0"/>
              <w:left w:val="single" w:color="auto" w:sz="6" w:space="0"/>
              <w:bottom w:val="single" w:color="auto" w:sz="6" w:space="0"/>
              <w:right w:val="single" w:color="auto" w:sz="6" w:space="0"/>
            </w:tcBorders>
            <w:vAlign w:val="center"/>
          </w:tcPr>
          <w:p w14:paraId="511D4C08">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600" w:type="dxa"/>
            <w:tcBorders>
              <w:top w:val="single" w:color="auto" w:sz="6" w:space="0"/>
              <w:left w:val="single" w:color="auto" w:sz="6" w:space="0"/>
              <w:bottom w:val="single" w:color="auto" w:sz="6" w:space="0"/>
              <w:right w:val="single" w:color="auto" w:sz="6" w:space="0"/>
            </w:tcBorders>
            <w:vAlign w:val="center"/>
          </w:tcPr>
          <w:p w14:paraId="09EA29FC">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0.8</w:t>
            </w:r>
          </w:p>
        </w:tc>
        <w:tc>
          <w:tcPr>
            <w:tcW w:w="2195" w:type="dxa"/>
            <w:tcBorders>
              <w:top w:val="single" w:color="auto" w:sz="6" w:space="0"/>
              <w:left w:val="single" w:color="auto" w:sz="6" w:space="0"/>
              <w:bottom w:val="single" w:color="auto" w:sz="6" w:space="0"/>
              <w:right w:val="single" w:color="auto" w:sz="6" w:space="0"/>
            </w:tcBorders>
            <w:vAlign w:val="center"/>
          </w:tcPr>
          <w:p w14:paraId="09011E2A">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考察部门人力资源管理的健全性及执行规范性，包括在编、派遣、临时员工的管理，包括招聘、培训、工资发放及考核等。</w:t>
            </w:r>
          </w:p>
        </w:tc>
        <w:tc>
          <w:tcPr>
            <w:tcW w:w="2747" w:type="dxa"/>
            <w:tcBorders>
              <w:top w:val="single" w:color="auto" w:sz="6" w:space="0"/>
              <w:left w:val="single" w:color="auto" w:sz="6" w:space="0"/>
              <w:bottom w:val="single" w:color="auto" w:sz="6" w:space="0"/>
              <w:right w:val="single" w:color="auto" w:sz="6" w:space="0"/>
            </w:tcBorders>
            <w:vAlign w:val="center"/>
          </w:tcPr>
          <w:p w14:paraId="247E6146">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有具体的人力资源管理制度文件或参照文件，得0.5分；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严格按照相关文件对各类型人员进行管理和考核，得0.5分</w:t>
            </w:r>
          </w:p>
        </w:tc>
        <w:tc>
          <w:tcPr>
            <w:tcW w:w="1372" w:type="dxa"/>
            <w:tcBorders>
              <w:top w:val="single" w:color="auto" w:sz="6" w:space="0"/>
              <w:left w:val="single" w:color="auto" w:sz="6" w:space="0"/>
              <w:bottom w:val="single" w:color="auto" w:sz="6" w:space="0"/>
              <w:right w:val="single" w:color="auto" w:sz="6" w:space="0"/>
            </w:tcBorders>
            <w:vAlign w:val="center"/>
          </w:tcPr>
          <w:p w14:paraId="3DAB78D6">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人力资源管理相关文件及实施情况</w:t>
            </w:r>
          </w:p>
        </w:tc>
      </w:tr>
      <w:tr w14:paraId="74F1E35A">
        <w:tblPrEx>
          <w:tblCellMar>
            <w:top w:w="0" w:type="dxa"/>
            <w:left w:w="30" w:type="dxa"/>
            <w:bottom w:w="0" w:type="dxa"/>
            <w:right w:w="30" w:type="dxa"/>
          </w:tblCellMar>
        </w:tblPrEx>
        <w:trPr>
          <w:trHeight w:val="1128"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5B6D61AF">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1052A719">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B4资产管理（2分）</w:t>
            </w:r>
          </w:p>
        </w:tc>
        <w:tc>
          <w:tcPr>
            <w:tcW w:w="1336" w:type="dxa"/>
            <w:tcBorders>
              <w:top w:val="single" w:color="auto" w:sz="6" w:space="0"/>
              <w:left w:val="single" w:color="auto" w:sz="6" w:space="0"/>
              <w:bottom w:val="single" w:color="auto" w:sz="6" w:space="0"/>
              <w:right w:val="single" w:color="auto" w:sz="6" w:space="0"/>
            </w:tcBorders>
            <w:vAlign w:val="center"/>
          </w:tcPr>
          <w:p w14:paraId="6D79BAE2">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B41资产管理制度健全性及执行情况（1分）</w:t>
            </w:r>
          </w:p>
        </w:tc>
        <w:tc>
          <w:tcPr>
            <w:tcW w:w="521" w:type="dxa"/>
            <w:tcBorders>
              <w:top w:val="single" w:color="auto" w:sz="6" w:space="0"/>
              <w:left w:val="single" w:color="auto" w:sz="6" w:space="0"/>
              <w:bottom w:val="single" w:color="auto" w:sz="6" w:space="0"/>
              <w:right w:val="single" w:color="auto" w:sz="6" w:space="0"/>
            </w:tcBorders>
            <w:vAlign w:val="center"/>
          </w:tcPr>
          <w:p w14:paraId="614B8B25">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600" w:type="dxa"/>
            <w:tcBorders>
              <w:top w:val="single" w:color="auto" w:sz="6" w:space="0"/>
              <w:left w:val="single" w:color="auto" w:sz="6" w:space="0"/>
              <w:bottom w:val="single" w:color="auto" w:sz="6" w:space="0"/>
              <w:right w:val="single" w:color="auto" w:sz="6" w:space="0"/>
            </w:tcBorders>
            <w:vAlign w:val="center"/>
          </w:tcPr>
          <w:p w14:paraId="1FE44B36">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2195" w:type="dxa"/>
            <w:tcBorders>
              <w:top w:val="single" w:color="auto" w:sz="6" w:space="0"/>
              <w:left w:val="single" w:color="auto" w:sz="6" w:space="0"/>
              <w:bottom w:val="single" w:color="auto" w:sz="6" w:space="0"/>
              <w:right w:val="single" w:color="auto" w:sz="6" w:space="0"/>
            </w:tcBorders>
            <w:vAlign w:val="center"/>
          </w:tcPr>
          <w:p w14:paraId="3E028257">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部门为加强资产管理、规范资产使用而制定的资产管理制度是否健全完整，用以反映和考核部门资产管理制度对完成主要职责或促进事业发展的保障情况。</w:t>
            </w:r>
          </w:p>
        </w:tc>
        <w:tc>
          <w:tcPr>
            <w:tcW w:w="2747" w:type="dxa"/>
            <w:tcBorders>
              <w:top w:val="single" w:color="auto" w:sz="6" w:space="0"/>
              <w:left w:val="single" w:color="auto" w:sz="6" w:space="0"/>
              <w:bottom w:val="single" w:color="auto" w:sz="6" w:space="0"/>
              <w:right w:val="single" w:color="auto" w:sz="6" w:space="0"/>
            </w:tcBorders>
            <w:vAlign w:val="center"/>
          </w:tcPr>
          <w:p w14:paraId="0A08B640">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是否已制定或具有固定资产管理办法、资产使用办法等管理制度，得0.25分；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相关管理制度是否合法、合规、完整，得0.25分；</w:t>
            </w:r>
            <w:r>
              <w:rPr>
                <w:rFonts w:hint="eastAsia" w:ascii="宋体" w:hAnsi="宋体" w:eastAsia="宋体" w:cs="宋体"/>
                <w:color w:val="000000" w:themeColor="text1"/>
                <w:kern w:val="0"/>
                <w:szCs w:val="21"/>
              </w:rPr>
              <w:t>③</w:t>
            </w:r>
            <w:r>
              <w:rPr>
                <w:rFonts w:ascii="Times New Roman" w:hAnsi="Times New Roman" w:eastAsia="仿宋_GB2312" w:cs="Times New Roman"/>
                <w:color w:val="000000" w:themeColor="text1"/>
                <w:kern w:val="0"/>
                <w:szCs w:val="21"/>
              </w:rPr>
              <w:t>相关管理制度是否得到有效执行，得0.5分。</w:t>
            </w:r>
          </w:p>
        </w:tc>
        <w:tc>
          <w:tcPr>
            <w:tcW w:w="1372" w:type="dxa"/>
            <w:tcBorders>
              <w:top w:val="single" w:color="auto" w:sz="6" w:space="0"/>
              <w:left w:val="single" w:color="auto" w:sz="6" w:space="0"/>
              <w:bottom w:val="single" w:color="auto" w:sz="6" w:space="0"/>
              <w:right w:val="single" w:color="auto" w:sz="6" w:space="0"/>
            </w:tcBorders>
            <w:vAlign w:val="center"/>
          </w:tcPr>
          <w:p w14:paraId="77D1FF8A">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资产管理相关办法</w:t>
            </w:r>
          </w:p>
        </w:tc>
      </w:tr>
      <w:tr w14:paraId="75660741">
        <w:tblPrEx>
          <w:tblCellMar>
            <w:top w:w="0" w:type="dxa"/>
            <w:left w:w="30" w:type="dxa"/>
            <w:bottom w:w="0" w:type="dxa"/>
            <w:right w:w="30" w:type="dxa"/>
          </w:tblCellMar>
        </w:tblPrEx>
        <w:trPr>
          <w:trHeight w:val="914"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1180499C">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6CADDFBD">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1EBF13E5">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B42固定资产在用率（1分）</w:t>
            </w:r>
          </w:p>
        </w:tc>
        <w:tc>
          <w:tcPr>
            <w:tcW w:w="521" w:type="dxa"/>
            <w:tcBorders>
              <w:top w:val="single" w:color="auto" w:sz="6" w:space="0"/>
              <w:left w:val="single" w:color="auto" w:sz="6" w:space="0"/>
              <w:bottom w:val="single" w:color="auto" w:sz="6" w:space="0"/>
              <w:right w:val="single" w:color="auto" w:sz="6" w:space="0"/>
            </w:tcBorders>
            <w:vAlign w:val="center"/>
          </w:tcPr>
          <w:p w14:paraId="01DD7468">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600" w:type="dxa"/>
            <w:tcBorders>
              <w:top w:val="single" w:color="auto" w:sz="6" w:space="0"/>
              <w:left w:val="single" w:color="auto" w:sz="6" w:space="0"/>
              <w:bottom w:val="single" w:color="auto" w:sz="6" w:space="0"/>
              <w:right w:val="single" w:color="auto" w:sz="6" w:space="0"/>
            </w:tcBorders>
            <w:vAlign w:val="center"/>
          </w:tcPr>
          <w:p w14:paraId="66F42290">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2195" w:type="dxa"/>
            <w:tcBorders>
              <w:top w:val="single" w:color="auto" w:sz="6" w:space="0"/>
              <w:left w:val="single" w:color="auto" w:sz="6" w:space="0"/>
              <w:bottom w:val="single" w:color="auto" w:sz="6" w:space="0"/>
              <w:right w:val="single" w:color="auto" w:sz="6" w:space="0"/>
            </w:tcBorders>
            <w:vAlign w:val="center"/>
          </w:tcPr>
          <w:p w14:paraId="59E2A83C">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部门实际在用固定资产总额与所有固定资产总额的比率，用以反映和考核部门固定资产使用效率及程度。</w:t>
            </w:r>
          </w:p>
        </w:tc>
        <w:tc>
          <w:tcPr>
            <w:tcW w:w="2747" w:type="dxa"/>
            <w:tcBorders>
              <w:top w:val="single" w:color="auto" w:sz="6" w:space="0"/>
              <w:left w:val="single" w:color="auto" w:sz="6" w:space="0"/>
              <w:bottom w:val="single" w:color="auto" w:sz="6" w:space="0"/>
              <w:right w:val="single" w:color="auto" w:sz="6" w:space="0"/>
            </w:tcBorders>
            <w:vAlign w:val="center"/>
          </w:tcPr>
          <w:p w14:paraId="204E33F0">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固定资产在用率=（实际在用固定资产总额/所有固定资产总额）×100%。固定资产在用率达到95%以上得满分.每降低1%扣权重分（1分）的5%，扣完为止。</w:t>
            </w:r>
          </w:p>
        </w:tc>
        <w:tc>
          <w:tcPr>
            <w:tcW w:w="1372" w:type="dxa"/>
            <w:tcBorders>
              <w:top w:val="single" w:color="auto" w:sz="6" w:space="0"/>
              <w:left w:val="single" w:color="auto" w:sz="6" w:space="0"/>
              <w:bottom w:val="single" w:color="auto" w:sz="6" w:space="0"/>
              <w:right w:val="single" w:color="auto" w:sz="6" w:space="0"/>
            </w:tcBorders>
            <w:vAlign w:val="center"/>
          </w:tcPr>
          <w:p w14:paraId="2ABABA47">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固定资产卡片、固定资产使用信息等</w:t>
            </w:r>
          </w:p>
        </w:tc>
      </w:tr>
      <w:tr w14:paraId="79E0563A">
        <w:tblPrEx>
          <w:tblCellMar>
            <w:top w:w="0" w:type="dxa"/>
            <w:left w:w="30" w:type="dxa"/>
            <w:bottom w:w="0" w:type="dxa"/>
            <w:right w:w="30" w:type="dxa"/>
          </w:tblCellMar>
        </w:tblPrEx>
        <w:trPr>
          <w:trHeight w:val="1111"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0FAA1C1F">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6A612411">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B5业务管理（3分）</w:t>
            </w:r>
          </w:p>
        </w:tc>
        <w:tc>
          <w:tcPr>
            <w:tcW w:w="1336" w:type="dxa"/>
            <w:tcBorders>
              <w:top w:val="single" w:color="auto" w:sz="6" w:space="0"/>
              <w:left w:val="single" w:color="auto" w:sz="6" w:space="0"/>
              <w:bottom w:val="single" w:color="auto" w:sz="6" w:space="0"/>
              <w:right w:val="single" w:color="auto" w:sz="6" w:space="0"/>
            </w:tcBorders>
            <w:vAlign w:val="center"/>
          </w:tcPr>
          <w:p w14:paraId="4FF1F6C7">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B51业务管理制度健全性及执行情况（1分）</w:t>
            </w:r>
          </w:p>
        </w:tc>
        <w:tc>
          <w:tcPr>
            <w:tcW w:w="521" w:type="dxa"/>
            <w:tcBorders>
              <w:top w:val="single" w:color="auto" w:sz="6" w:space="0"/>
              <w:left w:val="single" w:color="auto" w:sz="6" w:space="0"/>
              <w:bottom w:val="single" w:color="auto" w:sz="6" w:space="0"/>
              <w:right w:val="single" w:color="auto" w:sz="6" w:space="0"/>
            </w:tcBorders>
            <w:vAlign w:val="center"/>
          </w:tcPr>
          <w:p w14:paraId="5D2E7E00">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600" w:type="dxa"/>
            <w:tcBorders>
              <w:top w:val="single" w:color="auto" w:sz="6" w:space="0"/>
              <w:left w:val="single" w:color="auto" w:sz="6" w:space="0"/>
              <w:bottom w:val="single" w:color="auto" w:sz="6" w:space="0"/>
              <w:right w:val="single" w:color="auto" w:sz="6" w:space="0"/>
            </w:tcBorders>
            <w:vAlign w:val="center"/>
          </w:tcPr>
          <w:p w14:paraId="15B9E135">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0.9</w:t>
            </w:r>
          </w:p>
        </w:tc>
        <w:tc>
          <w:tcPr>
            <w:tcW w:w="2195" w:type="dxa"/>
            <w:tcBorders>
              <w:top w:val="single" w:color="auto" w:sz="6" w:space="0"/>
              <w:left w:val="single" w:color="auto" w:sz="6" w:space="0"/>
              <w:bottom w:val="single" w:color="auto" w:sz="6" w:space="0"/>
              <w:right w:val="single" w:color="auto" w:sz="6" w:space="0"/>
            </w:tcBorders>
            <w:vAlign w:val="center"/>
          </w:tcPr>
          <w:p w14:paraId="46284540">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部门为加强业务管理、规范业务执行而制定的管理制度是否健全完整，用以反映和考核部门业务管理制度对完成主要职责或促进事业发展的保障情况。</w:t>
            </w:r>
          </w:p>
        </w:tc>
        <w:tc>
          <w:tcPr>
            <w:tcW w:w="2747" w:type="dxa"/>
            <w:tcBorders>
              <w:top w:val="single" w:color="auto" w:sz="6" w:space="0"/>
              <w:left w:val="single" w:color="auto" w:sz="6" w:space="0"/>
              <w:bottom w:val="single" w:color="auto" w:sz="6" w:space="0"/>
              <w:right w:val="single" w:color="auto" w:sz="6" w:space="0"/>
            </w:tcBorders>
            <w:vAlign w:val="center"/>
          </w:tcPr>
          <w:p w14:paraId="20FAD4CD">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已制定或具有业务管理、项目管理等管理制度，得0.25分；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相关管理制度合法、合规、完整，得0.25分；</w:t>
            </w:r>
            <w:r>
              <w:rPr>
                <w:rFonts w:hint="eastAsia" w:ascii="宋体" w:hAnsi="宋体" w:eastAsia="宋体" w:cs="宋体"/>
                <w:color w:val="000000" w:themeColor="text1"/>
                <w:kern w:val="0"/>
                <w:szCs w:val="21"/>
              </w:rPr>
              <w:t>③</w:t>
            </w:r>
            <w:r>
              <w:rPr>
                <w:rFonts w:ascii="Times New Roman" w:hAnsi="Times New Roman" w:eastAsia="仿宋_GB2312" w:cs="Times New Roman"/>
                <w:color w:val="000000" w:themeColor="text1"/>
                <w:kern w:val="0"/>
                <w:szCs w:val="21"/>
              </w:rPr>
              <w:t>相关管理制度得到有效执行，得0.5分。</w:t>
            </w:r>
          </w:p>
        </w:tc>
        <w:tc>
          <w:tcPr>
            <w:tcW w:w="1372" w:type="dxa"/>
            <w:tcBorders>
              <w:top w:val="single" w:color="auto" w:sz="6" w:space="0"/>
              <w:left w:val="single" w:color="auto" w:sz="6" w:space="0"/>
              <w:bottom w:val="single" w:color="auto" w:sz="6" w:space="0"/>
              <w:right w:val="single" w:color="auto" w:sz="6" w:space="0"/>
            </w:tcBorders>
            <w:vAlign w:val="center"/>
          </w:tcPr>
          <w:p w14:paraId="46B62CD6">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业务管理相关办法及执行情况资料</w:t>
            </w:r>
          </w:p>
        </w:tc>
      </w:tr>
      <w:tr w14:paraId="3A7A468A">
        <w:tblPrEx>
          <w:tblCellMar>
            <w:top w:w="0" w:type="dxa"/>
            <w:left w:w="30" w:type="dxa"/>
            <w:bottom w:w="0" w:type="dxa"/>
            <w:right w:w="30" w:type="dxa"/>
          </w:tblCellMar>
        </w:tblPrEx>
        <w:trPr>
          <w:trHeight w:val="612"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4BBAF26E">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56E112C1">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077F5723">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B52政府采购规范性（1分）</w:t>
            </w:r>
          </w:p>
        </w:tc>
        <w:tc>
          <w:tcPr>
            <w:tcW w:w="521" w:type="dxa"/>
            <w:tcBorders>
              <w:top w:val="single" w:color="auto" w:sz="6" w:space="0"/>
              <w:left w:val="single" w:color="auto" w:sz="6" w:space="0"/>
              <w:bottom w:val="single" w:color="auto" w:sz="6" w:space="0"/>
              <w:right w:val="single" w:color="auto" w:sz="6" w:space="0"/>
            </w:tcBorders>
            <w:vAlign w:val="center"/>
          </w:tcPr>
          <w:p w14:paraId="79F5CD24">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600" w:type="dxa"/>
            <w:tcBorders>
              <w:top w:val="single" w:color="auto" w:sz="6" w:space="0"/>
              <w:left w:val="single" w:color="auto" w:sz="6" w:space="0"/>
              <w:bottom w:val="single" w:color="auto" w:sz="6" w:space="0"/>
              <w:right w:val="single" w:color="auto" w:sz="6" w:space="0"/>
            </w:tcBorders>
            <w:vAlign w:val="center"/>
          </w:tcPr>
          <w:p w14:paraId="78895B8E">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2195" w:type="dxa"/>
            <w:tcBorders>
              <w:top w:val="single" w:color="auto" w:sz="6" w:space="0"/>
              <w:left w:val="single" w:color="auto" w:sz="6" w:space="0"/>
              <w:bottom w:val="single" w:color="auto" w:sz="6" w:space="0"/>
              <w:right w:val="single" w:color="auto" w:sz="6" w:space="0"/>
            </w:tcBorders>
            <w:vAlign w:val="center"/>
          </w:tcPr>
          <w:p w14:paraId="24E3A6F4">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考察政府采购项目的采购程序、采购方式的规范性</w:t>
            </w:r>
          </w:p>
        </w:tc>
        <w:tc>
          <w:tcPr>
            <w:tcW w:w="2747" w:type="dxa"/>
            <w:tcBorders>
              <w:top w:val="single" w:color="auto" w:sz="6" w:space="0"/>
              <w:left w:val="single" w:color="auto" w:sz="6" w:space="0"/>
              <w:bottom w:val="single" w:color="auto" w:sz="6" w:space="0"/>
              <w:right w:val="single" w:color="auto" w:sz="6" w:space="0"/>
            </w:tcBorders>
            <w:vAlign w:val="center"/>
          </w:tcPr>
          <w:p w14:paraId="6E36643E">
            <w:pPr>
              <w:autoSpaceDE w:val="0"/>
              <w:autoSpaceDN w:val="0"/>
              <w:adjustRightInd w:val="0"/>
              <w:rPr>
                <w:rFonts w:ascii="Times New Roman" w:hAnsi="Times New Roman" w:eastAsia="仿宋_GB2312" w:cs="Times New Roman"/>
                <w:color w:val="000000" w:themeColor="text1"/>
                <w:kern w:val="0"/>
                <w:szCs w:val="21"/>
              </w:rPr>
            </w:pPr>
            <w:r>
              <w:rPr>
                <w:rFonts w:hint="eastAsia" w:ascii="宋体" w:hAnsi="宋体" w:eastAsia="宋体" w:cs="宋体"/>
                <w:color w:val="000000" w:themeColor="text1"/>
                <w:kern w:val="0"/>
                <w:szCs w:val="21"/>
              </w:rPr>
              <w:t>①</w:t>
            </w:r>
            <w:r>
              <w:rPr>
                <w:rFonts w:ascii="Times New Roman" w:hAnsi="Times New Roman" w:eastAsia="仿宋_GB2312" w:cs="Times New Roman"/>
                <w:color w:val="000000" w:themeColor="text1"/>
                <w:kern w:val="0"/>
                <w:szCs w:val="21"/>
              </w:rPr>
              <w:t>政府采购方式、程序都规范，得满分；</w:t>
            </w:r>
            <w:r>
              <w:rPr>
                <w:rFonts w:hint="eastAsia" w:ascii="宋体" w:hAnsi="宋体" w:eastAsia="宋体" w:cs="宋体"/>
                <w:color w:val="000000" w:themeColor="text1"/>
                <w:kern w:val="0"/>
                <w:szCs w:val="21"/>
              </w:rPr>
              <w:t>②</w:t>
            </w:r>
            <w:r>
              <w:rPr>
                <w:rFonts w:ascii="Times New Roman" w:hAnsi="Times New Roman" w:eastAsia="仿宋_GB2312" w:cs="Times New Roman"/>
                <w:color w:val="000000" w:themeColor="text1"/>
                <w:kern w:val="0"/>
                <w:szCs w:val="21"/>
              </w:rPr>
              <w:t>采购方式、程序中每有一点不规范，扣0.5分，扣完为止。</w:t>
            </w:r>
          </w:p>
        </w:tc>
        <w:tc>
          <w:tcPr>
            <w:tcW w:w="1372" w:type="dxa"/>
            <w:tcBorders>
              <w:top w:val="single" w:color="auto" w:sz="6" w:space="0"/>
              <w:left w:val="single" w:color="auto" w:sz="6" w:space="0"/>
              <w:bottom w:val="single" w:color="auto" w:sz="6" w:space="0"/>
              <w:right w:val="single" w:color="auto" w:sz="6" w:space="0"/>
            </w:tcBorders>
            <w:vAlign w:val="center"/>
          </w:tcPr>
          <w:p w14:paraId="04D76FF2">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政府采购相关资料</w:t>
            </w:r>
          </w:p>
        </w:tc>
      </w:tr>
      <w:tr w14:paraId="28456EA4">
        <w:tblPrEx>
          <w:tblCellMar>
            <w:top w:w="0" w:type="dxa"/>
            <w:left w:w="30" w:type="dxa"/>
            <w:bottom w:w="0" w:type="dxa"/>
            <w:right w:w="30" w:type="dxa"/>
          </w:tblCellMar>
        </w:tblPrEx>
        <w:trPr>
          <w:trHeight w:val="576"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14:paraId="79436428">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53D3F118">
            <w:pPr>
              <w:autoSpaceDE w:val="0"/>
              <w:autoSpaceDN w:val="0"/>
              <w:adjustRightInd w:val="0"/>
              <w:rPr>
                <w:rFonts w:ascii="Times New Roman" w:hAnsi="Times New Roman" w:eastAsia="仿宋_GB2312" w:cs="Times New Roman"/>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vAlign w:val="center"/>
          </w:tcPr>
          <w:p w14:paraId="4375FB07">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B53监督考核情况（1分）</w:t>
            </w:r>
          </w:p>
        </w:tc>
        <w:tc>
          <w:tcPr>
            <w:tcW w:w="521" w:type="dxa"/>
            <w:tcBorders>
              <w:top w:val="single" w:color="auto" w:sz="6" w:space="0"/>
              <w:left w:val="single" w:color="auto" w:sz="6" w:space="0"/>
              <w:bottom w:val="single" w:color="auto" w:sz="6" w:space="0"/>
              <w:right w:val="single" w:color="auto" w:sz="6" w:space="0"/>
            </w:tcBorders>
            <w:vAlign w:val="center"/>
          </w:tcPr>
          <w:p w14:paraId="5AB2E78D">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1</w:t>
            </w:r>
          </w:p>
        </w:tc>
        <w:tc>
          <w:tcPr>
            <w:tcW w:w="600" w:type="dxa"/>
            <w:tcBorders>
              <w:top w:val="single" w:color="auto" w:sz="6" w:space="0"/>
              <w:left w:val="single" w:color="auto" w:sz="6" w:space="0"/>
              <w:bottom w:val="single" w:color="auto" w:sz="6" w:space="0"/>
              <w:right w:val="single" w:color="auto" w:sz="6" w:space="0"/>
            </w:tcBorders>
            <w:vAlign w:val="center"/>
          </w:tcPr>
          <w:p w14:paraId="46103B51">
            <w:pPr>
              <w:autoSpaceDE w:val="0"/>
              <w:autoSpaceDN w:val="0"/>
              <w:adjustRightInd w:val="0"/>
              <w:jc w:val="center"/>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0.8</w:t>
            </w:r>
          </w:p>
        </w:tc>
        <w:tc>
          <w:tcPr>
            <w:tcW w:w="2195" w:type="dxa"/>
            <w:tcBorders>
              <w:top w:val="single" w:color="auto" w:sz="6" w:space="0"/>
              <w:left w:val="single" w:color="auto" w:sz="6" w:space="0"/>
              <w:bottom w:val="single" w:color="auto" w:sz="6" w:space="0"/>
              <w:right w:val="single" w:color="auto" w:sz="6" w:space="0"/>
            </w:tcBorders>
            <w:vAlign w:val="center"/>
          </w:tcPr>
          <w:p w14:paraId="7D3CAE12">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考察部门是否对各所属单位或项目实施主体进行工作监督和定期考核。</w:t>
            </w:r>
          </w:p>
        </w:tc>
        <w:tc>
          <w:tcPr>
            <w:tcW w:w="2747" w:type="dxa"/>
            <w:tcBorders>
              <w:top w:val="single" w:color="auto" w:sz="6" w:space="0"/>
              <w:left w:val="single" w:color="auto" w:sz="6" w:space="0"/>
              <w:bottom w:val="single" w:color="auto" w:sz="6" w:space="0"/>
              <w:right w:val="single" w:color="auto" w:sz="6" w:space="0"/>
            </w:tcBorders>
            <w:vAlign w:val="center"/>
          </w:tcPr>
          <w:p w14:paraId="4A3BAAEF">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有定期指导记录、考核结果，得1分，缺少项视情况酌情进行扣分。</w:t>
            </w:r>
          </w:p>
        </w:tc>
        <w:tc>
          <w:tcPr>
            <w:tcW w:w="1372" w:type="dxa"/>
            <w:tcBorders>
              <w:top w:val="single" w:color="auto" w:sz="6" w:space="0"/>
              <w:left w:val="single" w:color="auto" w:sz="6" w:space="0"/>
              <w:bottom w:val="single" w:color="auto" w:sz="6" w:space="0"/>
              <w:right w:val="single" w:color="auto" w:sz="6" w:space="0"/>
            </w:tcBorders>
            <w:vAlign w:val="center"/>
          </w:tcPr>
          <w:p w14:paraId="1BF8B920">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监督考核记录等</w:t>
            </w:r>
          </w:p>
        </w:tc>
      </w:tr>
      <w:tr w14:paraId="2695AA28">
        <w:tblPrEx>
          <w:tblCellMar>
            <w:top w:w="0" w:type="dxa"/>
            <w:left w:w="30" w:type="dxa"/>
            <w:bottom w:w="0" w:type="dxa"/>
            <w:right w:w="30" w:type="dxa"/>
          </w:tblCellMar>
        </w:tblPrEx>
        <w:trPr>
          <w:trHeight w:val="1298" w:hRule="atLeast"/>
          <w:jc w:val="center"/>
        </w:trPr>
        <w:tc>
          <w:tcPr>
            <w:tcW w:w="551" w:type="dxa"/>
            <w:vMerge w:val="restart"/>
            <w:tcBorders>
              <w:top w:val="single" w:color="auto" w:sz="6" w:space="0"/>
              <w:left w:val="single" w:color="auto" w:sz="6" w:space="0"/>
              <w:right w:val="single" w:color="auto" w:sz="6" w:space="0"/>
            </w:tcBorders>
            <w:vAlign w:val="center"/>
          </w:tcPr>
          <w:p w14:paraId="1C55224F">
            <w:pPr>
              <w:autoSpaceDE w:val="0"/>
              <w:autoSpaceDN w:val="0"/>
              <w:adjustRightInd w:val="0"/>
              <w:rPr>
                <w:rFonts w:ascii="Times New Roman" w:hAnsi="Times New Roman" w:eastAsia="仿宋_GB2312" w:cs="Times New Roman"/>
                <w:b/>
                <w:bCs/>
                <w:color w:val="000000" w:themeColor="text1"/>
                <w:kern w:val="0"/>
                <w:szCs w:val="21"/>
              </w:rPr>
            </w:pPr>
            <w:r>
              <w:rPr>
                <w:rFonts w:ascii="Times New Roman" w:hAnsi="Times New Roman" w:eastAsia="仿宋_GB2312" w:cs="Times New Roman"/>
                <w:b/>
                <w:bCs/>
                <w:color w:val="000000" w:themeColor="text1"/>
                <w:kern w:val="0"/>
                <w:szCs w:val="21"/>
              </w:rPr>
              <w:t>C部门绩效（45分）</w:t>
            </w:r>
          </w:p>
          <w:p w14:paraId="4FF6B630">
            <w:pPr>
              <w:autoSpaceDE w:val="0"/>
              <w:autoSpaceDN w:val="0"/>
              <w:adjustRightInd w:val="0"/>
              <w:rPr>
                <w:rFonts w:ascii="Times New Roman" w:hAnsi="Times New Roman" w:eastAsia="仿宋_GB2312" w:cs="Times New Roman"/>
                <w:b/>
                <w:bCs/>
                <w:color w:val="000000" w:themeColor="text1"/>
                <w:kern w:val="0"/>
                <w:szCs w:val="21"/>
              </w:rPr>
            </w:pPr>
            <w:r>
              <w:rPr>
                <w:rFonts w:ascii="Times New Roman" w:hAnsi="Times New Roman" w:eastAsia="仿宋_GB2312" w:cs="Times New Roman"/>
                <w:b/>
                <w:bCs/>
                <w:color w:val="000000" w:themeColor="text1"/>
                <w:kern w:val="0"/>
                <w:szCs w:val="21"/>
              </w:rPr>
              <w:t>）</w:t>
            </w:r>
          </w:p>
        </w:tc>
        <w:tc>
          <w:tcPr>
            <w:tcW w:w="650" w:type="dxa"/>
            <w:tcBorders>
              <w:top w:val="single" w:color="auto" w:sz="6" w:space="0"/>
              <w:left w:val="single" w:color="auto" w:sz="6" w:space="0"/>
              <w:bottom w:val="single" w:color="auto" w:sz="6" w:space="0"/>
              <w:right w:val="single" w:color="auto" w:sz="6" w:space="0"/>
            </w:tcBorders>
            <w:vAlign w:val="center"/>
          </w:tcPr>
          <w:p w14:paraId="0F57E78A">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C1部门产出（18分）</w:t>
            </w:r>
          </w:p>
        </w:tc>
        <w:tc>
          <w:tcPr>
            <w:tcW w:w="1336" w:type="dxa"/>
            <w:tcBorders>
              <w:top w:val="single" w:color="auto" w:sz="6" w:space="0"/>
              <w:left w:val="single" w:color="auto" w:sz="6" w:space="0"/>
              <w:bottom w:val="single" w:color="auto" w:sz="6" w:space="0"/>
              <w:right w:val="single" w:color="auto" w:sz="6" w:space="0"/>
            </w:tcBorders>
            <w:vAlign w:val="center"/>
          </w:tcPr>
          <w:p w14:paraId="555AB284">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C101</w:t>
            </w:r>
            <w:r>
              <w:rPr>
                <w:rFonts w:hint="eastAsia" w:ascii="Times New Roman" w:hAnsi="Times New Roman" w:eastAsia="仿宋_GB2312" w:cs="Times New Roman"/>
                <w:color w:val="000000" w:themeColor="text1"/>
                <w:kern w:val="0"/>
                <w:szCs w:val="21"/>
              </w:rPr>
              <w:t>经济效益</w:t>
            </w:r>
            <w:r>
              <w:rPr>
                <w:rFonts w:ascii="Times New Roman" w:hAnsi="Times New Roman" w:eastAsia="仿宋_GB2312" w:cs="Times New Roman"/>
                <w:color w:val="000000" w:themeColor="text1"/>
                <w:kern w:val="0"/>
                <w:szCs w:val="21"/>
              </w:rPr>
              <w:t>完成情况（</w:t>
            </w:r>
            <w:r>
              <w:rPr>
                <w:rFonts w:hint="eastAsia" w:ascii="Times New Roman" w:hAnsi="Times New Roman" w:eastAsia="仿宋_GB2312" w:cs="Times New Roman"/>
                <w:color w:val="000000" w:themeColor="text1"/>
                <w:kern w:val="0"/>
                <w:szCs w:val="21"/>
              </w:rPr>
              <w:t>18</w:t>
            </w:r>
            <w:r>
              <w:rPr>
                <w:rFonts w:ascii="Times New Roman" w:hAnsi="Times New Roman" w:eastAsia="仿宋_GB2312" w:cs="Times New Roman"/>
                <w:color w:val="000000" w:themeColor="text1"/>
                <w:kern w:val="0"/>
                <w:szCs w:val="21"/>
              </w:rPr>
              <w:t>分）</w:t>
            </w:r>
          </w:p>
        </w:tc>
        <w:tc>
          <w:tcPr>
            <w:tcW w:w="521" w:type="dxa"/>
            <w:tcBorders>
              <w:top w:val="single" w:color="auto" w:sz="6" w:space="0"/>
              <w:left w:val="single" w:color="auto" w:sz="6" w:space="0"/>
              <w:bottom w:val="single" w:color="auto" w:sz="6" w:space="0"/>
              <w:right w:val="single" w:color="auto" w:sz="6" w:space="0"/>
            </w:tcBorders>
            <w:vAlign w:val="center"/>
          </w:tcPr>
          <w:p w14:paraId="72A4E60C">
            <w:pPr>
              <w:autoSpaceDE w:val="0"/>
              <w:autoSpaceDN w:val="0"/>
              <w:adjustRightInd w:val="0"/>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18</w:t>
            </w:r>
          </w:p>
        </w:tc>
        <w:tc>
          <w:tcPr>
            <w:tcW w:w="600" w:type="dxa"/>
            <w:tcBorders>
              <w:top w:val="single" w:color="auto" w:sz="6" w:space="0"/>
              <w:left w:val="single" w:color="auto" w:sz="6" w:space="0"/>
              <w:bottom w:val="single" w:color="auto" w:sz="6" w:space="0"/>
              <w:right w:val="single" w:color="auto" w:sz="6" w:space="0"/>
            </w:tcBorders>
            <w:vAlign w:val="center"/>
          </w:tcPr>
          <w:p w14:paraId="70735D9B">
            <w:pPr>
              <w:autoSpaceDE w:val="0"/>
              <w:autoSpaceDN w:val="0"/>
              <w:adjustRightInd w:val="0"/>
              <w:jc w:val="center"/>
              <w:rPr>
                <w:rFonts w:hint="default" w:ascii="Times New Roman" w:hAnsi="Times New Roman" w:eastAsia="仿宋_GB2312" w:cs="Times New Roman"/>
                <w:color w:val="000000" w:themeColor="text1"/>
                <w:kern w:val="0"/>
                <w:szCs w:val="21"/>
                <w:lang w:val="en-US" w:eastAsia="zh-CN"/>
              </w:rPr>
            </w:pPr>
            <w:r>
              <w:rPr>
                <w:rFonts w:hint="eastAsia" w:ascii="Times New Roman" w:hAnsi="Times New Roman" w:eastAsia="仿宋_GB2312" w:cs="Times New Roman"/>
                <w:color w:val="000000" w:themeColor="text1"/>
                <w:kern w:val="0"/>
                <w:szCs w:val="21"/>
                <w:lang w:val="en-US" w:eastAsia="zh-CN"/>
              </w:rPr>
              <w:t>16.5</w:t>
            </w:r>
          </w:p>
        </w:tc>
        <w:tc>
          <w:tcPr>
            <w:tcW w:w="2195" w:type="dxa"/>
            <w:tcBorders>
              <w:top w:val="single" w:color="auto" w:sz="6" w:space="0"/>
              <w:left w:val="single" w:color="auto" w:sz="6" w:space="0"/>
              <w:bottom w:val="single" w:color="auto" w:sz="6" w:space="0"/>
              <w:right w:val="single" w:color="auto" w:sz="6" w:space="0"/>
            </w:tcBorders>
            <w:vAlign w:val="center"/>
          </w:tcPr>
          <w:p w14:paraId="083DB0B5">
            <w:pPr>
              <w:autoSpaceDE w:val="0"/>
              <w:autoSpaceDN w:val="0"/>
              <w:adjustRightInd w:val="0"/>
              <w:rPr>
                <w:rFonts w:ascii="仿宋_GB2312" w:hAnsi="Times New Roman" w:eastAsia="仿宋_GB2312" w:cs="Times New Roman"/>
                <w:color w:val="000000" w:themeColor="text1"/>
                <w:kern w:val="0"/>
                <w:szCs w:val="21"/>
              </w:rPr>
            </w:pPr>
            <w:r>
              <w:rPr>
                <w:rFonts w:hint="eastAsia" w:ascii="仿宋_GB2312" w:hAnsi="宋体" w:eastAsia="仿宋_GB2312" w:cs="宋体"/>
                <w:kern w:val="0"/>
                <w:szCs w:val="21"/>
              </w:rPr>
              <w:t>根据项目实际，标识所产生的直接或间接的经济效益</w:t>
            </w:r>
          </w:p>
        </w:tc>
        <w:tc>
          <w:tcPr>
            <w:tcW w:w="2747" w:type="dxa"/>
            <w:tcBorders>
              <w:top w:val="single" w:color="auto" w:sz="6" w:space="0"/>
              <w:left w:val="single" w:color="auto" w:sz="6" w:space="0"/>
              <w:bottom w:val="single" w:color="auto" w:sz="6" w:space="0"/>
              <w:right w:val="single" w:color="auto" w:sz="6" w:space="0"/>
            </w:tcBorders>
            <w:vAlign w:val="center"/>
          </w:tcPr>
          <w:p w14:paraId="2AAE2175">
            <w:pPr>
              <w:autoSpaceDE w:val="0"/>
              <w:autoSpaceDN w:val="0"/>
              <w:adjustRightInd w:val="0"/>
              <w:rPr>
                <w:rFonts w:ascii="仿宋_GB2312" w:hAnsi="Times New Roman" w:eastAsia="仿宋_GB2312" w:cs="Times New Roman"/>
                <w:color w:val="000000" w:themeColor="text1"/>
                <w:kern w:val="0"/>
                <w:szCs w:val="21"/>
              </w:rPr>
            </w:pPr>
            <w:r>
              <w:rPr>
                <w:rFonts w:hint="eastAsia" w:ascii="仿宋_GB2312" w:hAnsi="宋体" w:eastAsia="仿宋_GB2312" w:cs="宋体"/>
                <w:kern w:val="0"/>
                <w:szCs w:val="21"/>
              </w:rPr>
              <w:t>对照绩效目标，按经济效益实现程度计算得分</w:t>
            </w:r>
          </w:p>
        </w:tc>
        <w:tc>
          <w:tcPr>
            <w:tcW w:w="1372" w:type="dxa"/>
            <w:tcBorders>
              <w:top w:val="single" w:color="auto" w:sz="6" w:space="0"/>
              <w:left w:val="single" w:color="auto" w:sz="6" w:space="0"/>
              <w:bottom w:val="single" w:color="auto" w:sz="6" w:space="0"/>
              <w:right w:val="single" w:color="auto" w:sz="6" w:space="0"/>
            </w:tcBorders>
            <w:vAlign w:val="center"/>
          </w:tcPr>
          <w:p w14:paraId="000902BE">
            <w:pPr>
              <w:autoSpaceDE w:val="0"/>
              <w:autoSpaceDN w:val="0"/>
              <w:adjustRightInd w:val="0"/>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经济效益实施情况资料</w:t>
            </w:r>
          </w:p>
        </w:tc>
      </w:tr>
      <w:tr w14:paraId="2C155BB5">
        <w:tblPrEx>
          <w:tblCellMar>
            <w:top w:w="0" w:type="dxa"/>
            <w:left w:w="30" w:type="dxa"/>
            <w:bottom w:w="0" w:type="dxa"/>
            <w:right w:w="30" w:type="dxa"/>
          </w:tblCellMar>
        </w:tblPrEx>
        <w:trPr>
          <w:trHeight w:val="809" w:hRule="atLeast"/>
          <w:jc w:val="center"/>
        </w:trPr>
        <w:tc>
          <w:tcPr>
            <w:tcW w:w="551" w:type="dxa"/>
            <w:vMerge w:val="continue"/>
            <w:tcBorders>
              <w:left w:val="single" w:color="auto" w:sz="6" w:space="0"/>
              <w:right w:val="single" w:color="auto" w:sz="6" w:space="0"/>
            </w:tcBorders>
            <w:vAlign w:val="center"/>
          </w:tcPr>
          <w:p w14:paraId="776AA8D6">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0BA5F6C9">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C1部门产出（</w:t>
            </w:r>
            <w:r>
              <w:rPr>
                <w:rFonts w:hint="eastAsia" w:ascii="Times New Roman" w:hAnsi="Times New Roman" w:eastAsia="仿宋_GB2312" w:cs="Times New Roman"/>
                <w:color w:val="000000" w:themeColor="text1"/>
                <w:kern w:val="0"/>
                <w:szCs w:val="21"/>
              </w:rPr>
              <w:t>9</w:t>
            </w:r>
            <w:r>
              <w:rPr>
                <w:rFonts w:ascii="Times New Roman" w:hAnsi="Times New Roman" w:eastAsia="仿宋_GB2312" w:cs="Times New Roman"/>
                <w:color w:val="000000" w:themeColor="text1"/>
                <w:kern w:val="0"/>
                <w:szCs w:val="21"/>
              </w:rPr>
              <w:t>分）</w:t>
            </w:r>
          </w:p>
        </w:tc>
        <w:tc>
          <w:tcPr>
            <w:tcW w:w="1336" w:type="dxa"/>
            <w:tcBorders>
              <w:top w:val="single" w:color="auto" w:sz="6" w:space="0"/>
              <w:left w:val="single" w:color="auto" w:sz="6" w:space="0"/>
              <w:bottom w:val="single" w:color="auto" w:sz="6" w:space="0"/>
              <w:right w:val="single" w:color="auto" w:sz="6" w:space="0"/>
            </w:tcBorders>
            <w:vAlign w:val="center"/>
          </w:tcPr>
          <w:p w14:paraId="25A008F6">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C102</w:t>
            </w:r>
            <w:r>
              <w:rPr>
                <w:rFonts w:hint="eastAsia" w:ascii="Times New Roman" w:hAnsi="Times New Roman" w:eastAsia="仿宋_GB2312" w:cs="Times New Roman"/>
                <w:color w:val="000000" w:themeColor="text1"/>
                <w:kern w:val="0"/>
                <w:szCs w:val="21"/>
              </w:rPr>
              <w:t>社会公众和服务对象满意度</w:t>
            </w:r>
            <w:r>
              <w:rPr>
                <w:rFonts w:ascii="Times New Roman" w:hAnsi="Times New Roman" w:eastAsia="仿宋_GB2312" w:cs="Times New Roman"/>
                <w:color w:val="000000" w:themeColor="text1"/>
                <w:kern w:val="0"/>
                <w:szCs w:val="21"/>
              </w:rPr>
              <w:t>（9分）</w:t>
            </w:r>
          </w:p>
        </w:tc>
        <w:tc>
          <w:tcPr>
            <w:tcW w:w="521" w:type="dxa"/>
            <w:tcBorders>
              <w:top w:val="single" w:color="auto" w:sz="6" w:space="0"/>
              <w:left w:val="single" w:color="auto" w:sz="6" w:space="0"/>
              <w:bottom w:val="single" w:color="auto" w:sz="6" w:space="0"/>
              <w:right w:val="single" w:color="auto" w:sz="6" w:space="0"/>
            </w:tcBorders>
            <w:vAlign w:val="center"/>
          </w:tcPr>
          <w:p w14:paraId="66771B66">
            <w:pPr>
              <w:autoSpaceDE w:val="0"/>
              <w:autoSpaceDN w:val="0"/>
              <w:adjustRightInd w:val="0"/>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9</w:t>
            </w:r>
          </w:p>
        </w:tc>
        <w:tc>
          <w:tcPr>
            <w:tcW w:w="600" w:type="dxa"/>
            <w:tcBorders>
              <w:top w:val="single" w:color="auto" w:sz="6" w:space="0"/>
              <w:left w:val="single" w:color="auto" w:sz="6" w:space="0"/>
              <w:bottom w:val="single" w:color="auto" w:sz="6" w:space="0"/>
              <w:right w:val="single" w:color="auto" w:sz="6" w:space="0"/>
            </w:tcBorders>
            <w:vAlign w:val="center"/>
          </w:tcPr>
          <w:p w14:paraId="31CF2C2D">
            <w:pPr>
              <w:autoSpaceDE w:val="0"/>
              <w:autoSpaceDN w:val="0"/>
              <w:adjustRightInd w:val="0"/>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8.5</w:t>
            </w:r>
          </w:p>
        </w:tc>
        <w:tc>
          <w:tcPr>
            <w:tcW w:w="2195" w:type="dxa"/>
            <w:tcBorders>
              <w:top w:val="single" w:color="auto" w:sz="6" w:space="0"/>
              <w:left w:val="single" w:color="auto" w:sz="6" w:space="0"/>
              <w:bottom w:val="single" w:color="auto" w:sz="6" w:space="0"/>
              <w:right w:val="single" w:color="auto" w:sz="6" w:space="0"/>
            </w:tcBorders>
            <w:vAlign w:val="center"/>
          </w:tcPr>
          <w:p w14:paraId="7B7F6C05">
            <w:pPr>
              <w:autoSpaceDE w:val="0"/>
              <w:autoSpaceDN w:val="0"/>
              <w:adjustRightInd w:val="0"/>
              <w:rPr>
                <w:rFonts w:ascii="仿宋_GB2312" w:hAnsi="Times New Roman" w:eastAsia="仿宋_GB2312" w:cs="Times New Roman"/>
                <w:color w:val="000000" w:themeColor="text1"/>
                <w:kern w:val="0"/>
                <w:szCs w:val="21"/>
              </w:rPr>
            </w:pPr>
            <w:r>
              <w:rPr>
                <w:rFonts w:hint="eastAsia" w:ascii="仿宋_GB2312" w:hAnsi="宋体" w:eastAsia="仿宋_GB2312" w:cs="宋体"/>
                <w:kern w:val="0"/>
                <w:szCs w:val="21"/>
              </w:rPr>
              <w:t>项目预期服务对象对项目实施的满意程度</w:t>
            </w:r>
          </w:p>
        </w:tc>
        <w:tc>
          <w:tcPr>
            <w:tcW w:w="2747" w:type="dxa"/>
            <w:tcBorders>
              <w:top w:val="single" w:color="auto" w:sz="6" w:space="0"/>
              <w:left w:val="single" w:color="auto" w:sz="6" w:space="0"/>
              <w:bottom w:val="single" w:color="auto" w:sz="6" w:space="0"/>
              <w:right w:val="single" w:color="auto" w:sz="6" w:space="0"/>
            </w:tcBorders>
            <w:vAlign w:val="center"/>
          </w:tcPr>
          <w:p w14:paraId="34028937">
            <w:pPr>
              <w:autoSpaceDE w:val="0"/>
              <w:autoSpaceDN w:val="0"/>
              <w:adjustRightInd w:val="0"/>
              <w:rPr>
                <w:rFonts w:ascii="仿宋_GB2312" w:hAnsi="Times New Roman" w:eastAsia="仿宋_GB2312" w:cs="Times New Roman"/>
                <w:color w:val="000000" w:themeColor="text1"/>
                <w:kern w:val="0"/>
                <w:szCs w:val="21"/>
              </w:rPr>
            </w:pPr>
            <w:r>
              <w:rPr>
                <w:rFonts w:hint="eastAsia" w:ascii="仿宋_GB2312" w:hAnsi="宋体" w:eastAsia="仿宋_GB2312" w:cs="宋体"/>
                <w:kern w:val="0"/>
                <w:szCs w:val="21"/>
              </w:rPr>
              <w:t>按收集到的项目服务对象的满意率计算得分</w:t>
            </w:r>
          </w:p>
        </w:tc>
        <w:tc>
          <w:tcPr>
            <w:tcW w:w="1372" w:type="dxa"/>
            <w:tcBorders>
              <w:top w:val="single" w:color="auto" w:sz="6" w:space="0"/>
              <w:left w:val="single" w:color="auto" w:sz="6" w:space="0"/>
              <w:bottom w:val="single" w:color="auto" w:sz="6" w:space="0"/>
              <w:right w:val="single" w:color="auto" w:sz="6" w:space="0"/>
            </w:tcBorders>
            <w:vAlign w:val="center"/>
          </w:tcPr>
          <w:p w14:paraId="00A096FF">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政府采购项目实施情况资料</w:t>
            </w:r>
          </w:p>
        </w:tc>
      </w:tr>
      <w:tr w14:paraId="3C5CA77B">
        <w:tblPrEx>
          <w:tblCellMar>
            <w:top w:w="0" w:type="dxa"/>
            <w:left w:w="30" w:type="dxa"/>
            <w:bottom w:w="0" w:type="dxa"/>
            <w:right w:w="30" w:type="dxa"/>
          </w:tblCellMar>
        </w:tblPrEx>
        <w:trPr>
          <w:trHeight w:val="1339" w:hRule="atLeast"/>
          <w:jc w:val="center"/>
        </w:trPr>
        <w:tc>
          <w:tcPr>
            <w:tcW w:w="551" w:type="dxa"/>
            <w:vMerge w:val="continue"/>
            <w:tcBorders>
              <w:left w:val="single" w:color="auto" w:sz="6" w:space="0"/>
              <w:bottom w:val="single" w:color="auto" w:sz="6" w:space="0"/>
              <w:right w:val="single" w:color="auto" w:sz="6" w:space="0"/>
            </w:tcBorders>
            <w:vAlign w:val="center"/>
          </w:tcPr>
          <w:p w14:paraId="65AEF79E">
            <w:pPr>
              <w:autoSpaceDE w:val="0"/>
              <w:autoSpaceDN w:val="0"/>
              <w:adjustRightInd w:val="0"/>
              <w:rPr>
                <w:rFonts w:ascii="Times New Roman" w:hAnsi="Times New Roman" w:eastAsia="仿宋_GB2312" w:cs="Times New Roman"/>
                <w:b/>
                <w:bCs/>
                <w:color w:val="000000" w:themeColor="text1"/>
                <w:kern w:val="0"/>
                <w:szCs w:val="21"/>
              </w:rPr>
            </w:pPr>
          </w:p>
        </w:tc>
        <w:tc>
          <w:tcPr>
            <w:tcW w:w="650" w:type="dxa"/>
            <w:tcBorders>
              <w:top w:val="single" w:color="auto" w:sz="6" w:space="0"/>
              <w:left w:val="single" w:color="auto" w:sz="6" w:space="0"/>
              <w:bottom w:val="single" w:color="auto" w:sz="6" w:space="0"/>
              <w:right w:val="single" w:color="auto" w:sz="6" w:space="0"/>
            </w:tcBorders>
            <w:vAlign w:val="center"/>
          </w:tcPr>
          <w:p w14:paraId="1B6323DE">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C1部门产出（18分）</w:t>
            </w:r>
          </w:p>
        </w:tc>
        <w:tc>
          <w:tcPr>
            <w:tcW w:w="1336" w:type="dxa"/>
            <w:tcBorders>
              <w:top w:val="single" w:color="auto" w:sz="6" w:space="0"/>
              <w:left w:val="single" w:color="auto" w:sz="6" w:space="0"/>
              <w:bottom w:val="single" w:color="auto" w:sz="6" w:space="0"/>
              <w:right w:val="single" w:color="auto" w:sz="6" w:space="0"/>
            </w:tcBorders>
            <w:vAlign w:val="center"/>
          </w:tcPr>
          <w:p w14:paraId="7BCCA612">
            <w:pPr>
              <w:autoSpaceDE w:val="0"/>
              <w:autoSpaceDN w:val="0"/>
              <w:adjustRightInd w:val="0"/>
              <w:rPr>
                <w:rFonts w:ascii="Times New Roman" w:hAnsi="Times New Roman" w:eastAsia="仿宋_GB2312" w:cs="Times New Roman"/>
                <w:color w:val="000000" w:themeColor="text1"/>
                <w:kern w:val="0"/>
                <w:szCs w:val="21"/>
              </w:rPr>
            </w:pPr>
            <w:r>
              <w:rPr>
                <w:rFonts w:ascii="Times New Roman" w:hAnsi="Times New Roman" w:eastAsia="仿宋_GB2312" w:cs="Times New Roman"/>
                <w:color w:val="000000" w:themeColor="text1"/>
                <w:kern w:val="0"/>
                <w:szCs w:val="21"/>
              </w:rPr>
              <w:t>C103</w:t>
            </w:r>
            <w:r>
              <w:rPr>
                <w:rFonts w:hint="eastAsia" w:ascii="Times New Roman" w:hAnsi="Times New Roman" w:eastAsia="仿宋_GB2312" w:cs="Times New Roman"/>
                <w:color w:val="000000" w:themeColor="text1"/>
                <w:kern w:val="0"/>
                <w:szCs w:val="21"/>
              </w:rPr>
              <w:t>社会效益</w:t>
            </w:r>
            <w:r>
              <w:rPr>
                <w:rFonts w:ascii="Times New Roman" w:hAnsi="Times New Roman" w:eastAsia="仿宋_GB2312" w:cs="Times New Roman"/>
                <w:color w:val="000000" w:themeColor="text1"/>
                <w:kern w:val="0"/>
                <w:szCs w:val="21"/>
              </w:rPr>
              <w:t>完成情况（</w:t>
            </w:r>
            <w:r>
              <w:rPr>
                <w:rFonts w:hint="eastAsia" w:ascii="Times New Roman" w:hAnsi="Times New Roman" w:eastAsia="仿宋_GB2312" w:cs="Times New Roman"/>
                <w:color w:val="000000" w:themeColor="text1"/>
                <w:kern w:val="0"/>
                <w:szCs w:val="21"/>
              </w:rPr>
              <w:t>18</w:t>
            </w:r>
            <w:r>
              <w:rPr>
                <w:rFonts w:ascii="Times New Roman" w:hAnsi="Times New Roman" w:eastAsia="仿宋_GB2312" w:cs="Times New Roman"/>
                <w:color w:val="000000" w:themeColor="text1"/>
                <w:kern w:val="0"/>
                <w:szCs w:val="21"/>
              </w:rPr>
              <w:t>分）</w:t>
            </w:r>
          </w:p>
        </w:tc>
        <w:tc>
          <w:tcPr>
            <w:tcW w:w="521" w:type="dxa"/>
            <w:tcBorders>
              <w:top w:val="single" w:color="auto" w:sz="6" w:space="0"/>
              <w:left w:val="single" w:color="auto" w:sz="6" w:space="0"/>
              <w:bottom w:val="single" w:color="auto" w:sz="6" w:space="0"/>
              <w:right w:val="single" w:color="auto" w:sz="6" w:space="0"/>
            </w:tcBorders>
            <w:vAlign w:val="center"/>
          </w:tcPr>
          <w:p w14:paraId="59A93532">
            <w:pPr>
              <w:autoSpaceDE w:val="0"/>
              <w:autoSpaceDN w:val="0"/>
              <w:adjustRightInd w:val="0"/>
              <w:jc w:val="center"/>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18</w:t>
            </w:r>
          </w:p>
        </w:tc>
        <w:tc>
          <w:tcPr>
            <w:tcW w:w="600" w:type="dxa"/>
            <w:tcBorders>
              <w:top w:val="single" w:color="auto" w:sz="6" w:space="0"/>
              <w:left w:val="single" w:color="auto" w:sz="6" w:space="0"/>
              <w:bottom w:val="single" w:color="auto" w:sz="6" w:space="0"/>
              <w:right w:val="single" w:color="auto" w:sz="6" w:space="0"/>
            </w:tcBorders>
            <w:vAlign w:val="center"/>
          </w:tcPr>
          <w:p w14:paraId="5294F96F">
            <w:pPr>
              <w:autoSpaceDE w:val="0"/>
              <w:autoSpaceDN w:val="0"/>
              <w:adjustRightInd w:val="0"/>
              <w:jc w:val="center"/>
              <w:rPr>
                <w:rFonts w:hint="default" w:ascii="Times New Roman" w:hAnsi="Times New Roman" w:eastAsia="仿宋_GB2312" w:cs="Times New Roman"/>
                <w:color w:val="000000" w:themeColor="text1"/>
                <w:kern w:val="0"/>
                <w:szCs w:val="21"/>
                <w:lang w:val="en-US" w:eastAsia="zh-CN"/>
              </w:rPr>
            </w:pPr>
            <w:r>
              <w:rPr>
                <w:rFonts w:hint="eastAsia" w:ascii="Times New Roman" w:hAnsi="Times New Roman" w:eastAsia="仿宋_GB2312" w:cs="Times New Roman"/>
                <w:color w:val="000000" w:themeColor="text1"/>
                <w:kern w:val="0"/>
                <w:szCs w:val="21"/>
                <w:lang w:val="en-US" w:eastAsia="zh-CN"/>
              </w:rPr>
              <w:t>17.4</w:t>
            </w:r>
          </w:p>
        </w:tc>
        <w:tc>
          <w:tcPr>
            <w:tcW w:w="2195" w:type="dxa"/>
            <w:tcBorders>
              <w:top w:val="single" w:color="auto" w:sz="6" w:space="0"/>
              <w:left w:val="single" w:color="auto" w:sz="6" w:space="0"/>
              <w:bottom w:val="single" w:color="auto" w:sz="6" w:space="0"/>
              <w:right w:val="single" w:color="auto" w:sz="6" w:space="0"/>
            </w:tcBorders>
            <w:vAlign w:val="center"/>
          </w:tcPr>
          <w:p w14:paraId="6C7A2833">
            <w:pPr>
              <w:autoSpaceDE w:val="0"/>
              <w:autoSpaceDN w:val="0"/>
              <w:adjustRightInd w:val="0"/>
              <w:rPr>
                <w:rFonts w:ascii="仿宋_GB2312" w:hAnsi="Times New Roman" w:eastAsia="仿宋_GB2312" w:cs="Times New Roman"/>
                <w:color w:val="000000" w:themeColor="text1"/>
                <w:kern w:val="0"/>
                <w:szCs w:val="21"/>
              </w:rPr>
            </w:pPr>
            <w:r>
              <w:rPr>
                <w:rFonts w:hint="eastAsia" w:ascii="仿宋_GB2312" w:hAnsi="宋体" w:eastAsia="仿宋_GB2312" w:cs="宋体"/>
                <w:kern w:val="0"/>
                <w:szCs w:val="21"/>
              </w:rPr>
              <w:t>根据项目实际，标识所产生的社会效益</w:t>
            </w:r>
          </w:p>
        </w:tc>
        <w:tc>
          <w:tcPr>
            <w:tcW w:w="2747" w:type="dxa"/>
            <w:tcBorders>
              <w:top w:val="single" w:color="auto" w:sz="6" w:space="0"/>
              <w:left w:val="single" w:color="auto" w:sz="6" w:space="0"/>
              <w:bottom w:val="single" w:color="auto" w:sz="6" w:space="0"/>
              <w:right w:val="single" w:color="auto" w:sz="6" w:space="0"/>
            </w:tcBorders>
            <w:vAlign w:val="center"/>
          </w:tcPr>
          <w:p w14:paraId="4F4870D9">
            <w:pPr>
              <w:autoSpaceDE w:val="0"/>
              <w:autoSpaceDN w:val="0"/>
              <w:adjustRightInd w:val="0"/>
              <w:rPr>
                <w:rFonts w:ascii="仿宋_GB2312" w:hAnsi="Times New Roman" w:eastAsia="仿宋_GB2312" w:cs="Times New Roman"/>
                <w:color w:val="000000" w:themeColor="text1"/>
                <w:kern w:val="0"/>
                <w:szCs w:val="21"/>
              </w:rPr>
            </w:pPr>
            <w:r>
              <w:rPr>
                <w:rFonts w:hint="eastAsia" w:ascii="仿宋_GB2312" w:hAnsi="宋体" w:eastAsia="仿宋_GB2312" w:cs="宋体"/>
                <w:kern w:val="0"/>
                <w:szCs w:val="21"/>
              </w:rPr>
              <w:t>对照绩效目标，按社会效益实现程度计算得分</w:t>
            </w:r>
          </w:p>
        </w:tc>
        <w:tc>
          <w:tcPr>
            <w:tcW w:w="1372" w:type="dxa"/>
            <w:tcBorders>
              <w:top w:val="single" w:color="auto" w:sz="6" w:space="0"/>
              <w:left w:val="single" w:color="auto" w:sz="6" w:space="0"/>
              <w:bottom w:val="single" w:color="auto" w:sz="6" w:space="0"/>
              <w:right w:val="single" w:color="auto" w:sz="6" w:space="0"/>
            </w:tcBorders>
            <w:vAlign w:val="center"/>
          </w:tcPr>
          <w:p w14:paraId="2B66EA44">
            <w:pPr>
              <w:autoSpaceDE w:val="0"/>
              <w:autoSpaceDN w:val="0"/>
              <w:adjustRightInd w:val="0"/>
              <w:rPr>
                <w:rFonts w:ascii="Times New Roman" w:hAnsi="Times New Roman" w:eastAsia="仿宋_GB2312" w:cs="Times New Roman"/>
                <w:color w:val="000000" w:themeColor="text1"/>
                <w:kern w:val="0"/>
                <w:szCs w:val="21"/>
              </w:rPr>
            </w:pPr>
            <w:r>
              <w:rPr>
                <w:rFonts w:hint="eastAsia" w:ascii="Times New Roman" w:hAnsi="Times New Roman" w:eastAsia="仿宋_GB2312" w:cs="Times New Roman"/>
                <w:color w:val="000000" w:themeColor="text1"/>
                <w:kern w:val="0"/>
                <w:szCs w:val="21"/>
              </w:rPr>
              <w:t>社会效益</w:t>
            </w:r>
            <w:r>
              <w:rPr>
                <w:rFonts w:ascii="Times New Roman" w:hAnsi="Times New Roman" w:eastAsia="仿宋_GB2312" w:cs="Times New Roman"/>
                <w:color w:val="000000" w:themeColor="text1"/>
                <w:kern w:val="0"/>
                <w:szCs w:val="21"/>
              </w:rPr>
              <w:t>情况资料</w:t>
            </w:r>
          </w:p>
        </w:tc>
      </w:tr>
      <w:tr w14:paraId="186A5D05">
        <w:tblPrEx>
          <w:tblCellMar>
            <w:top w:w="0" w:type="dxa"/>
            <w:left w:w="30" w:type="dxa"/>
            <w:bottom w:w="0" w:type="dxa"/>
            <w:right w:w="30" w:type="dxa"/>
          </w:tblCellMar>
        </w:tblPrEx>
        <w:trPr>
          <w:trHeight w:val="422" w:hRule="atLeast"/>
          <w:jc w:val="center"/>
        </w:trPr>
        <w:tc>
          <w:tcPr>
            <w:tcW w:w="551" w:type="dxa"/>
            <w:tcBorders>
              <w:top w:val="single" w:color="auto" w:sz="6" w:space="0"/>
              <w:left w:val="single" w:color="auto" w:sz="6" w:space="0"/>
              <w:bottom w:val="single" w:color="auto" w:sz="6" w:space="0"/>
              <w:right w:val="single" w:color="auto" w:sz="6" w:space="0"/>
            </w:tcBorders>
          </w:tcPr>
          <w:p w14:paraId="14AE57DD">
            <w:pPr>
              <w:autoSpaceDE w:val="0"/>
              <w:autoSpaceDN w:val="0"/>
              <w:adjustRightInd w:val="0"/>
              <w:jc w:val="center"/>
              <w:rPr>
                <w:rFonts w:ascii="Times New Roman" w:hAnsi="Times New Roman" w:eastAsia="仿宋_GB2312" w:cs="Times New Roman"/>
                <w:b/>
                <w:bCs/>
                <w:color w:val="000000" w:themeColor="text1"/>
                <w:kern w:val="0"/>
                <w:szCs w:val="21"/>
              </w:rPr>
            </w:pPr>
            <w:r>
              <w:rPr>
                <w:rFonts w:ascii="Times New Roman" w:hAnsi="Times New Roman" w:eastAsia="仿宋_GB2312" w:cs="Times New Roman"/>
                <w:b/>
                <w:bCs/>
                <w:color w:val="000000" w:themeColor="text1"/>
                <w:kern w:val="0"/>
                <w:szCs w:val="21"/>
              </w:rPr>
              <w:t>合计</w:t>
            </w:r>
          </w:p>
        </w:tc>
        <w:tc>
          <w:tcPr>
            <w:tcW w:w="650" w:type="dxa"/>
            <w:tcBorders>
              <w:top w:val="single" w:color="auto" w:sz="6" w:space="0"/>
              <w:left w:val="single" w:color="auto" w:sz="6" w:space="0"/>
              <w:bottom w:val="single" w:color="auto" w:sz="6" w:space="0"/>
              <w:right w:val="single" w:color="auto" w:sz="6" w:space="0"/>
            </w:tcBorders>
          </w:tcPr>
          <w:p w14:paraId="78F47F9D">
            <w:pPr>
              <w:autoSpaceDE w:val="0"/>
              <w:autoSpaceDN w:val="0"/>
              <w:adjustRightInd w:val="0"/>
              <w:jc w:val="center"/>
              <w:rPr>
                <w:rFonts w:ascii="Times New Roman" w:hAnsi="Times New Roman" w:eastAsia="仿宋_GB2312" w:cs="Times New Roman"/>
                <w:b/>
                <w:bCs/>
                <w:color w:val="000000" w:themeColor="text1"/>
                <w:kern w:val="0"/>
                <w:szCs w:val="21"/>
              </w:rPr>
            </w:pPr>
          </w:p>
        </w:tc>
        <w:tc>
          <w:tcPr>
            <w:tcW w:w="1336" w:type="dxa"/>
            <w:tcBorders>
              <w:top w:val="single" w:color="auto" w:sz="6" w:space="0"/>
              <w:left w:val="single" w:color="auto" w:sz="6" w:space="0"/>
              <w:bottom w:val="single" w:color="auto" w:sz="6" w:space="0"/>
              <w:right w:val="single" w:color="auto" w:sz="6" w:space="0"/>
            </w:tcBorders>
          </w:tcPr>
          <w:p w14:paraId="01AACA26">
            <w:pPr>
              <w:autoSpaceDE w:val="0"/>
              <w:autoSpaceDN w:val="0"/>
              <w:adjustRightInd w:val="0"/>
              <w:jc w:val="center"/>
              <w:rPr>
                <w:rFonts w:ascii="Times New Roman" w:hAnsi="Times New Roman" w:eastAsia="仿宋_GB2312" w:cs="Times New Roman"/>
                <w:b/>
                <w:bCs/>
                <w:color w:val="000000" w:themeColor="text1"/>
                <w:kern w:val="0"/>
                <w:szCs w:val="21"/>
              </w:rPr>
            </w:pPr>
            <w:r>
              <w:rPr>
                <w:rFonts w:ascii="Times New Roman" w:hAnsi="Times New Roman" w:eastAsia="仿宋_GB2312" w:cs="Times New Roman"/>
                <w:b/>
                <w:bCs/>
                <w:color w:val="000000" w:themeColor="text1"/>
                <w:kern w:val="0"/>
                <w:szCs w:val="21"/>
              </w:rPr>
              <w:t>100分</w:t>
            </w:r>
          </w:p>
        </w:tc>
        <w:tc>
          <w:tcPr>
            <w:tcW w:w="521" w:type="dxa"/>
            <w:tcBorders>
              <w:top w:val="single" w:color="auto" w:sz="6" w:space="0"/>
              <w:left w:val="single" w:color="auto" w:sz="6" w:space="0"/>
              <w:bottom w:val="single" w:color="auto" w:sz="6" w:space="0"/>
              <w:right w:val="single" w:color="auto" w:sz="6" w:space="0"/>
            </w:tcBorders>
          </w:tcPr>
          <w:p w14:paraId="45537D37">
            <w:pPr>
              <w:autoSpaceDE w:val="0"/>
              <w:autoSpaceDN w:val="0"/>
              <w:adjustRightInd w:val="0"/>
              <w:jc w:val="center"/>
              <w:rPr>
                <w:rFonts w:ascii="Times New Roman" w:hAnsi="Times New Roman" w:eastAsia="仿宋_GB2312" w:cs="Times New Roman"/>
                <w:b/>
                <w:bCs/>
                <w:color w:val="000000" w:themeColor="text1"/>
                <w:kern w:val="0"/>
                <w:szCs w:val="21"/>
              </w:rPr>
            </w:pPr>
            <w:r>
              <w:rPr>
                <w:rFonts w:ascii="Times New Roman" w:hAnsi="Times New Roman" w:eastAsia="仿宋_GB2312" w:cs="Times New Roman"/>
                <w:b/>
                <w:bCs/>
                <w:color w:val="000000" w:themeColor="text1"/>
                <w:kern w:val="0"/>
                <w:szCs w:val="21"/>
              </w:rPr>
              <w:t>100</w:t>
            </w:r>
          </w:p>
        </w:tc>
        <w:tc>
          <w:tcPr>
            <w:tcW w:w="600" w:type="dxa"/>
            <w:tcBorders>
              <w:top w:val="single" w:color="auto" w:sz="6" w:space="0"/>
              <w:left w:val="single" w:color="auto" w:sz="6" w:space="0"/>
              <w:bottom w:val="single" w:color="auto" w:sz="6" w:space="0"/>
              <w:right w:val="single" w:color="auto" w:sz="6" w:space="0"/>
            </w:tcBorders>
          </w:tcPr>
          <w:p w14:paraId="0D5DD5E1">
            <w:pPr>
              <w:autoSpaceDE w:val="0"/>
              <w:autoSpaceDN w:val="0"/>
              <w:adjustRightInd w:val="0"/>
              <w:jc w:val="center"/>
              <w:rPr>
                <w:rFonts w:ascii="Times New Roman" w:hAnsi="Times New Roman" w:eastAsia="仿宋_GB2312" w:cs="Times New Roman"/>
                <w:b/>
                <w:bCs/>
                <w:color w:val="000000" w:themeColor="text1"/>
                <w:kern w:val="0"/>
                <w:szCs w:val="21"/>
              </w:rPr>
            </w:pPr>
            <w:r>
              <w:rPr>
                <w:rFonts w:hint="eastAsia" w:ascii="Times New Roman" w:hAnsi="Times New Roman" w:eastAsia="仿宋_GB2312" w:cs="Times New Roman"/>
                <w:b/>
                <w:bCs/>
                <w:color w:val="000000" w:themeColor="text1"/>
                <w:kern w:val="0"/>
                <w:szCs w:val="21"/>
              </w:rPr>
              <w:t>9</w:t>
            </w:r>
            <w:r>
              <w:rPr>
                <w:rFonts w:hint="eastAsia" w:ascii="Times New Roman" w:hAnsi="Times New Roman" w:eastAsia="仿宋_GB2312" w:cs="Times New Roman"/>
                <w:b/>
                <w:bCs/>
                <w:color w:val="000000" w:themeColor="text1"/>
                <w:kern w:val="0"/>
                <w:szCs w:val="21"/>
                <w:lang w:val="en-US" w:eastAsia="zh-CN"/>
              </w:rPr>
              <w:t>3</w:t>
            </w:r>
            <w:r>
              <w:rPr>
                <w:rFonts w:hint="eastAsia" w:ascii="Times New Roman" w:hAnsi="Times New Roman" w:eastAsia="仿宋_GB2312" w:cs="Times New Roman"/>
                <w:b/>
                <w:bCs/>
                <w:color w:val="000000" w:themeColor="text1"/>
                <w:kern w:val="0"/>
                <w:szCs w:val="21"/>
              </w:rPr>
              <w:t>.</w:t>
            </w:r>
            <w:r>
              <w:rPr>
                <w:rFonts w:hint="eastAsia" w:ascii="Times New Roman" w:hAnsi="Times New Roman" w:eastAsia="仿宋_GB2312" w:cs="Times New Roman"/>
                <w:b/>
                <w:bCs/>
                <w:color w:val="000000" w:themeColor="text1"/>
                <w:kern w:val="0"/>
                <w:szCs w:val="21"/>
                <w:lang w:val="en-US" w:eastAsia="zh-CN"/>
              </w:rPr>
              <w:t>5</w:t>
            </w:r>
            <w:r>
              <w:rPr>
                <w:rFonts w:hint="eastAsia" w:ascii="Times New Roman" w:hAnsi="Times New Roman" w:eastAsia="仿宋_GB2312" w:cs="Times New Roman"/>
                <w:b/>
                <w:bCs/>
                <w:color w:val="000000" w:themeColor="text1"/>
                <w:kern w:val="0"/>
                <w:szCs w:val="21"/>
              </w:rPr>
              <w:t>6</w:t>
            </w:r>
          </w:p>
        </w:tc>
        <w:tc>
          <w:tcPr>
            <w:tcW w:w="2195" w:type="dxa"/>
            <w:tcBorders>
              <w:top w:val="single" w:color="auto" w:sz="6" w:space="0"/>
              <w:left w:val="single" w:color="auto" w:sz="6" w:space="0"/>
              <w:bottom w:val="single" w:color="auto" w:sz="6" w:space="0"/>
              <w:right w:val="single" w:color="auto" w:sz="6" w:space="0"/>
            </w:tcBorders>
          </w:tcPr>
          <w:p w14:paraId="0E15F7F1">
            <w:pPr>
              <w:autoSpaceDE w:val="0"/>
              <w:autoSpaceDN w:val="0"/>
              <w:adjustRightInd w:val="0"/>
              <w:jc w:val="left"/>
              <w:rPr>
                <w:rFonts w:ascii="Times New Roman" w:hAnsi="Times New Roman" w:eastAsia="仿宋_GB2312" w:cs="Times New Roman"/>
                <w:b/>
                <w:bCs/>
                <w:color w:val="000000" w:themeColor="text1"/>
                <w:kern w:val="0"/>
                <w:szCs w:val="21"/>
              </w:rPr>
            </w:pPr>
          </w:p>
        </w:tc>
        <w:tc>
          <w:tcPr>
            <w:tcW w:w="2747" w:type="dxa"/>
            <w:tcBorders>
              <w:top w:val="single" w:color="auto" w:sz="6" w:space="0"/>
              <w:left w:val="single" w:color="auto" w:sz="6" w:space="0"/>
              <w:bottom w:val="single" w:color="auto" w:sz="6" w:space="0"/>
              <w:right w:val="single" w:color="auto" w:sz="6" w:space="0"/>
            </w:tcBorders>
          </w:tcPr>
          <w:p w14:paraId="323153E4">
            <w:pPr>
              <w:autoSpaceDE w:val="0"/>
              <w:autoSpaceDN w:val="0"/>
              <w:adjustRightInd w:val="0"/>
              <w:jc w:val="left"/>
              <w:rPr>
                <w:rFonts w:ascii="Times New Roman" w:hAnsi="Times New Roman" w:eastAsia="仿宋_GB2312" w:cs="Times New Roman"/>
                <w:b/>
                <w:bCs/>
                <w:color w:val="000000" w:themeColor="text1"/>
                <w:kern w:val="0"/>
                <w:szCs w:val="21"/>
              </w:rPr>
            </w:pPr>
          </w:p>
        </w:tc>
        <w:tc>
          <w:tcPr>
            <w:tcW w:w="1372" w:type="dxa"/>
            <w:tcBorders>
              <w:top w:val="single" w:color="auto" w:sz="6" w:space="0"/>
              <w:left w:val="single" w:color="auto" w:sz="6" w:space="0"/>
              <w:bottom w:val="single" w:color="auto" w:sz="6" w:space="0"/>
              <w:right w:val="single" w:color="auto" w:sz="6" w:space="0"/>
            </w:tcBorders>
          </w:tcPr>
          <w:p w14:paraId="14781DCF">
            <w:pPr>
              <w:autoSpaceDE w:val="0"/>
              <w:autoSpaceDN w:val="0"/>
              <w:adjustRightInd w:val="0"/>
              <w:jc w:val="left"/>
              <w:rPr>
                <w:rFonts w:ascii="Times New Roman" w:hAnsi="Times New Roman" w:eastAsia="仿宋_GB2312" w:cs="Times New Roman"/>
                <w:b/>
                <w:bCs/>
                <w:color w:val="000000" w:themeColor="text1"/>
                <w:kern w:val="0"/>
                <w:szCs w:val="21"/>
              </w:rPr>
            </w:pPr>
          </w:p>
        </w:tc>
      </w:tr>
    </w:tbl>
    <w:p w14:paraId="77685CD4">
      <w:pPr>
        <w:spacing w:line="520" w:lineRule="exact"/>
        <w:ind w:left="630" w:hanging="630" w:hangingChars="300"/>
        <w:jc w:val="left"/>
        <w:rPr>
          <w:rFonts w:ascii="Times New Roman" w:hAnsi="Times New Roman" w:eastAsia="仿宋_GB2312" w:cs="Times New Roman"/>
          <w:color w:val="000000" w:themeColor="text1"/>
        </w:rPr>
      </w:pPr>
    </w:p>
    <w:p w14:paraId="1CE18E53">
      <w:pPr>
        <w:spacing w:line="520" w:lineRule="exact"/>
        <w:ind w:left="630" w:hanging="630" w:hangingChars="300"/>
        <w:jc w:val="left"/>
        <w:rPr>
          <w:rFonts w:ascii="Times New Roman" w:hAnsi="Times New Roman" w:eastAsia="仿宋_GB2312" w:cs="Times New Roman"/>
          <w:color w:val="000000" w:themeColor="text1"/>
        </w:rPr>
      </w:pPr>
    </w:p>
    <w:p w14:paraId="433E2C9D">
      <w:pPr>
        <w:spacing w:line="520" w:lineRule="exact"/>
        <w:ind w:left="630" w:hanging="630" w:hangingChars="300"/>
        <w:jc w:val="left"/>
        <w:rPr>
          <w:rFonts w:ascii="Times New Roman" w:hAnsi="Times New Roman" w:eastAsia="仿宋_GB2312" w:cs="Times New Roman"/>
          <w:color w:val="000000" w:themeColor="text1"/>
        </w:rPr>
      </w:pPr>
    </w:p>
    <w:p w14:paraId="3EEDF815">
      <w:pPr>
        <w:spacing w:line="520" w:lineRule="exact"/>
        <w:jc w:val="left"/>
        <w:rPr>
          <w:rFonts w:ascii="Times New Roman" w:hAnsi="Times New Roman" w:eastAsia="仿宋_GB2312" w:cs="Times New Roman"/>
          <w:color w:val="000000" w:themeColor="text1"/>
        </w:rPr>
      </w:pPr>
    </w:p>
    <w:p w14:paraId="0824FF44">
      <w:pPr>
        <w:spacing w:line="520" w:lineRule="exact"/>
        <w:ind w:left="630" w:hanging="630" w:hangingChars="300"/>
        <w:jc w:val="left"/>
        <w:rPr>
          <w:rFonts w:ascii="Times New Roman" w:hAnsi="Times New Roman" w:eastAsia="仿宋_GB2312" w:cs="Times New Roman"/>
          <w:color w:val="000000" w:themeColor="text1"/>
        </w:rPr>
      </w:pPr>
    </w:p>
    <w:p w14:paraId="16A0E9D5">
      <w:pPr>
        <w:pStyle w:val="2"/>
        <w:rPr>
          <w:rFonts w:ascii="Times New Roman" w:hAnsi="Times New Roman" w:eastAsia="仿宋_GB2312" w:cs="Times New Roman"/>
          <w:color w:val="000000" w:themeColor="text1"/>
        </w:rPr>
      </w:pPr>
    </w:p>
    <w:p w14:paraId="3D404D19">
      <w:pPr>
        <w:pStyle w:val="2"/>
        <w:rPr>
          <w:rFonts w:ascii="Times New Roman" w:hAnsi="Times New Roman" w:eastAsia="仿宋_GB2312" w:cs="Times New Roman"/>
          <w:color w:val="000000" w:themeColor="text1"/>
        </w:rPr>
      </w:pPr>
    </w:p>
    <w:p w14:paraId="1F77C7F6">
      <w:pPr>
        <w:pStyle w:val="2"/>
        <w:rPr>
          <w:rFonts w:ascii="Times New Roman" w:hAnsi="Times New Roman" w:eastAsia="仿宋_GB2312" w:cs="Times New Roman"/>
          <w:color w:val="000000" w:themeColor="text1"/>
        </w:rPr>
      </w:pPr>
    </w:p>
    <w:p w14:paraId="2652E60C">
      <w:pPr>
        <w:spacing w:line="520" w:lineRule="exact"/>
        <w:ind w:left="630" w:hanging="630" w:hangingChars="300"/>
        <w:jc w:val="left"/>
        <w:rPr>
          <w:rFonts w:ascii="Times New Roman" w:hAnsi="Times New Roman" w:eastAsia="仿宋_GB2312" w:cs="Times New Roman"/>
          <w:color w:val="000000" w:themeColor="text1"/>
        </w:rPr>
      </w:pPr>
    </w:p>
    <w:p w14:paraId="715D8696">
      <w:pPr>
        <w:spacing w:line="520" w:lineRule="exact"/>
        <w:ind w:left="630" w:hanging="630" w:hangingChars="300"/>
        <w:jc w:val="left"/>
        <w:rPr>
          <w:rFonts w:ascii="Times New Roman" w:hAnsi="Times New Roman" w:eastAsia="仿宋_GB2312" w:cs="Times New Roman"/>
          <w:color w:val="000000" w:themeColor="text1"/>
        </w:rPr>
      </w:pPr>
      <w:r>
        <w:rPr>
          <w:rFonts w:hint="eastAsia" w:ascii="Times New Roman" w:hAnsi="Times New Roman" w:eastAsia="仿宋_GB2312" w:cs="Times New Roman"/>
          <w:color w:val="000000" w:themeColor="text1"/>
        </w:rPr>
        <w:t>附件</w:t>
      </w:r>
      <w:r>
        <w:rPr>
          <w:rFonts w:ascii="Times New Roman" w:hAnsi="Times New Roman" w:eastAsia="仿宋_GB2312" w:cs="Times New Roman"/>
          <w:color w:val="000000" w:themeColor="text1"/>
        </w:rPr>
        <w:t>4</w:t>
      </w:r>
    </w:p>
    <w:p w14:paraId="3D7D9AED">
      <w:pPr>
        <w:spacing w:line="520" w:lineRule="exact"/>
        <w:ind w:left="630" w:hanging="630" w:hangingChars="300"/>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寻甸回族彝族自治县</w:t>
      </w:r>
      <w:r>
        <w:rPr>
          <w:rFonts w:hint="eastAsia" w:ascii="Times New Roman" w:hAnsi="Times New Roman" w:eastAsia="仿宋_GB2312" w:cs="Times New Roman"/>
          <w:color w:val="000000" w:themeColor="text1"/>
        </w:rPr>
        <w:t>融媒体中心</w:t>
      </w:r>
      <w:r>
        <w:rPr>
          <w:rFonts w:hint="eastAsia" w:ascii="Times New Roman" w:hAnsi="Times New Roman" w:eastAsia="仿宋_GB2312" w:cs="Times New Roman"/>
          <w:color w:val="000000" w:themeColor="text1"/>
          <w:lang w:eastAsia="zh-CN"/>
        </w:rPr>
        <w:t>2024</w:t>
      </w:r>
      <w:r>
        <w:rPr>
          <w:rFonts w:ascii="Times New Roman" w:hAnsi="Times New Roman" w:eastAsia="仿宋_GB2312" w:cs="Times New Roman"/>
          <w:color w:val="000000" w:themeColor="text1"/>
        </w:rPr>
        <w:t>年部门整体支出绩效评价调查问卷（受益人群）</w:t>
      </w:r>
    </w:p>
    <w:p w14:paraId="609AC2CB">
      <w:pPr>
        <w:spacing w:line="520" w:lineRule="exact"/>
        <w:ind w:left="630" w:hanging="630" w:hangingChars="300"/>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发放问卷:50份  收回问卷：49份  有效问卷：49份</w:t>
      </w:r>
    </w:p>
    <w:tbl>
      <w:tblPr>
        <w:tblStyle w:val="8"/>
        <w:tblW w:w="9260" w:type="dxa"/>
        <w:jc w:val="center"/>
        <w:tblLayout w:type="autofit"/>
        <w:tblCellMar>
          <w:top w:w="0" w:type="dxa"/>
          <w:left w:w="108" w:type="dxa"/>
          <w:bottom w:w="0" w:type="dxa"/>
          <w:right w:w="108" w:type="dxa"/>
        </w:tblCellMar>
      </w:tblPr>
      <w:tblGrid>
        <w:gridCol w:w="940"/>
        <w:gridCol w:w="2820"/>
        <w:gridCol w:w="2460"/>
        <w:gridCol w:w="1380"/>
        <w:gridCol w:w="1660"/>
      </w:tblGrid>
      <w:tr w14:paraId="161C13CA">
        <w:tblPrEx>
          <w:tblCellMar>
            <w:top w:w="0" w:type="dxa"/>
            <w:left w:w="108" w:type="dxa"/>
            <w:bottom w:w="0" w:type="dxa"/>
            <w:right w:w="108" w:type="dxa"/>
          </w:tblCellMar>
        </w:tblPrEx>
        <w:trPr>
          <w:trHeight w:val="27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8372E">
            <w:pPr>
              <w:widowControl/>
              <w:jc w:val="center"/>
              <w:rPr>
                <w:rFonts w:ascii="Times New Roman" w:hAnsi="Times New Roman" w:eastAsia="仿宋" w:cs="Times New Roman"/>
                <w:b/>
                <w:bCs/>
                <w:color w:val="000000" w:themeColor="text1"/>
                <w:kern w:val="0"/>
                <w:szCs w:val="21"/>
              </w:rPr>
            </w:pPr>
            <w:r>
              <w:rPr>
                <w:rFonts w:ascii="Times New Roman" w:hAnsi="Times New Roman" w:eastAsia="仿宋" w:cs="Times New Roman"/>
                <w:b/>
                <w:bCs/>
                <w:color w:val="000000" w:themeColor="text1"/>
                <w:kern w:val="0"/>
                <w:szCs w:val="21"/>
              </w:rPr>
              <w:t>标题序号</w:t>
            </w:r>
          </w:p>
        </w:tc>
        <w:tc>
          <w:tcPr>
            <w:tcW w:w="2820" w:type="dxa"/>
            <w:tcBorders>
              <w:top w:val="single" w:color="auto" w:sz="4" w:space="0"/>
              <w:left w:val="nil"/>
              <w:bottom w:val="single" w:color="auto" w:sz="4" w:space="0"/>
              <w:right w:val="single" w:color="auto" w:sz="4" w:space="0"/>
            </w:tcBorders>
            <w:shd w:val="clear" w:color="auto" w:fill="auto"/>
            <w:vAlign w:val="center"/>
          </w:tcPr>
          <w:p w14:paraId="557CD855">
            <w:pPr>
              <w:widowControl/>
              <w:jc w:val="center"/>
              <w:rPr>
                <w:rFonts w:ascii="Times New Roman" w:hAnsi="Times New Roman" w:eastAsia="仿宋" w:cs="Times New Roman"/>
                <w:b/>
                <w:bCs/>
                <w:color w:val="000000" w:themeColor="text1"/>
                <w:kern w:val="0"/>
                <w:szCs w:val="21"/>
              </w:rPr>
            </w:pPr>
            <w:r>
              <w:rPr>
                <w:rFonts w:ascii="Times New Roman" w:hAnsi="Times New Roman" w:eastAsia="仿宋" w:cs="Times New Roman"/>
                <w:b/>
                <w:bCs/>
                <w:color w:val="000000" w:themeColor="text1"/>
                <w:kern w:val="0"/>
                <w:szCs w:val="21"/>
              </w:rPr>
              <w:t>问题内容</w:t>
            </w:r>
          </w:p>
        </w:tc>
        <w:tc>
          <w:tcPr>
            <w:tcW w:w="2460" w:type="dxa"/>
            <w:tcBorders>
              <w:top w:val="single" w:color="auto" w:sz="4" w:space="0"/>
              <w:left w:val="nil"/>
              <w:bottom w:val="single" w:color="auto" w:sz="4" w:space="0"/>
              <w:right w:val="single" w:color="auto" w:sz="4" w:space="0"/>
            </w:tcBorders>
            <w:shd w:val="clear" w:color="auto" w:fill="auto"/>
            <w:vAlign w:val="center"/>
          </w:tcPr>
          <w:p w14:paraId="1BEF930C">
            <w:pPr>
              <w:widowControl/>
              <w:jc w:val="center"/>
              <w:rPr>
                <w:rFonts w:ascii="Times New Roman" w:hAnsi="Times New Roman" w:eastAsia="仿宋" w:cs="Times New Roman"/>
                <w:b/>
                <w:bCs/>
                <w:color w:val="000000" w:themeColor="text1"/>
                <w:kern w:val="0"/>
                <w:szCs w:val="21"/>
              </w:rPr>
            </w:pPr>
            <w:r>
              <w:rPr>
                <w:rFonts w:ascii="Times New Roman" w:hAnsi="Times New Roman" w:eastAsia="仿宋" w:cs="Times New Roman"/>
                <w:b/>
                <w:bCs/>
                <w:color w:val="000000" w:themeColor="text1"/>
                <w:kern w:val="0"/>
                <w:szCs w:val="21"/>
              </w:rPr>
              <w:t>选项内容</w:t>
            </w:r>
          </w:p>
        </w:tc>
        <w:tc>
          <w:tcPr>
            <w:tcW w:w="1380" w:type="dxa"/>
            <w:tcBorders>
              <w:top w:val="single" w:color="auto" w:sz="4" w:space="0"/>
              <w:left w:val="nil"/>
              <w:bottom w:val="single" w:color="auto" w:sz="4" w:space="0"/>
              <w:right w:val="single" w:color="auto" w:sz="4" w:space="0"/>
            </w:tcBorders>
            <w:shd w:val="clear" w:color="auto" w:fill="auto"/>
            <w:vAlign w:val="center"/>
          </w:tcPr>
          <w:p w14:paraId="765E73B5">
            <w:pPr>
              <w:widowControl/>
              <w:jc w:val="center"/>
              <w:rPr>
                <w:rFonts w:ascii="Times New Roman" w:hAnsi="Times New Roman" w:eastAsia="仿宋" w:cs="Times New Roman"/>
                <w:b/>
                <w:bCs/>
                <w:color w:val="000000" w:themeColor="text1"/>
                <w:kern w:val="0"/>
                <w:szCs w:val="21"/>
              </w:rPr>
            </w:pPr>
            <w:r>
              <w:rPr>
                <w:rFonts w:ascii="Times New Roman" w:hAnsi="Times New Roman" w:eastAsia="仿宋" w:cs="Times New Roman"/>
                <w:b/>
                <w:bCs/>
                <w:color w:val="000000" w:themeColor="text1"/>
                <w:kern w:val="0"/>
                <w:szCs w:val="21"/>
              </w:rPr>
              <w:t>标准分值</w:t>
            </w:r>
          </w:p>
        </w:tc>
        <w:tc>
          <w:tcPr>
            <w:tcW w:w="1660" w:type="dxa"/>
            <w:tcBorders>
              <w:top w:val="single" w:color="auto" w:sz="4" w:space="0"/>
              <w:left w:val="nil"/>
              <w:bottom w:val="single" w:color="auto" w:sz="4" w:space="0"/>
              <w:right w:val="single" w:color="auto" w:sz="4" w:space="0"/>
            </w:tcBorders>
            <w:shd w:val="clear" w:color="auto" w:fill="auto"/>
            <w:vAlign w:val="center"/>
          </w:tcPr>
          <w:p w14:paraId="1D66A2B4">
            <w:pPr>
              <w:widowControl/>
              <w:jc w:val="center"/>
              <w:rPr>
                <w:rFonts w:ascii="Times New Roman" w:hAnsi="Times New Roman" w:eastAsia="仿宋" w:cs="Times New Roman"/>
                <w:b/>
                <w:bCs/>
                <w:color w:val="000000" w:themeColor="text1"/>
                <w:kern w:val="0"/>
                <w:szCs w:val="21"/>
              </w:rPr>
            </w:pPr>
            <w:r>
              <w:rPr>
                <w:rFonts w:ascii="Times New Roman" w:hAnsi="Times New Roman" w:eastAsia="仿宋" w:cs="Times New Roman"/>
                <w:b/>
                <w:bCs/>
                <w:color w:val="000000" w:themeColor="text1"/>
                <w:kern w:val="0"/>
                <w:szCs w:val="21"/>
              </w:rPr>
              <w:t>融媒体中心问卷数</w:t>
            </w:r>
          </w:p>
        </w:tc>
      </w:tr>
      <w:tr w14:paraId="793654E6">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noWrap/>
            <w:vAlign w:val="center"/>
          </w:tcPr>
          <w:p w14:paraId="20470357">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w:t>
            </w:r>
          </w:p>
        </w:tc>
        <w:tc>
          <w:tcPr>
            <w:tcW w:w="2820" w:type="dxa"/>
            <w:vMerge w:val="restart"/>
            <w:tcBorders>
              <w:top w:val="nil"/>
              <w:left w:val="single" w:color="auto" w:sz="4" w:space="0"/>
              <w:bottom w:val="single" w:color="auto" w:sz="4" w:space="0"/>
              <w:right w:val="single" w:color="auto" w:sz="4" w:space="0"/>
            </w:tcBorders>
            <w:shd w:val="clear" w:color="auto" w:fill="auto"/>
            <w:vAlign w:val="center"/>
          </w:tcPr>
          <w:p w14:paraId="395DE028">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您认为该部门在深入基层调查研究情况方面做的如何？</w:t>
            </w:r>
          </w:p>
        </w:tc>
        <w:tc>
          <w:tcPr>
            <w:tcW w:w="2460" w:type="dxa"/>
            <w:tcBorders>
              <w:top w:val="nil"/>
              <w:left w:val="nil"/>
              <w:bottom w:val="single" w:color="auto" w:sz="4" w:space="0"/>
              <w:right w:val="single" w:color="auto" w:sz="4" w:space="0"/>
            </w:tcBorders>
            <w:shd w:val="clear" w:color="auto" w:fill="auto"/>
            <w:vAlign w:val="center"/>
          </w:tcPr>
          <w:p w14:paraId="13CD9021">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xml:space="preserve">A.经常到基层调研 </w:t>
            </w:r>
          </w:p>
        </w:tc>
        <w:tc>
          <w:tcPr>
            <w:tcW w:w="1380" w:type="dxa"/>
            <w:tcBorders>
              <w:top w:val="nil"/>
              <w:left w:val="nil"/>
              <w:bottom w:val="single" w:color="auto" w:sz="4" w:space="0"/>
              <w:right w:val="single" w:color="auto" w:sz="4" w:space="0"/>
            </w:tcBorders>
            <w:shd w:val="clear" w:color="auto" w:fill="auto"/>
            <w:vAlign w:val="center"/>
          </w:tcPr>
          <w:p w14:paraId="092D6C79">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w:t>
            </w:r>
          </w:p>
        </w:tc>
        <w:tc>
          <w:tcPr>
            <w:tcW w:w="1660" w:type="dxa"/>
            <w:tcBorders>
              <w:top w:val="nil"/>
              <w:left w:val="nil"/>
              <w:bottom w:val="single" w:color="auto" w:sz="4" w:space="0"/>
              <w:right w:val="single" w:color="auto" w:sz="4" w:space="0"/>
            </w:tcBorders>
            <w:shd w:val="clear" w:color="auto" w:fill="auto"/>
            <w:vAlign w:val="center"/>
          </w:tcPr>
          <w:p w14:paraId="0298BD6F">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48</w:t>
            </w:r>
          </w:p>
        </w:tc>
      </w:tr>
      <w:tr w14:paraId="292050EF">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1AA05E6B">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6F8DD154">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vAlign w:val="center"/>
          </w:tcPr>
          <w:p w14:paraId="1750C20B">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B.偶尔到基层调研</w:t>
            </w:r>
          </w:p>
        </w:tc>
        <w:tc>
          <w:tcPr>
            <w:tcW w:w="1380" w:type="dxa"/>
            <w:tcBorders>
              <w:top w:val="nil"/>
              <w:left w:val="nil"/>
              <w:bottom w:val="single" w:color="auto" w:sz="4" w:space="0"/>
              <w:right w:val="single" w:color="auto" w:sz="4" w:space="0"/>
            </w:tcBorders>
            <w:shd w:val="clear" w:color="auto" w:fill="auto"/>
            <w:vAlign w:val="center"/>
          </w:tcPr>
          <w:p w14:paraId="00AE6D47">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w:t>
            </w:r>
          </w:p>
        </w:tc>
        <w:tc>
          <w:tcPr>
            <w:tcW w:w="1660" w:type="dxa"/>
            <w:tcBorders>
              <w:top w:val="nil"/>
              <w:left w:val="nil"/>
              <w:bottom w:val="single" w:color="auto" w:sz="4" w:space="0"/>
              <w:right w:val="single" w:color="auto" w:sz="4" w:space="0"/>
            </w:tcBorders>
            <w:shd w:val="clear" w:color="auto" w:fill="auto"/>
            <w:vAlign w:val="center"/>
          </w:tcPr>
          <w:p w14:paraId="1A2F8C38">
            <w:pPr>
              <w:widowControl/>
              <w:jc w:val="center"/>
              <w:rPr>
                <w:rFonts w:ascii="Times New Roman" w:hAnsi="Times New Roman" w:eastAsia="仿宋" w:cs="Times New Roman"/>
                <w:color w:val="000000" w:themeColor="text1"/>
                <w:kern w:val="0"/>
                <w:szCs w:val="21"/>
              </w:rPr>
            </w:pPr>
            <w:r>
              <w:rPr>
                <w:rFonts w:hint="eastAsia" w:ascii="Times New Roman" w:hAnsi="Times New Roman" w:eastAsia="仿宋" w:cs="Times New Roman"/>
                <w:color w:val="000000" w:themeColor="text1"/>
                <w:kern w:val="0"/>
                <w:szCs w:val="21"/>
              </w:rPr>
              <w:t>1</w:t>
            </w:r>
          </w:p>
        </w:tc>
      </w:tr>
      <w:tr w14:paraId="73246752">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07798EC6">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267BDF84">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vAlign w:val="center"/>
          </w:tcPr>
          <w:p w14:paraId="6FFE2C81">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xml:space="preserve">C.从不到基层调研  </w:t>
            </w:r>
          </w:p>
        </w:tc>
        <w:tc>
          <w:tcPr>
            <w:tcW w:w="1380" w:type="dxa"/>
            <w:tcBorders>
              <w:top w:val="nil"/>
              <w:left w:val="nil"/>
              <w:bottom w:val="single" w:color="auto" w:sz="4" w:space="0"/>
              <w:right w:val="single" w:color="auto" w:sz="4" w:space="0"/>
            </w:tcBorders>
            <w:shd w:val="clear" w:color="auto" w:fill="auto"/>
            <w:vAlign w:val="center"/>
          </w:tcPr>
          <w:p w14:paraId="282EE662">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c>
          <w:tcPr>
            <w:tcW w:w="1660" w:type="dxa"/>
            <w:tcBorders>
              <w:top w:val="nil"/>
              <w:left w:val="nil"/>
              <w:bottom w:val="single" w:color="auto" w:sz="4" w:space="0"/>
              <w:right w:val="single" w:color="auto" w:sz="4" w:space="0"/>
            </w:tcBorders>
            <w:shd w:val="clear" w:color="auto" w:fill="auto"/>
            <w:vAlign w:val="center"/>
          </w:tcPr>
          <w:p w14:paraId="068A3DD3">
            <w:pPr>
              <w:widowControl/>
              <w:jc w:val="center"/>
              <w:rPr>
                <w:rFonts w:ascii="Times New Roman" w:hAnsi="Times New Roman" w:eastAsia="仿宋" w:cs="Times New Roman"/>
                <w:color w:val="000000" w:themeColor="text1"/>
                <w:kern w:val="0"/>
                <w:szCs w:val="21"/>
              </w:rPr>
            </w:pPr>
            <w:r>
              <w:rPr>
                <w:rFonts w:hint="eastAsia" w:ascii="Times New Roman" w:hAnsi="Times New Roman" w:eastAsia="仿宋" w:cs="Times New Roman"/>
                <w:color w:val="000000" w:themeColor="text1"/>
                <w:kern w:val="0"/>
                <w:szCs w:val="21"/>
              </w:rPr>
              <w:t>0</w:t>
            </w:r>
          </w:p>
        </w:tc>
      </w:tr>
      <w:tr w14:paraId="57BD3D37">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noWrap/>
            <w:vAlign w:val="center"/>
          </w:tcPr>
          <w:p w14:paraId="7D68CC71">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2</w:t>
            </w:r>
          </w:p>
        </w:tc>
        <w:tc>
          <w:tcPr>
            <w:tcW w:w="2820" w:type="dxa"/>
            <w:vMerge w:val="restart"/>
            <w:tcBorders>
              <w:top w:val="nil"/>
              <w:left w:val="single" w:color="auto" w:sz="4" w:space="0"/>
              <w:bottom w:val="single" w:color="auto" w:sz="4" w:space="0"/>
              <w:right w:val="single" w:color="auto" w:sz="4" w:space="0"/>
            </w:tcBorders>
            <w:shd w:val="clear" w:color="auto" w:fill="auto"/>
            <w:vAlign w:val="center"/>
          </w:tcPr>
          <w:p w14:paraId="00B1E43B">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xml:space="preserve">您是否了解该部门收集群众意见的相关渠道？ </w:t>
            </w:r>
          </w:p>
        </w:tc>
        <w:tc>
          <w:tcPr>
            <w:tcW w:w="2460" w:type="dxa"/>
            <w:tcBorders>
              <w:top w:val="nil"/>
              <w:left w:val="nil"/>
              <w:bottom w:val="single" w:color="auto" w:sz="4" w:space="0"/>
              <w:right w:val="single" w:color="auto" w:sz="4" w:space="0"/>
            </w:tcBorders>
            <w:shd w:val="clear" w:color="auto" w:fill="auto"/>
            <w:vAlign w:val="center"/>
          </w:tcPr>
          <w:p w14:paraId="76202CFC">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xml:space="preserve">A.多渠道反映 </w:t>
            </w:r>
          </w:p>
        </w:tc>
        <w:tc>
          <w:tcPr>
            <w:tcW w:w="1380" w:type="dxa"/>
            <w:tcBorders>
              <w:top w:val="nil"/>
              <w:left w:val="nil"/>
              <w:bottom w:val="single" w:color="auto" w:sz="4" w:space="0"/>
              <w:right w:val="single" w:color="auto" w:sz="4" w:space="0"/>
            </w:tcBorders>
            <w:shd w:val="clear" w:color="auto" w:fill="auto"/>
            <w:vAlign w:val="center"/>
          </w:tcPr>
          <w:p w14:paraId="2222C366">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w:t>
            </w:r>
          </w:p>
        </w:tc>
        <w:tc>
          <w:tcPr>
            <w:tcW w:w="1660" w:type="dxa"/>
            <w:tcBorders>
              <w:top w:val="nil"/>
              <w:left w:val="nil"/>
              <w:bottom w:val="single" w:color="auto" w:sz="4" w:space="0"/>
              <w:right w:val="single" w:color="auto" w:sz="4" w:space="0"/>
            </w:tcBorders>
            <w:shd w:val="clear" w:color="auto" w:fill="auto"/>
            <w:vAlign w:val="center"/>
          </w:tcPr>
          <w:p w14:paraId="0F8C833D">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49</w:t>
            </w:r>
          </w:p>
        </w:tc>
      </w:tr>
      <w:tr w14:paraId="7F245F68">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76EF3BAD">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2E193C6E">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vAlign w:val="center"/>
          </w:tcPr>
          <w:p w14:paraId="61541FEC">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xml:space="preserve">B.单一渠道反映 </w:t>
            </w:r>
          </w:p>
        </w:tc>
        <w:tc>
          <w:tcPr>
            <w:tcW w:w="1380" w:type="dxa"/>
            <w:tcBorders>
              <w:top w:val="nil"/>
              <w:left w:val="nil"/>
              <w:bottom w:val="single" w:color="auto" w:sz="4" w:space="0"/>
              <w:right w:val="single" w:color="auto" w:sz="4" w:space="0"/>
            </w:tcBorders>
            <w:shd w:val="clear" w:color="auto" w:fill="auto"/>
            <w:vAlign w:val="center"/>
          </w:tcPr>
          <w:p w14:paraId="22EE0C6A">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w:t>
            </w:r>
          </w:p>
        </w:tc>
        <w:tc>
          <w:tcPr>
            <w:tcW w:w="1660" w:type="dxa"/>
            <w:tcBorders>
              <w:top w:val="nil"/>
              <w:left w:val="nil"/>
              <w:bottom w:val="single" w:color="auto" w:sz="4" w:space="0"/>
              <w:right w:val="single" w:color="auto" w:sz="4" w:space="0"/>
            </w:tcBorders>
            <w:shd w:val="clear" w:color="auto" w:fill="auto"/>
            <w:vAlign w:val="center"/>
          </w:tcPr>
          <w:p w14:paraId="167E702E">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r>
      <w:tr w14:paraId="783C90BD">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4A42CF01">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3023945A">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vAlign w:val="center"/>
          </w:tcPr>
          <w:p w14:paraId="0D7BC19E">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xml:space="preserve">C.无渠道反映 </w:t>
            </w:r>
          </w:p>
        </w:tc>
        <w:tc>
          <w:tcPr>
            <w:tcW w:w="1380" w:type="dxa"/>
            <w:tcBorders>
              <w:top w:val="nil"/>
              <w:left w:val="nil"/>
              <w:bottom w:val="single" w:color="auto" w:sz="4" w:space="0"/>
              <w:right w:val="single" w:color="auto" w:sz="4" w:space="0"/>
            </w:tcBorders>
            <w:shd w:val="clear" w:color="auto" w:fill="auto"/>
            <w:vAlign w:val="center"/>
          </w:tcPr>
          <w:p w14:paraId="4C47E6DD">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c>
          <w:tcPr>
            <w:tcW w:w="1660" w:type="dxa"/>
            <w:tcBorders>
              <w:top w:val="nil"/>
              <w:left w:val="nil"/>
              <w:bottom w:val="single" w:color="auto" w:sz="4" w:space="0"/>
              <w:right w:val="single" w:color="auto" w:sz="4" w:space="0"/>
            </w:tcBorders>
            <w:shd w:val="clear" w:color="auto" w:fill="auto"/>
            <w:vAlign w:val="center"/>
          </w:tcPr>
          <w:p w14:paraId="24808AEA">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r>
      <w:tr w14:paraId="3E70524E">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noWrap/>
            <w:vAlign w:val="center"/>
          </w:tcPr>
          <w:p w14:paraId="330AFFE1">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3</w:t>
            </w:r>
          </w:p>
        </w:tc>
        <w:tc>
          <w:tcPr>
            <w:tcW w:w="2820" w:type="dxa"/>
            <w:vMerge w:val="restart"/>
            <w:tcBorders>
              <w:top w:val="nil"/>
              <w:left w:val="single" w:color="auto" w:sz="4" w:space="0"/>
              <w:bottom w:val="single" w:color="auto" w:sz="4" w:space="0"/>
              <w:right w:val="single" w:color="auto" w:sz="4" w:space="0"/>
            </w:tcBorders>
            <w:shd w:val="clear" w:color="auto" w:fill="auto"/>
            <w:vAlign w:val="center"/>
          </w:tcPr>
          <w:p w14:paraId="6FC76A0C">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xml:space="preserve">您向该部门反映的问题是否得到反馈？ </w:t>
            </w:r>
          </w:p>
        </w:tc>
        <w:tc>
          <w:tcPr>
            <w:tcW w:w="2460" w:type="dxa"/>
            <w:tcBorders>
              <w:top w:val="nil"/>
              <w:left w:val="nil"/>
              <w:bottom w:val="single" w:color="auto" w:sz="4" w:space="0"/>
              <w:right w:val="single" w:color="auto" w:sz="4" w:space="0"/>
            </w:tcBorders>
            <w:shd w:val="clear" w:color="auto" w:fill="auto"/>
            <w:noWrap/>
            <w:vAlign w:val="center"/>
          </w:tcPr>
          <w:p w14:paraId="71063E95">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A.及时得到反馈</w:t>
            </w:r>
          </w:p>
        </w:tc>
        <w:tc>
          <w:tcPr>
            <w:tcW w:w="1380" w:type="dxa"/>
            <w:tcBorders>
              <w:top w:val="nil"/>
              <w:left w:val="nil"/>
              <w:bottom w:val="single" w:color="auto" w:sz="4" w:space="0"/>
              <w:right w:val="single" w:color="auto" w:sz="4" w:space="0"/>
            </w:tcBorders>
            <w:shd w:val="clear" w:color="auto" w:fill="auto"/>
            <w:noWrap/>
            <w:vAlign w:val="center"/>
          </w:tcPr>
          <w:p w14:paraId="383EC600">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w:t>
            </w:r>
          </w:p>
        </w:tc>
        <w:tc>
          <w:tcPr>
            <w:tcW w:w="1660" w:type="dxa"/>
            <w:tcBorders>
              <w:top w:val="nil"/>
              <w:left w:val="nil"/>
              <w:bottom w:val="single" w:color="auto" w:sz="4" w:space="0"/>
              <w:right w:val="single" w:color="auto" w:sz="4" w:space="0"/>
            </w:tcBorders>
            <w:shd w:val="clear" w:color="auto" w:fill="auto"/>
            <w:vAlign w:val="center"/>
          </w:tcPr>
          <w:p w14:paraId="40AFAB2D">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49</w:t>
            </w:r>
          </w:p>
        </w:tc>
      </w:tr>
      <w:tr w14:paraId="66E0E0D8">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21A812EA">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61E7480A">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3CD7E89C">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B.反馈但不及时</w:t>
            </w:r>
          </w:p>
        </w:tc>
        <w:tc>
          <w:tcPr>
            <w:tcW w:w="1380" w:type="dxa"/>
            <w:tcBorders>
              <w:top w:val="nil"/>
              <w:left w:val="nil"/>
              <w:bottom w:val="single" w:color="auto" w:sz="4" w:space="0"/>
              <w:right w:val="single" w:color="auto" w:sz="4" w:space="0"/>
            </w:tcBorders>
            <w:shd w:val="clear" w:color="auto" w:fill="auto"/>
            <w:noWrap/>
            <w:vAlign w:val="center"/>
          </w:tcPr>
          <w:p w14:paraId="7723EC0B">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w:t>
            </w:r>
          </w:p>
        </w:tc>
        <w:tc>
          <w:tcPr>
            <w:tcW w:w="1660" w:type="dxa"/>
            <w:tcBorders>
              <w:top w:val="nil"/>
              <w:left w:val="nil"/>
              <w:bottom w:val="single" w:color="auto" w:sz="4" w:space="0"/>
              <w:right w:val="single" w:color="auto" w:sz="4" w:space="0"/>
            </w:tcBorders>
            <w:shd w:val="clear" w:color="auto" w:fill="auto"/>
            <w:vAlign w:val="center"/>
          </w:tcPr>
          <w:p w14:paraId="35510948">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r>
      <w:tr w14:paraId="4A5B75D0">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21F99239">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04E2FDAC">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1306564A">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xml:space="preserve">C.未反馈 </w:t>
            </w:r>
          </w:p>
        </w:tc>
        <w:tc>
          <w:tcPr>
            <w:tcW w:w="1380" w:type="dxa"/>
            <w:tcBorders>
              <w:top w:val="nil"/>
              <w:left w:val="nil"/>
              <w:bottom w:val="single" w:color="auto" w:sz="4" w:space="0"/>
              <w:right w:val="single" w:color="auto" w:sz="4" w:space="0"/>
            </w:tcBorders>
            <w:shd w:val="clear" w:color="auto" w:fill="auto"/>
            <w:noWrap/>
            <w:vAlign w:val="center"/>
          </w:tcPr>
          <w:p w14:paraId="12729AB6">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c>
          <w:tcPr>
            <w:tcW w:w="1660" w:type="dxa"/>
            <w:tcBorders>
              <w:top w:val="nil"/>
              <w:left w:val="nil"/>
              <w:bottom w:val="single" w:color="auto" w:sz="4" w:space="0"/>
              <w:right w:val="single" w:color="auto" w:sz="4" w:space="0"/>
            </w:tcBorders>
            <w:shd w:val="clear" w:color="auto" w:fill="auto"/>
            <w:vAlign w:val="center"/>
          </w:tcPr>
          <w:p w14:paraId="2F336CF6">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r>
      <w:tr w14:paraId="3897D0E4">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noWrap/>
            <w:vAlign w:val="center"/>
          </w:tcPr>
          <w:p w14:paraId="6047CCFC">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w:t>
            </w:r>
          </w:p>
        </w:tc>
        <w:tc>
          <w:tcPr>
            <w:tcW w:w="2820" w:type="dxa"/>
            <w:vMerge w:val="restart"/>
            <w:tcBorders>
              <w:top w:val="nil"/>
              <w:left w:val="single" w:color="auto" w:sz="4" w:space="0"/>
              <w:bottom w:val="single" w:color="auto" w:sz="4" w:space="0"/>
              <w:right w:val="single" w:color="auto" w:sz="4" w:space="0"/>
            </w:tcBorders>
            <w:shd w:val="clear" w:color="auto" w:fill="auto"/>
            <w:vAlign w:val="center"/>
          </w:tcPr>
          <w:p w14:paraId="5445A322">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您认为该部门在廉洁从政方面做的如何？</w:t>
            </w:r>
          </w:p>
        </w:tc>
        <w:tc>
          <w:tcPr>
            <w:tcW w:w="2460" w:type="dxa"/>
            <w:tcBorders>
              <w:top w:val="nil"/>
              <w:left w:val="nil"/>
              <w:bottom w:val="single" w:color="auto" w:sz="4" w:space="0"/>
              <w:right w:val="single" w:color="auto" w:sz="4" w:space="0"/>
            </w:tcBorders>
            <w:shd w:val="clear" w:color="auto" w:fill="auto"/>
            <w:noWrap/>
            <w:vAlign w:val="center"/>
          </w:tcPr>
          <w:p w14:paraId="3C427621">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A.较好</w:t>
            </w:r>
          </w:p>
        </w:tc>
        <w:tc>
          <w:tcPr>
            <w:tcW w:w="1380" w:type="dxa"/>
            <w:tcBorders>
              <w:top w:val="nil"/>
              <w:left w:val="nil"/>
              <w:bottom w:val="single" w:color="auto" w:sz="4" w:space="0"/>
              <w:right w:val="single" w:color="auto" w:sz="4" w:space="0"/>
            </w:tcBorders>
            <w:shd w:val="clear" w:color="auto" w:fill="auto"/>
            <w:noWrap/>
            <w:vAlign w:val="center"/>
          </w:tcPr>
          <w:p w14:paraId="0BEB995E">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w:t>
            </w:r>
          </w:p>
        </w:tc>
        <w:tc>
          <w:tcPr>
            <w:tcW w:w="1660" w:type="dxa"/>
            <w:tcBorders>
              <w:top w:val="nil"/>
              <w:left w:val="nil"/>
              <w:bottom w:val="single" w:color="auto" w:sz="4" w:space="0"/>
              <w:right w:val="single" w:color="auto" w:sz="4" w:space="0"/>
            </w:tcBorders>
            <w:shd w:val="clear" w:color="auto" w:fill="auto"/>
            <w:vAlign w:val="center"/>
          </w:tcPr>
          <w:p w14:paraId="02E2F025">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49</w:t>
            </w:r>
          </w:p>
        </w:tc>
      </w:tr>
      <w:tr w14:paraId="45FACDDA">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275BA022">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1625C4E3">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79E35E98">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xml:space="preserve">B.一般 </w:t>
            </w:r>
          </w:p>
        </w:tc>
        <w:tc>
          <w:tcPr>
            <w:tcW w:w="1380" w:type="dxa"/>
            <w:tcBorders>
              <w:top w:val="nil"/>
              <w:left w:val="nil"/>
              <w:bottom w:val="single" w:color="auto" w:sz="4" w:space="0"/>
              <w:right w:val="single" w:color="auto" w:sz="4" w:space="0"/>
            </w:tcBorders>
            <w:shd w:val="clear" w:color="auto" w:fill="auto"/>
            <w:noWrap/>
            <w:vAlign w:val="center"/>
          </w:tcPr>
          <w:p w14:paraId="1CDC9E96">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w:t>
            </w:r>
          </w:p>
        </w:tc>
        <w:tc>
          <w:tcPr>
            <w:tcW w:w="1660" w:type="dxa"/>
            <w:tcBorders>
              <w:top w:val="nil"/>
              <w:left w:val="nil"/>
              <w:bottom w:val="single" w:color="auto" w:sz="4" w:space="0"/>
              <w:right w:val="single" w:color="auto" w:sz="4" w:space="0"/>
            </w:tcBorders>
            <w:shd w:val="clear" w:color="auto" w:fill="auto"/>
            <w:vAlign w:val="center"/>
          </w:tcPr>
          <w:p w14:paraId="00127DAE">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r>
      <w:tr w14:paraId="55CC522C">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2443D9B8">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6D0BC833">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01C7385B">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xml:space="preserve">C.差 </w:t>
            </w:r>
          </w:p>
        </w:tc>
        <w:tc>
          <w:tcPr>
            <w:tcW w:w="1380" w:type="dxa"/>
            <w:tcBorders>
              <w:top w:val="nil"/>
              <w:left w:val="nil"/>
              <w:bottom w:val="single" w:color="auto" w:sz="4" w:space="0"/>
              <w:right w:val="single" w:color="auto" w:sz="4" w:space="0"/>
            </w:tcBorders>
            <w:shd w:val="clear" w:color="auto" w:fill="auto"/>
            <w:noWrap/>
            <w:vAlign w:val="center"/>
          </w:tcPr>
          <w:p w14:paraId="4104E80F">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c>
          <w:tcPr>
            <w:tcW w:w="1660" w:type="dxa"/>
            <w:tcBorders>
              <w:top w:val="nil"/>
              <w:left w:val="nil"/>
              <w:bottom w:val="single" w:color="auto" w:sz="4" w:space="0"/>
              <w:right w:val="single" w:color="auto" w:sz="4" w:space="0"/>
            </w:tcBorders>
            <w:shd w:val="clear" w:color="auto" w:fill="auto"/>
            <w:vAlign w:val="center"/>
          </w:tcPr>
          <w:p w14:paraId="7D9AAEE0">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r>
      <w:tr w14:paraId="620CEFF8">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noWrap/>
            <w:vAlign w:val="center"/>
          </w:tcPr>
          <w:p w14:paraId="7CD09B17">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w:t>
            </w:r>
          </w:p>
        </w:tc>
        <w:tc>
          <w:tcPr>
            <w:tcW w:w="2820" w:type="dxa"/>
            <w:vMerge w:val="restart"/>
            <w:tcBorders>
              <w:top w:val="nil"/>
              <w:left w:val="single" w:color="auto" w:sz="4" w:space="0"/>
              <w:bottom w:val="single" w:color="auto" w:sz="4" w:space="0"/>
              <w:right w:val="single" w:color="auto" w:sz="4" w:space="0"/>
            </w:tcBorders>
            <w:shd w:val="clear" w:color="auto" w:fill="auto"/>
            <w:vAlign w:val="center"/>
          </w:tcPr>
          <w:p w14:paraId="48073CEA">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您认为该部门办事程序是否合理？（如结婚证、领养手续、老年优待证等办理）</w:t>
            </w:r>
          </w:p>
        </w:tc>
        <w:tc>
          <w:tcPr>
            <w:tcW w:w="2460" w:type="dxa"/>
            <w:tcBorders>
              <w:top w:val="nil"/>
              <w:left w:val="nil"/>
              <w:bottom w:val="single" w:color="auto" w:sz="4" w:space="0"/>
              <w:right w:val="single" w:color="auto" w:sz="4" w:space="0"/>
            </w:tcBorders>
            <w:shd w:val="clear" w:color="auto" w:fill="auto"/>
            <w:noWrap/>
            <w:vAlign w:val="center"/>
          </w:tcPr>
          <w:p w14:paraId="12163468">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A.程序比较合理</w:t>
            </w:r>
          </w:p>
        </w:tc>
        <w:tc>
          <w:tcPr>
            <w:tcW w:w="1380" w:type="dxa"/>
            <w:tcBorders>
              <w:top w:val="nil"/>
              <w:left w:val="nil"/>
              <w:bottom w:val="single" w:color="auto" w:sz="4" w:space="0"/>
              <w:right w:val="single" w:color="auto" w:sz="4" w:space="0"/>
            </w:tcBorders>
            <w:shd w:val="clear" w:color="auto" w:fill="auto"/>
            <w:noWrap/>
            <w:vAlign w:val="center"/>
          </w:tcPr>
          <w:p w14:paraId="5DA1AD00">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w:t>
            </w:r>
          </w:p>
        </w:tc>
        <w:tc>
          <w:tcPr>
            <w:tcW w:w="1660" w:type="dxa"/>
            <w:tcBorders>
              <w:top w:val="nil"/>
              <w:left w:val="nil"/>
              <w:bottom w:val="single" w:color="auto" w:sz="4" w:space="0"/>
              <w:right w:val="single" w:color="auto" w:sz="4" w:space="0"/>
            </w:tcBorders>
            <w:shd w:val="clear" w:color="auto" w:fill="auto"/>
            <w:vAlign w:val="center"/>
          </w:tcPr>
          <w:p w14:paraId="22F91742">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49</w:t>
            </w:r>
          </w:p>
        </w:tc>
      </w:tr>
      <w:tr w14:paraId="702411B5">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3CEC4A75">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56438D2A">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4047FB63">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B.程序基本合理</w:t>
            </w:r>
          </w:p>
        </w:tc>
        <w:tc>
          <w:tcPr>
            <w:tcW w:w="1380" w:type="dxa"/>
            <w:tcBorders>
              <w:top w:val="nil"/>
              <w:left w:val="nil"/>
              <w:bottom w:val="single" w:color="auto" w:sz="4" w:space="0"/>
              <w:right w:val="single" w:color="auto" w:sz="4" w:space="0"/>
            </w:tcBorders>
            <w:shd w:val="clear" w:color="auto" w:fill="auto"/>
            <w:noWrap/>
            <w:vAlign w:val="center"/>
          </w:tcPr>
          <w:p w14:paraId="1302DBAC">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w:t>
            </w:r>
          </w:p>
        </w:tc>
        <w:tc>
          <w:tcPr>
            <w:tcW w:w="1660" w:type="dxa"/>
            <w:tcBorders>
              <w:top w:val="nil"/>
              <w:left w:val="nil"/>
              <w:bottom w:val="single" w:color="auto" w:sz="4" w:space="0"/>
              <w:right w:val="single" w:color="auto" w:sz="4" w:space="0"/>
            </w:tcBorders>
            <w:shd w:val="clear" w:color="auto" w:fill="auto"/>
            <w:vAlign w:val="center"/>
          </w:tcPr>
          <w:p w14:paraId="34C8BAEE">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r>
      <w:tr w14:paraId="0B843195">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1E8AF1D0">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74882740">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06F09735">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xml:space="preserve">C.程序复杂 </w:t>
            </w:r>
          </w:p>
        </w:tc>
        <w:tc>
          <w:tcPr>
            <w:tcW w:w="1380" w:type="dxa"/>
            <w:tcBorders>
              <w:top w:val="nil"/>
              <w:left w:val="nil"/>
              <w:bottom w:val="single" w:color="auto" w:sz="4" w:space="0"/>
              <w:right w:val="single" w:color="auto" w:sz="4" w:space="0"/>
            </w:tcBorders>
            <w:shd w:val="clear" w:color="auto" w:fill="auto"/>
            <w:noWrap/>
            <w:vAlign w:val="center"/>
          </w:tcPr>
          <w:p w14:paraId="2F01407C">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c>
          <w:tcPr>
            <w:tcW w:w="1660" w:type="dxa"/>
            <w:tcBorders>
              <w:top w:val="nil"/>
              <w:left w:val="nil"/>
              <w:bottom w:val="single" w:color="auto" w:sz="4" w:space="0"/>
              <w:right w:val="single" w:color="auto" w:sz="4" w:space="0"/>
            </w:tcBorders>
            <w:shd w:val="clear" w:color="auto" w:fill="auto"/>
            <w:vAlign w:val="center"/>
          </w:tcPr>
          <w:p w14:paraId="035500EB">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r>
      <w:tr w14:paraId="6491B338">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noWrap/>
            <w:vAlign w:val="center"/>
          </w:tcPr>
          <w:p w14:paraId="1C0F776F">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6</w:t>
            </w:r>
          </w:p>
        </w:tc>
        <w:tc>
          <w:tcPr>
            <w:tcW w:w="2820" w:type="dxa"/>
            <w:vMerge w:val="restart"/>
            <w:tcBorders>
              <w:top w:val="nil"/>
              <w:left w:val="single" w:color="auto" w:sz="4" w:space="0"/>
              <w:bottom w:val="single" w:color="auto" w:sz="4" w:space="0"/>
              <w:right w:val="single" w:color="auto" w:sz="4" w:space="0"/>
            </w:tcBorders>
            <w:shd w:val="clear" w:color="auto" w:fill="auto"/>
            <w:vAlign w:val="center"/>
          </w:tcPr>
          <w:p w14:paraId="2CB73E82">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您认为该部门办理事务是否方便？</w:t>
            </w:r>
          </w:p>
        </w:tc>
        <w:tc>
          <w:tcPr>
            <w:tcW w:w="2460" w:type="dxa"/>
            <w:tcBorders>
              <w:top w:val="nil"/>
              <w:left w:val="nil"/>
              <w:bottom w:val="single" w:color="auto" w:sz="4" w:space="0"/>
              <w:right w:val="single" w:color="auto" w:sz="4" w:space="0"/>
            </w:tcBorders>
            <w:shd w:val="clear" w:color="auto" w:fill="auto"/>
            <w:noWrap/>
            <w:vAlign w:val="center"/>
          </w:tcPr>
          <w:p w14:paraId="28A23540">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A.方便，高效</w:t>
            </w:r>
          </w:p>
        </w:tc>
        <w:tc>
          <w:tcPr>
            <w:tcW w:w="1380" w:type="dxa"/>
            <w:tcBorders>
              <w:top w:val="nil"/>
              <w:left w:val="nil"/>
              <w:bottom w:val="single" w:color="auto" w:sz="4" w:space="0"/>
              <w:right w:val="single" w:color="auto" w:sz="4" w:space="0"/>
            </w:tcBorders>
            <w:shd w:val="clear" w:color="auto" w:fill="auto"/>
            <w:noWrap/>
            <w:vAlign w:val="center"/>
          </w:tcPr>
          <w:p w14:paraId="37703BF9">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w:t>
            </w:r>
          </w:p>
        </w:tc>
        <w:tc>
          <w:tcPr>
            <w:tcW w:w="1660" w:type="dxa"/>
            <w:tcBorders>
              <w:top w:val="nil"/>
              <w:left w:val="nil"/>
              <w:bottom w:val="single" w:color="auto" w:sz="4" w:space="0"/>
              <w:right w:val="single" w:color="auto" w:sz="4" w:space="0"/>
            </w:tcBorders>
            <w:shd w:val="clear" w:color="auto" w:fill="auto"/>
            <w:vAlign w:val="center"/>
          </w:tcPr>
          <w:p w14:paraId="3D3C8C1D">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w:t>
            </w:r>
            <w:r>
              <w:rPr>
                <w:rFonts w:hint="eastAsia" w:ascii="Times New Roman" w:hAnsi="Times New Roman" w:eastAsia="仿宋" w:cs="Times New Roman"/>
                <w:color w:val="000000" w:themeColor="text1"/>
                <w:kern w:val="0"/>
                <w:szCs w:val="21"/>
              </w:rPr>
              <w:t>6</w:t>
            </w:r>
          </w:p>
        </w:tc>
      </w:tr>
      <w:tr w14:paraId="69A8A860">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04F1D778">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2098AC97">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2598E5A8">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B.方便，效率一般</w:t>
            </w:r>
          </w:p>
        </w:tc>
        <w:tc>
          <w:tcPr>
            <w:tcW w:w="1380" w:type="dxa"/>
            <w:tcBorders>
              <w:top w:val="nil"/>
              <w:left w:val="nil"/>
              <w:bottom w:val="single" w:color="auto" w:sz="4" w:space="0"/>
              <w:right w:val="single" w:color="auto" w:sz="4" w:space="0"/>
            </w:tcBorders>
            <w:shd w:val="clear" w:color="auto" w:fill="auto"/>
            <w:noWrap/>
            <w:vAlign w:val="center"/>
          </w:tcPr>
          <w:p w14:paraId="62E3FDDE">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w:t>
            </w:r>
          </w:p>
        </w:tc>
        <w:tc>
          <w:tcPr>
            <w:tcW w:w="1660" w:type="dxa"/>
            <w:tcBorders>
              <w:top w:val="nil"/>
              <w:left w:val="nil"/>
              <w:bottom w:val="single" w:color="auto" w:sz="4" w:space="0"/>
              <w:right w:val="single" w:color="auto" w:sz="4" w:space="0"/>
            </w:tcBorders>
            <w:shd w:val="clear" w:color="auto" w:fill="auto"/>
            <w:vAlign w:val="center"/>
          </w:tcPr>
          <w:p w14:paraId="25378B24">
            <w:pPr>
              <w:widowControl/>
              <w:jc w:val="center"/>
              <w:rPr>
                <w:rFonts w:ascii="Times New Roman" w:hAnsi="Times New Roman" w:eastAsia="仿宋" w:cs="Times New Roman"/>
                <w:color w:val="000000" w:themeColor="text1"/>
                <w:kern w:val="0"/>
                <w:szCs w:val="21"/>
              </w:rPr>
            </w:pPr>
            <w:r>
              <w:rPr>
                <w:rFonts w:hint="eastAsia" w:ascii="Times New Roman" w:hAnsi="Times New Roman" w:eastAsia="仿宋" w:cs="Times New Roman"/>
                <w:color w:val="000000" w:themeColor="text1"/>
                <w:kern w:val="0"/>
                <w:szCs w:val="21"/>
              </w:rPr>
              <w:t>3</w:t>
            </w:r>
          </w:p>
        </w:tc>
      </w:tr>
      <w:tr w14:paraId="36A73A24">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65C55185">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6D430F05">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5910C533">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C.不方便，效率低</w:t>
            </w:r>
          </w:p>
        </w:tc>
        <w:tc>
          <w:tcPr>
            <w:tcW w:w="1380" w:type="dxa"/>
            <w:tcBorders>
              <w:top w:val="nil"/>
              <w:left w:val="nil"/>
              <w:bottom w:val="single" w:color="auto" w:sz="4" w:space="0"/>
              <w:right w:val="single" w:color="auto" w:sz="4" w:space="0"/>
            </w:tcBorders>
            <w:shd w:val="clear" w:color="auto" w:fill="auto"/>
            <w:noWrap/>
            <w:vAlign w:val="center"/>
          </w:tcPr>
          <w:p w14:paraId="617E8741">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c>
          <w:tcPr>
            <w:tcW w:w="1660" w:type="dxa"/>
            <w:tcBorders>
              <w:top w:val="nil"/>
              <w:left w:val="nil"/>
              <w:bottom w:val="single" w:color="auto" w:sz="4" w:space="0"/>
              <w:right w:val="single" w:color="auto" w:sz="4" w:space="0"/>
            </w:tcBorders>
            <w:shd w:val="clear" w:color="auto" w:fill="auto"/>
            <w:vAlign w:val="center"/>
          </w:tcPr>
          <w:p w14:paraId="7AF7B251">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r>
      <w:tr w14:paraId="40126441">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noWrap/>
            <w:vAlign w:val="center"/>
          </w:tcPr>
          <w:p w14:paraId="7034B22F">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7</w:t>
            </w:r>
          </w:p>
        </w:tc>
        <w:tc>
          <w:tcPr>
            <w:tcW w:w="2820" w:type="dxa"/>
            <w:vMerge w:val="restart"/>
            <w:tcBorders>
              <w:top w:val="nil"/>
              <w:left w:val="single" w:color="auto" w:sz="4" w:space="0"/>
              <w:bottom w:val="single" w:color="auto" w:sz="4" w:space="0"/>
              <w:right w:val="single" w:color="auto" w:sz="4" w:space="0"/>
            </w:tcBorders>
            <w:shd w:val="clear" w:color="auto" w:fill="auto"/>
            <w:vAlign w:val="center"/>
          </w:tcPr>
          <w:p w14:paraId="22D6A904">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您认为该部门在开展救助活动方面做的如何</w:t>
            </w:r>
          </w:p>
        </w:tc>
        <w:tc>
          <w:tcPr>
            <w:tcW w:w="2460" w:type="dxa"/>
            <w:tcBorders>
              <w:top w:val="nil"/>
              <w:left w:val="nil"/>
              <w:bottom w:val="single" w:color="auto" w:sz="4" w:space="0"/>
              <w:right w:val="single" w:color="auto" w:sz="4" w:space="0"/>
            </w:tcBorders>
            <w:shd w:val="clear" w:color="auto" w:fill="auto"/>
            <w:noWrap/>
            <w:vAlign w:val="center"/>
          </w:tcPr>
          <w:p w14:paraId="5051473B">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A.经常开展</w:t>
            </w:r>
          </w:p>
        </w:tc>
        <w:tc>
          <w:tcPr>
            <w:tcW w:w="1380" w:type="dxa"/>
            <w:tcBorders>
              <w:top w:val="nil"/>
              <w:left w:val="nil"/>
              <w:bottom w:val="single" w:color="auto" w:sz="4" w:space="0"/>
              <w:right w:val="single" w:color="auto" w:sz="4" w:space="0"/>
            </w:tcBorders>
            <w:shd w:val="clear" w:color="auto" w:fill="auto"/>
            <w:noWrap/>
            <w:vAlign w:val="center"/>
          </w:tcPr>
          <w:p w14:paraId="27DBA005">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w:t>
            </w:r>
          </w:p>
        </w:tc>
        <w:tc>
          <w:tcPr>
            <w:tcW w:w="1660" w:type="dxa"/>
            <w:tcBorders>
              <w:top w:val="nil"/>
              <w:left w:val="nil"/>
              <w:bottom w:val="single" w:color="auto" w:sz="4" w:space="0"/>
              <w:right w:val="single" w:color="auto" w:sz="4" w:space="0"/>
            </w:tcBorders>
            <w:shd w:val="clear" w:color="auto" w:fill="auto"/>
            <w:vAlign w:val="center"/>
          </w:tcPr>
          <w:p w14:paraId="76611B9C">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w:t>
            </w:r>
            <w:r>
              <w:rPr>
                <w:rFonts w:hint="eastAsia" w:ascii="Times New Roman" w:hAnsi="Times New Roman" w:eastAsia="仿宋" w:cs="Times New Roman"/>
                <w:color w:val="000000" w:themeColor="text1"/>
                <w:kern w:val="0"/>
                <w:szCs w:val="21"/>
              </w:rPr>
              <w:t>7</w:t>
            </w:r>
          </w:p>
        </w:tc>
      </w:tr>
      <w:tr w14:paraId="10B3B31B">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7D6FE865">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63E39606">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56691235">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B.偶尔开展</w:t>
            </w:r>
          </w:p>
        </w:tc>
        <w:tc>
          <w:tcPr>
            <w:tcW w:w="1380" w:type="dxa"/>
            <w:tcBorders>
              <w:top w:val="nil"/>
              <w:left w:val="nil"/>
              <w:bottom w:val="single" w:color="auto" w:sz="4" w:space="0"/>
              <w:right w:val="single" w:color="auto" w:sz="4" w:space="0"/>
            </w:tcBorders>
            <w:shd w:val="clear" w:color="auto" w:fill="auto"/>
            <w:noWrap/>
            <w:vAlign w:val="center"/>
          </w:tcPr>
          <w:p w14:paraId="728B9423">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w:t>
            </w:r>
          </w:p>
        </w:tc>
        <w:tc>
          <w:tcPr>
            <w:tcW w:w="1660" w:type="dxa"/>
            <w:tcBorders>
              <w:top w:val="nil"/>
              <w:left w:val="nil"/>
              <w:bottom w:val="single" w:color="auto" w:sz="4" w:space="0"/>
              <w:right w:val="single" w:color="auto" w:sz="4" w:space="0"/>
            </w:tcBorders>
            <w:shd w:val="clear" w:color="auto" w:fill="auto"/>
            <w:vAlign w:val="center"/>
          </w:tcPr>
          <w:p w14:paraId="0B0F2540">
            <w:pPr>
              <w:widowControl/>
              <w:jc w:val="center"/>
              <w:rPr>
                <w:rFonts w:ascii="Times New Roman" w:hAnsi="Times New Roman" w:eastAsia="仿宋" w:cs="Times New Roman"/>
                <w:color w:val="000000" w:themeColor="text1"/>
                <w:kern w:val="0"/>
                <w:szCs w:val="21"/>
              </w:rPr>
            </w:pPr>
            <w:r>
              <w:rPr>
                <w:rFonts w:hint="eastAsia" w:ascii="Times New Roman" w:hAnsi="Times New Roman" w:eastAsia="仿宋" w:cs="Times New Roman"/>
                <w:color w:val="000000" w:themeColor="text1"/>
                <w:kern w:val="0"/>
                <w:szCs w:val="21"/>
              </w:rPr>
              <w:t>2</w:t>
            </w:r>
          </w:p>
        </w:tc>
      </w:tr>
      <w:tr w14:paraId="760F7FD4">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36180129">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5EC210DD">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3791FE91">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C.不开展</w:t>
            </w:r>
          </w:p>
        </w:tc>
        <w:tc>
          <w:tcPr>
            <w:tcW w:w="1380" w:type="dxa"/>
            <w:tcBorders>
              <w:top w:val="nil"/>
              <w:left w:val="nil"/>
              <w:bottom w:val="single" w:color="auto" w:sz="4" w:space="0"/>
              <w:right w:val="single" w:color="auto" w:sz="4" w:space="0"/>
            </w:tcBorders>
            <w:shd w:val="clear" w:color="auto" w:fill="auto"/>
            <w:noWrap/>
            <w:vAlign w:val="center"/>
          </w:tcPr>
          <w:p w14:paraId="4DE105A4">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c>
          <w:tcPr>
            <w:tcW w:w="1660" w:type="dxa"/>
            <w:tcBorders>
              <w:top w:val="nil"/>
              <w:left w:val="nil"/>
              <w:bottom w:val="single" w:color="auto" w:sz="4" w:space="0"/>
              <w:right w:val="single" w:color="auto" w:sz="4" w:space="0"/>
            </w:tcBorders>
            <w:shd w:val="clear" w:color="auto" w:fill="auto"/>
            <w:vAlign w:val="center"/>
          </w:tcPr>
          <w:p w14:paraId="256ED7F5">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r>
      <w:tr w14:paraId="219845B8">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noWrap/>
            <w:vAlign w:val="center"/>
          </w:tcPr>
          <w:p w14:paraId="0EAA3CB4">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8</w:t>
            </w:r>
          </w:p>
        </w:tc>
        <w:tc>
          <w:tcPr>
            <w:tcW w:w="2820" w:type="dxa"/>
            <w:vMerge w:val="restart"/>
            <w:tcBorders>
              <w:top w:val="nil"/>
              <w:left w:val="single" w:color="auto" w:sz="4" w:space="0"/>
              <w:bottom w:val="single" w:color="auto" w:sz="4" w:space="0"/>
              <w:right w:val="single" w:color="auto" w:sz="4" w:space="0"/>
            </w:tcBorders>
            <w:shd w:val="clear" w:color="auto" w:fill="auto"/>
            <w:vAlign w:val="center"/>
          </w:tcPr>
          <w:p w14:paraId="32F079F9">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您对该部门的服务态度、服务质量是否满意？</w:t>
            </w:r>
          </w:p>
        </w:tc>
        <w:tc>
          <w:tcPr>
            <w:tcW w:w="2460" w:type="dxa"/>
            <w:tcBorders>
              <w:top w:val="nil"/>
              <w:left w:val="nil"/>
              <w:bottom w:val="single" w:color="auto" w:sz="4" w:space="0"/>
              <w:right w:val="single" w:color="auto" w:sz="4" w:space="0"/>
            </w:tcBorders>
            <w:shd w:val="clear" w:color="auto" w:fill="auto"/>
            <w:noWrap/>
            <w:vAlign w:val="center"/>
          </w:tcPr>
          <w:p w14:paraId="278B097E">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xml:space="preserve">A.非常满意 </w:t>
            </w:r>
          </w:p>
        </w:tc>
        <w:tc>
          <w:tcPr>
            <w:tcW w:w="1380" w:type="dxa"/>
            <w:tcBorders>
              <w:top w:val="nil"/>
              <w:left w:val="nil"/>
              <w:bottom w:val="single" w:color="auto" w:sz="4" w:space="0"/>
              <w:right w:val="single" w:color="auto" w:sz="4" w:space="0"/>
            </w:tcBorders>
            <w:shd w:val="clear" w:color="auto" w:fill="auto"/>
            <w:noWrap/>
            <w:vAlign w:val="center"/>
          </w:tcPr>
          <w:p w14:paraId="739C86CC">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w:t>
            </w:r>
          </w:p>
        </w:tc>
        <w:tc>
          <w:tcPr>
            <w:tcW w:w="1660" w:type="dxa"/>
            <w:tcBorders>
              <w:top w:val="nil"/>
              <w:left w:val="nil"/>
              <w:bottom w:val="single" w:color="auto" w:sz="4" w:space="0"/>
              <w:right w:val="single" w:color="auto" w:sz="4" w:space="0"/>
            </w:tcBorders>
            <w:shd w:val="clear" w:color="auto" w:fill="auto"/>
            <w:vAlign w:val="center"/>
          </w:tcPr>
          <w:p w14:paraId="077BB10C">
            <w:pPr>
              <w:widowControl/>
              <w:jc w:val="center"/>
              <w:rPr>
                <w:rFonts w:ascii="Times New Roman" w:hAnsi="Times New Roman" w:eastAsia="仿宋" w:cs="Times New Roman"/>
                <w:color w:val="000000" w:themeColor="text1"/>
                <w:kern w:val="0"/>
                <w:szCs w:val="21"/>
              </w:rPr>
            </w:pPr>
            <w:r>
              <w:rPr>
                <w:rFonts w:hint="eastAsia" w:ascii="Times New Roman" w:hAnsi="Times New Roman" w:eastAsia="仿宋" w:cs="Times New Roman"/>
                <w:color w:val="000000" w:themeColor="text1"/>
                <w:kern w:val="0"/>
                <w:szCs w:val="21"/>
              </w:rPr>
              <w:t>48</w:t>
            </w:r>
          </w:p>
        </w:tc>
      </w:tr>
      <w:tr w14:paraId="547D2586">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4A0090FA">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172E2452">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6AF6482B">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B.基本满意</w:t>
            </w:r>
          </w:p>
        </w:tc>
        <w:tc>
          <w:tcPr>
            <w:tcW w:w="1380" w:type="dxa"/>
            <w:tcBorders>
              <w:top w:val="nil"/>
              <w:left w:val="nil"/>
              <w:bottom w:val="single" w:color="auto" w:sz="4" w:space="0"/>
              <w:right w:val="single" w:color="auto" w:sz="4" w:space="0"/>
            </w:tcBorders>
            <w:shd w:val="clear" w:color="auto" w:fill="auto"/>
            <w:noWrap/>
            <w:vAlign w:val="center"/>
          </w:tcPr>
          <w:p w14:paraId="6B868C1E">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w:t>
            </w:r>
          </w:p>
        </w:tc>
        <w:tc>
          <w:tcPr>
            <w:tcW w:w="1660" w:type="dxa"/>
            <w:tcBorders>
              <w:top w:val="nil"/>
              <w:left w:val="nil"/>
              <w:bottom w:val="single" w:color="auto" w:sz="4" w:space="0"/>
              <w:right w:val="single" w:color="auto" w:sz="4" w:space="0"/>
            </w:tcBorders>
            <w:shd w:val="clear" w:color="auto" w:fill="auto"/>
            <w:vAlign w:val="center"/>
          </w:tcPr>
          <w:p w14:paraId="579B66AF">
            <w:pPr>
              <w:widowControl/>
              <w:jc w:val="center"/>
              <w:rPr>
                <w:rFonts w:ascii="Times New Roman" w:hAnsi="Times New Roman" w:eastAsia="仿宋" w:cs="Times New Roman"/>
                <w:color w:val="000000" w:themeColor="text1"/>
                <w:kern w:val="0"/>
                <w:szCs w:val="21"/>
              </w:rPr>
            </w:pPr>
            <w:r>
              <w:rPr>
                <w:rFonts w:hint="eastAsia" w:ascii="Times New Roman" w:hAnsi="Times New Roman" w:eastAsia="仿宋" w:cs="Times New Roman"/>
                <w:color w:val="000000" w:themeColor="text1"/>
                <w:kern w:val="0"/>
                <w:szCs w:val="21"/>
              </w:rPr>
              <w:t>1</w:t>
            </w:r>
          </w:p>
        </w:tc>
      </w:tr>
      <w:tr w14:paraId="7CCF74BC">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03FAA0BE">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08CF79B7">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689D2127">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C.不满意</w:t>
            </w:r>
          </w:p>
        </w:tc>
        <w:tc>
          <w:tcPr>
            <w:tcW w:w="1380" w:type="dxa"/>
            <w:tcBorders>
              <w:top w:val="nil"/>
              <w:left w:val="nil"/>
              <w:bottom w:val="single" w:color="auto" w:sz="4" w:space="0"/>
              <w:right w:val="single" w:color="auto" w:sz="4" w:space="0"/>
            </w:tcBorders>
            <w:shd w:val="clear" w:color="auto" w:fill="auto"/>
            <w:noWrap/>
            <w:vAlign w:val="center"/>
          </w:tcPr>
          <w:p w14:paraId="0B735E3B">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c>
          <w:tcPr>
            <w:tcW w:w="1660" w:type="dxa"/>
            <w:tcBorders>
              <w:top w:val="nil"/>
              <w:left w:val="nil"/>
              <w:bottom w:val="single" w:color="auto" w:sz="4" w:space="0"/>
              <w:right w:val="single" w:color="auto" w:sz="4" w:space="0"/>
            </w:tcBorders>
            <w:shd w:val="clear" w:color="auto" w:fill="auto"/>
            <w:vAlign w:val="center"/>
          </w:tcPr>
          <w:p w14:paraId="1F11A8DE">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r>
      <w:tr w14:paraId="24A9AB63">
        <w:tblPrEx>
          <w:tblCellMar>
            <w:top w:w="0" w:type="dxa"/>
            <w:left w:w="108" w:type="dxa"/>
            <w:bottom w:w="0" w:type="dxa"/>
            <w:right w:w="108" w:type="dxa"/>
          </w:tblCellMar>
        </w:tblPrEx>
        <w:trPr>
          <w:trHeight w:val="369"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noWrap/>
            <w:vAlign w:val="center"/>
          </w:tcPr>
          <w:p w14:paraId="63CDDF66">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9</w:t>
            </w:r>
          </w:p>
        </w:tc>
        <w:tc>
          <w:tcPr>
            <w:tcW w:w="2820" w:type="dxa"/>
            <w:vMerge w:val="restart"/>
            <w:tcBorders>
              <w:top w:val="nil"/>
              <w:left w:val="single" w:color="auto" w:sz="4" w:space="0"/>
              <w:bottom w:val="single" w:color="auto" w:sz="4" w:space="0"/>
              <w:right w:val="single" w:color="auto" w:sz="4" w:space="0"/>
            </w:tcBorders>
            <w:shd w:val="clear" w:color="auto" w:fill="auto"/>
            <w:vAlign w:val="center"/>
          </w:tcPr>
          <w:p w14:paraId="65C16E8A">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您对部门在信息公开方面（如党务、政务、办事程序、财务等方面）的评价如何？</w:t>
            </w:r>
          </w:p>
        </w:tc>
        <w:tc>
          <w:tcPr>
            <w:tcW w:w="2460" w:type="dxa"/>
            <w:tcBorders>
              <w:top w:val="nil"/>
              <w:left w:val="nil"/>
              <w:bottom w:val="single" w:color="auto" w:sz="4" w:space="0"/>
              <w:right w:val="single" w:color="auto" w:sz="4" w:space="0"/>
            </w:tcBorders>
            <w:shd w:val="clear" w:color="auto" w:fill="auto"/>
            <w:noWrap/>
            <w:vAlign w:val="center"/>
          </w:tcPr>
          <w:p w14:paraId="5D3795DB">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A.非常满意</w:t>
            </w:r>
          </w:p>
        </w:tc>
        <w:tc>
          <w:tcPr>
            <w:tcW w:w="1380" w:type="dxa"/>
            <w:tcBorders>
              <w:top w:val="nil"/>
              <w:left w:val="nil"/>
              <w:bottom w:val="single" w:color="auto" w:sz="4" w:space="0"/>
              <w:right w:val="single" w:color="auto" w:sz="4" w:space="0"/>
            </w:tcBorders>
            <w:shd w:val="clear" w:color="auto" w:fill="auto"/>
            <w:noWrap/>
            <w:vAlign w:val="center"/>
          </w:tcPr>
          <w:p w14:paraId="35FB58E5">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w:t>
            </w:r>
          </w:p>
        </w:tc>
        <w:tc>
          <w:tcPr>
            <w:tcW w:w="1660" w:type="dxa"/>
            <w:tcBorders>
              <w:top w:val="nil"/>
              <w:left w:val="nil"/>
              <w:bottom w:val="single" w:color="auto" w:sz="4" w:space="0"/>
              <w:right w:val="single" w:color="auto" w:sz="4" w:space="0"/>
            </w:tcBorders>
            <w:shd w:val="clear" w:color="auto" w:fill="auto"/>
            <w:vAlign w:val="center"/>
          </w:tcPr>
          <w:p w14:paraId="0FD60BAB">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45</w:t>
            </w:r>
          </w:p>
        </w:tc>
      </w:tr>
      <w:tr w14:paraId="48AEE630">
        <w:tblPrEx>
          <w:tblCellMar>
            <w:top w:w="0" w:type="dxa"/>
            <w:left w:w="108" w:type="dxa"/>
            <w:bottom w:w="0" w:type="dxa"/>
            <w:right w:w="108" w:type="dxa"/>
          </w:tblCellMar>
        </w:tblPrEx>
        <w:trPr>
          <w:trHeight w:val="369"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33DAF652">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262B1978">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025277C9">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B.基本满意</w:t>
            </w:r>
          </w:p>
        </w:tc>
        <w:tc>
          <w:tcPr>
            <w:tcW w:w="1380" w:type="dxa"/>
            <w:tcBorders>
              <w:top w:val="nil"/>
              <w:left w:val="nil"/>
              <w:bottom w:val="single" w:color="auto" w:sz="4" w:space="0"/>
              <w:right w:val="single" w:color="auto" w:sz="4" w:space="0"/>
            </w:tcBorders>
            <w:shd w:val="clear" w:color="auto" w:fill="auto"/>
            <w:noWrap/>
            <w:vAlign w:val="center"/>
          </w:tcPr>
          <w:p w14:paraId="6F0C1392">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w:t>
            </w:r>
          </w:p>
        </w:tc>
        <w:tc>
          <w:tcPr>
            <w:tcW w:w="1660" w:type="dxa"/>
            <w:tcBorders>
              <w:top w:val="nil"/>
              <w:left w:val="nil"/>
              <w:bottom w:val="single" w:color="auto" w:sz="4" w:space="0"/>
              <w:right w:val="single" w:color="auto" w:sz="4" w:space="0"/>
            </w:tcBorders>
            <w:shd w:val="clear" w:color="auto" w:fill="auto"/>
            <w:vAlign w:val="center"/>
          </w:tcPr>
          <w:p w14:paraId="178AA12E">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w:t>
            </w:r>
          </w:p>
        </w:tc>
      </w:tr>
      <w:tr w14:paraId="4C71E56E">
        <w:tblPrEx>
          <w:tblCellMar>
            <w:top w:w="0" w:type="dxa"/>
            <w:left w:w="108" w:type="dxa"/>
            <w:bottom w:w="0" w:type="dxa"/>
            <w:right w:w="108" w:type="dxa"/>
          </w:tblCellMar>
        </w:tblPrEx>
        <w:trPr>
          <w:trHeight w:val="369"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133FC236">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23C30236">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03CEDECB">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C.不满意</w:t>
            </w:r>
          </w:p>
        </w:tc>
        <w:tc>
          <w:tcPr>
            <w:tcW w:w="1380" w:type="dxa"/>
            <w:tcBorders>
              <w:top w:val="nil"/>
              <w:left w:val="nil"/>
              <w:bottom w:val="single" w:color="auto" w:sz="4" w:space="0"/>
              <w:right w:val="single" w:color="auto" w:sz="4" w:space="0"/>
            </w:tcBorders>
            <w:shd w:val="clear" w:color="auto" w:fill="auto"/>
            <w:noWrap/>
            <w:vAlign w:val="center"/>
          </w:tcPr>
          <w:p w14:paraId="75FDABE2">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c>
          <w:tcPr>
            <w:tcW w:w="1660" w:type="dxa"/>
            <w:tcBorders>
              <w:top w:val="nil"/>
              <w:left w:val="nil"/>
              <w:bottom w:val="single" w:color="auto" w:sz="4" w:space="0"/>
              <w:right w:val="single" w:color="auto" w:sz="4" w:space="0"/>
            </w:tcBorders>
            <w:shd w:val="clear" w:color="auto" w:fill="auto"/>
            <w:vAlign w:val="center"/>
          </w:tcPr>
          <w:p w14:paraId="28BC8A9F">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r>
      <w:tr w14:paraId="056A75C0">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noWrap/>
            <w:vAlign w:val="center"/>
          </w:tcPr>
          <w:p w14:paraId="6EED5AFF">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w:t>
            </w:r>
          </w:p>
        </w:tc>
        <w:tc>
          <w:tcPr>
            <w:tcW w:w="2820" w:type="dxa"/>
            <w:vMerge w:val="restart"/>
            <w:tcBorders>
              <w:top w:val="nil"/>
              <w:left w:val="single" w:color="auto" w:sz="4" w:space="0"/>
              <w:bottom w:val="single" w:color="auto" w:sz="4" w:space="0"/>
              <w:right w:val="single" w:color="auto" w:sz="4" w:space="0"/>
            </w:tcBorders>
            <w:shd w:val="clear" w:color="auto" w:fill="auto"/>
            <w:vAlign w:val="center"/>
          </w:tcPr>
          <w:p w14:paraId="3A3B1E78">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您对该部门工作现状的总体评价？</w:t>
            </w:r>
          </w:p>
        </w:tc>
        <w:tc>
          <w:tcPr>
            <w:tcW w:w="2460" w:type="dxa"/>
            <w:tcBorders>
              <w:top w:val="nil"/>
              <w:left w:val="nil"/>
              <w:bottom w:val="single" w:color="auto" w:sz="4" w:space="0"/>
              <w:right w:val="single" w:color="auto" w:sz="4" w:space="0"/>
            </w:tcBorders>
            <w:shd w:val="clear" w:color="auto" w:fill="auto"/>
            <w:noWrap/>
            <w:vAlign w:val="center"/>
          </w:tcPr>
          <w:p w14:paraId="3CFB6453">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A.非常满意</w:t>
            </w:r>
          </w:p>
        </w:tc>
        <w:tc>
          <w:tcPr>
            <w:tcW w:w="1380" w:type="dxa"/>
            <w:tcBorders>
              <w:top w:val="nil"/>
              <w:left w:val="nil"/>
              <w:bottom w:val="single" w:color="auto" w:sz="4" w:space="0"/>
              <w:right w:val="single" w:color="auto" w:sz="4" w:space="0"/>
            </w:tcBorders>
            <w:shd w:val="clear" w:color="auto" w:fill="auto"/>
            <w:noWrap/>
            <w:vAlign w:val="center"/>
          </w:tcPr>
          <w:p w14:paraId="561D3910">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w:t>
            </w:r>
          </w:p>
        </w:tc>
        <w:tc>
          <w:tcPr>
            <w:tcW w:w="1660" w:type="dxa"/>
            <w:tcBorders>
              <w:top w:val="nil"/>
              <w:left w:val="nil"/>
              <w:bottom w:val="single" w:color="auto" w:sz="4" w:space="0"/>
              <w:right w:val="single" w:color="auto" w:sz="4" w:space="0"/>
            </w:tcBorders>
            <w:shd w:val="clear" w:color="auto" w:fill="auto"/>
            <w:vAlign w:val="center"/>
          </w:tcPr>
          <w:p w14:paraId="406B88DB">
            <w:pPr>
              <w:widowControl/>
              <w:jc w:val="center"/>
              <w:rPr>
                <w:rFonts w:hint="eastAsia" w:ascii="Times New Roman" w:hAnsi="Times New Roman" w:eastAsia="仿宋" w:cs="Times New Roman"/>
                <w:color w:val="000000" w:themeColor="text1"/>
                <w:kern w:val="0"/>
                <w:szCs w:val="21"/>
                <w:lang w:eastAsia="zh-CN"/>
              </w:rPr>
            </w:pPr>
            <w:r>
              <w:rPr>
                <w:rFonts w:ascii="Times New Roman" w:hAnsi="Times New Roman" w:eastAsia="仿宋" w:cs="Times New Roman"/>
                <w:color w:val="000000" w:themeColor="text1"/>
                <w:kern w:val="0"/>
                <w:szCs w:val="21"/>
              </w:rPr>
              <w:t>4</w:t>
            </w:r>
            <w:r>
              <w:rPr>
                <w:rFonts w:hint="eastAsia" w:ascii="Times New Roman" w:hAnsi="Times New Roman" w:eastAsia="仿宋" w:cs="Times New Roman"/>
                <w:color w:val="000000" w:themeColor="text1"/>
                <w:kern w:val="0"/>
                <w:szCs w:val="21"/>
                <w:lang w:val="en-US" w:eastAsia="zh-CN"/>
              </w:rPr>
              <w:t>7</w:t>
            </w:r>
          </w:p>
        </w:tc>
      </w:tr>
      <w:tr w14:paraId="6CD5CD89">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1153176A">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341D638D">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4DC7E1BF">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xml:space="preserve">C.基本满意 </w:t>
            </w:r>
          </w:p>
        </w:tc>
        <w:tc>
          <w:tcPr>
            <w:tcW w:w="1380" w:type="dxa"/>
            <w:tcBorders>
              <w:top w:val="nil"/>
              <w:left w:val="nil"/>
              <w:bottom w:val="single" w:color="auto" w:sz="4" w:space="0"/>
              <w:right w:val="single" w:color="auto" w:sz="4" w:space="0"/>
            </w:tcBorders>
            <w:shd w:val="clear" w:color="auto" w:fill="auto"/>
            <w:noWrap/>
            <w:vAlign w:val="center"/>
          </w:tcPr>
          <w:p w14:paraId="10CAAF6A">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5</w:t>
            </w:r>
          </w:p>
        </w:tc>
        <w:tc>
          <w:tcPr>
            <w:tcW w:w="1660" w:type="dxa"/>
            <w:tcBorders>
              <w:top w:val="nil"/>
              <w:left w:val="nil"/>
              <w:bottom w:val="single" w:color="auto" w:sz="4" w:space="0"/>
              <w:right w:val="single" w:color="auto" w:sz="4" w:space="0"/>
            </w:tcBorders>
            <w:shd w:val="clear" w:color="auto" w:fill="auto"/>
            <w:vAlign w:val="center"/>
          </w:tcPr>
          <w:p w14:paraId="10D0C2A0">
            <w:pPr>
              <w:widowControl/>
              <w:jc w:val="center"/>
              <w:rPr>
                <w:rFonts w:hint="eastAsia" w:ascii="Times New Roman" w:hAnsi="Times New Roman" w:eastAsia="仿宋" w:cs="Times New Roman"/>
                <w:color w:val="000000" w:themeColor="text1"/>
                <w:kern w:val="0"/>
                <w:szCs w:val="21"/>
                <w:lang w:eastAsia="zh-CN"/>
              </w:rPr>
            </w:pPr>
            <w:r>
              <w:rPr>
                <w:rFonts w:hint="eastAsia" w:ascii="Times New Roman" w:hAnsi="Times New Roman" w:eastAsia="仿宋" w:cs="Times New Roman"/>
                <w:color w:val="000000" w:themeColor="text1"/>
                <w:kern w:val="0"/>
                <w:szCs w:val="21"/>
                <w:lang w:val="en-US" w:eastAsia="zh-CN"/>
              </w:rPr>
              <w:t>2</w:t>
            </w:r>
          </w:p>
        </w:tc>
      </w:tr>
      <w:tr w14:paraId="59DF182A">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32AF9B84">
            <w:pPr>
              <w:widowControl/>
              <w:jc w:val="left"/>
              <w:rPr>
                <w:rFonts w:ascii="Times New Roman" w:hAnsi="Times New Roman" w:eastAsia="仿宋" w:cs="Times New Roman"/>
                <w:color w:val="000000" w:themeColor="text1"/>
                <w:kern w:val="0"/>
                <w:szCs w:val="21"/>
              </w:rPr>
            </w:pPr>
          </w:p>
        </w:tc>
        <w:tc>
          <w:tcPr>
            <w:tcW w:w="2820" w:type="dxa"/>
            <w:vMerge w:val="continue"/>
            <w:tcBorders>
              <w:top w:val="nil"/>
              <w:left w:val="single" w:color="auto" w:sz="4" w:space="0"/>
              <w:bottom w:val="single" w:color="auto" w:sz="4" w:space="0"/>
              <w:right w:val="single" w:color="auto" w:sz="4" w:space="0"/>
            </w:tcBorders>
            <w:vAlign w:val="center"/>
          </w:tcPr>
          <w:p w14:paraId="7D32EA92">
            <w:pPr>
              <w:widowControl/>
              <w:jc w:val="left"/>
              <w:rPr>
                <w:rFonts w:ascii="Times New Roman" w:hAnsi="Times New Roman" w:eastAsia="仿宋" w:cs="Times New Roman"/>
                <w:color w:val="000000" w:themeColor="text1"/>
                <w:kern w:val="0"/>
                <w:szCs w:val="21"/>
              </w:rPr>
            </w:pPr>
          </w:p>
        </w:tc>
        <w:tc>
          <w:tcPr>
            <w:tcW w:w="2460" w:type="dxa"/>
            <w:tcBorders>
              <w:top w:val="nil"/>
              <w:left w:val="nil"/>
              <w:bottom w:val="single" w:color="auto" w:sz="4" w:space="0"/>
              <w:right w:val="single" w:color="auto" w:sz="4" w:space="0"/>
            </w:tcBorders>
            <w:shd w:val="clear" w:color="auto" w:fill="auto"/>
            <w:noWrap/>
            <w:vAlign w:val="center"/>
          </w:tcPr>
          <w:p w14:paraId="0AE587E6">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D.不满意</w:t>
            </w:r>
          </w:p>
        </w:tc>
        <w:tc>
          <w:tcPr>
            <w:tcW w:w="1380" w:type="dxa"/>
            <w:tcBorders>
              <w:top w:val="nil"/>
              <w:left w:val="nil"/>
              <w:bottom w:val="single" w:color="auto" w:sz="4" w:space="0"/>
              <w:right w:val="single" w:color="auto" w:sz="4" w:space="0"/>
            </w:tcBorders>
            <w:shd w:val="clear" w:color="auto" w:fill="auto"/>
            <w:noWrap/>
            <w:vAlign w:val="center"/>
          </w:tcPr>
          <w:p w14:paraId="33695E8C">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c>
          <w:tcPr>
            <w:tcW w:w="1660" w:type="dxa"/>
            <w:tcBorders>
              <w:top w:val="nil"/>
              <w:left w:val="nil"/>
              <w:bottom w:val="single" w:color="auto" w:sz="4" w:space="0"/>
              <w:right w:val="single" w:color="auto" w:sz="4" w:space="0"/>
            </w:tcBorders>
            <w:shd w:val="clear" w:color="auto" w:fill="auto"/>
            <w:vAlign w:val="center"/>
          </w:tcPr>
          <w:p w14:paraId="16877489">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0</w:t>
            </w:r>
          </w:p>
        </w:tc>
      </w:tr>
      <w:tr w14:paraId="53FB9A46">
        <w:tblPrEx>
          <w:tblCellMar>
            <w:top w:w="0" w:type="dxa"/>
            <w:left w:w="108" w:type="dxa"/>
            <w:bottom w:w="0" w:type="dxa"/>
            <w:right w:w="108" w:type="dxa"/>
          </w:tblCellMar>
        </w:tblPrEx>
        <w:trPr>
          <w:trHeight w:val="276" w:hRule="atLeast"/>
          <w:jc w:val="center"/>
        </w:trPr>
        <w:tc>
          <w:tcPr>
            <w:tcW w:w="37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4DBE510">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问卷总分</w:t>
            </w:r>
          </w:p>
        </w:tc>
        <w:tc>
          <w:tcPr>
            <w:tcW w:w="2460" w:type="dxa"/>
            <w:tcBorders>
              <w:top w:val="nil"/>
              <w:left w:val="nil"/>
              <w:bottom w:val="single" w:color="auto" w:sz="4" w:space="0"/>
              <w:right w:val="single" w:color="auto" w:sz="4" w:space="0"/>
            </w:tcBorders>
            <w:shd w:val="clear" w:color="auto" w:fill="auto"/>
            <w:vAlign w:val="center"/>
          </w:tcPr>
          <w:p w14:paraId="338EF53A">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w:t>
            </w:r>
          </w:p>
        </w:tc>
        <w:tc>
          <w:tcPr>
            <w:tcW w:w="1380" w:type="dxa"/>
            <w:tcBorders>
              <w:top w:val="nil"/>
              <w:left w:val="nil"/>
              <w:bottom w:val="single" w:color="auto" w:sz="4" w:space="0"/>
              <w:right w:val="single" w:color="auto" w:sz="4" w:space="0"/>
            </w:tcBorders>
            <w:shd w:val="clear" w:color="auto" w:fill="auto"/>
            <w:vAlign w:val="center"/>
          </w:tcPr>
          <w:p w14:paraId="628942B3">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100</w:t>
            </w:r>
          </w:p>
        </w:tc>
        <w:tc>
          <w:tcPr>
            <w:tcW w:w="1660" w:type="dxa"/>
            <w:tcBorders>
              <w:top w:val="nil"/>
              <w:left w:val="nil"/>
              <w:bottom w:val="single" w:color="auto" w:sz="4" w:space="0"/>
              <w:right w:val="single" w:color="auto" w:sz="4" w:space="0"/>
            </w:tcBorders>
            <w:shd w:val="clear" w:color="auto" w:fill="auto"/>
            <w:vAlign w:val="center"/>
          </w:tcPr>
          <w:p w14:paraId="423F2A3B">
            <w:pPr>
              <w:widowControl/>
              <w:jc w:val="center"/>
              <w:rPr>
                <w:rFonts w:hint="default" w:ascii="Times New Roman" w:hAnsi="Times New Roman" w:eastAsia="仿宋" w:cs="Times New Roman"/>
                <w:color w:val="000000" w:themeColor="text1"/>
                <w:kern w:val="0"/>
                <w:szCs w:val="21"/>
                <w:lang w:val="en-US" w:eastAsia="zh-CN"/>
              </w:rPr>
            </w:pPr>
            <w:r>
              <w:rPr>
                <w:rFonts w:ascii="Times New Roman" w:hAnsi="Times New Roman" w:eastAsia="仿宋" w:cs="Times New Roman"/>
                <w:color w:val="000000" w:themeColor="text1"/>
                <w:kern w:val="0"/>
                <w:szCs w:val="21"/>
              </w:rPr>
              <w:t>48</w:t>
            </w:r>
            <w:r>
              <w:rPr>
                <w:rFonts w:hint="eastAsia" w:ascii="Times New Roman" w:hAnsi="Times New Roman" w:eastAsia="仿宋" w:cs="Times New Roman"/>
                <w:color w:val="000000" w:themeColor="text1"/>
                <w:kern w:val="0"/>
                <w:szCs w:val="21"/>
                <w:lang w:val="en-US" w:eastAsia="zh-CN"/>
              </w:rPr>
              <w:t>35</w:t>
            </w:r>
          </w:p>
        </w:tc>
      </w:tr>
      <w:tr w14:paraId="2BA75F38">
        <w:tblPrEx>
          <w:tblCellMar>
            <w:top w:w="0" w:type="dxa"/>
            <w:left w:w="108" w:type="dxa"/>
            <w:bottom w:w="0" w:type="dxa"/>
            <w:right w:w="108" w:type="dxa"/>
          </w:tblCellMar>
        </w:tblPrEx>
        <w:trPr>
          <w:trHeight w:val="291" w:hRule="atLeast"/>
          <w:jc w:val="center"/>
        </w:trPr>
        <w:tc>
          <w:tcPr>
            <w:tcW w:w="37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E79816E">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有效问卷份数</w:t>
            </w:r>
          </w:p>
        </w:tc>
        <w:tc>
          <w:tcPr>
            <w:tcW w:w="2460" w:type="dxa"/>
            <w:tcBorders>
              <w:top w:val="nil"/>
              <w:left w:val="nil"/>
              <w:bottom w:val="single" w:color="auto" w:sz="4" w:space="0"/>
              <w:right w:val="single" w:color="auto" w:sz="4" w:space="0"/>
            </w:tcBorders>
            <w:shd w:val="clear" w:color="auto" w:fill="auto"/>
            <w:vAlign w:val="center"/>
          </w:tcPr>
          <w:p w14:paraId="6B653440">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w:t>
            </w:r>
          </w:p>
        </w:tc>
        <w:tc>
          <w:tcPr>
            <w:tcW w:w="1380" w:type="dxa"/>
            <w:tcBorders>
              <w:top w:val="nil"/>
              <w:left w:val="nil"/>
              <w:bottom w:val="single" w:color="auto" w:sz="4" w:space="0"/>
              <w:right w:val="single" w:color="auto" w:sz="4" w:space="0"/>
            </w:tcBorders>
            <w:shd w:val="clear" w:color="auto" w:fill="auto"/>
            <w:vAlign w:val="center"/>
          </w:tcPr>
          <w:p w14:paraId="28EDF106">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w:t>
            </w:r>
          </w:p>
        </w:tc>
        <w:tc>
          <w:tcPr>
            <w:tcW w:w="1660" w:type="dxa"/>
            <w:tcBorders>
              <w:top w:val="nil"/>
              <w:left w:val="nil"/>
              <w:bottom w:val="single" w:color="auto" w:sz="4" w:space="0"/>
              <w:right w:val="single" w:color="auto" w:sz="4" w:space="0"/>
            </w:tcBorders>
            <w:shd w:val="clear" w:color="auto" w:fill="auto"/>
            <w:vAlign w:val="center"/>
          </w:tcPr>
          <w:p w14:paraId="6D79E58D">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49</w:t>
            </w:r>
          </w:p>
        </w:tc>
      </w:tr>
      <w:tr w14:paraId="116CBB97">
        <w:tblPrEx>
          <w:tblCellMar>
            <w:top w:w="0" w:type="dxa"/>
            <w:left w:w="108" w:type="dxa"/>
            <w:bottom w:w="0" w:type="dxa"/>
            <w:right w:w="108" w:type="dxa"/>
          </w:tblCellMar>
        </w:tblPrEx>
        <w:trPr>
          <w:trHeight w:val="291" w:hRule="atLeast"/>
          <w:jc w:val="center"/>
        </w:trPr>
        <w:tc>
          <w:tcPr>
            <w:tcW w:w="37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F3E9772">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问卷综合得分</w:t>
            </w:r>
          </w:p>
        </w:tc>
        <w:tc>
          <w:tcPr>
            <w:tcW w:w="2460" w:type="dxa"/>
            <w:tcBorders>
              <w:top w:val="nil"/>
              <w:left w:val="nil"/>
              <w:bottom w:val="single" w:color="auto" w:sz="4" w:space="0"/>
              <w:right w:val="single" w:color="auto" w:sz="4" w:space="0"/>
            </w:tcBorders>
            <w:shd w:val="clear" w:color="auto" w:fill="auto"/>
            <w:vAlign w:val="center"/>
          </w:tcPr>
          <w:p w14:paraId="7A8D17F6">
            <w:pPr>
              <w:widowControl/>
              <w:jc w:val="left"/>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w:t>
            </w:r>
          </w:p>
        </w:tc>
        <w:tc>
          <w:tcPr>
            <w:tcW w:w="1380" w:type="dxa"/>
            <w:tcBorders>
              <w:top w:val="nil"/>
              <w:left w:val="nil"/>
              <w:bottom w:val="single" w:color="auto" w:sz="4" w:space="0"/>
              <w:right w:val="single" w:color="auto" w:sz="4" w:space="0"/>
            </w:tcBorders>
            <w:shd w:val="clear" w:color="auto" w:fill="auto"/>
            <w:vAlign w:val="center"/>
          </w:tcPr>
          <w:p w14:paraId="2075CD21">
            <w:pPr>
              <w:widowControl/>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　</w:t>
            </w:r>
          </w:p>
        </w:tc>
        <w:tc>
          <w:tcPr>
            <w:tcW w:w="1660" w:type="dxa"/>
            <w:tcBorders>
              <w:top w:val="nil"/>
              <w:left w:val="nil"/>
              <w:bottom w:val="single" w:color="auto" w:sz="4" w:space="0"/>
              <w:right w:val="single" w:color="auto" w:sz="4" w:space="0"/>
            </w:tcBorders>
            <w:shd w:val="clear" w:color="auto" w:fill="auto"/>
            <w:vAlign w:val="center"/>
          </w:tcPr>
          <w:p w14:paraId="127DB6EC">
            <w:pPr>
              <w:widowControl/>
              <w:jc w:val="center"/>
              <w:rPr>
                <w:rFonts w:ascii="Times New Roman" w:hAnsi="Times New Roman" w:eastAsia="仿宋" w:cs="Times New Roman"/>
                <w:color w:val="000000" w:themeColor="text1"/>
                <w:kern w:val="0"/>
                <w:szCs w:val="21"/>
              </w:rPr>
            </w:pPr>
            <w:r>
              <w:rPr>
                <w:rFonts w:hint="eastAsia" w:ascii="Times New Roman" w:hAnsi="Times New Roman" w:eastAsia="仿宋" w:cs="Times New Roman"/>
                <w:color w:val="000000" w:themeColor="text1"/>
                <w:kern w:val="0"/>
                <w:szCs w:val="21"/>
              </w:rPr>
              <w:t>98.</w:t>
            </w:r>
            <w:r>
              <w:rPr>
                <w:rFonts w:hint="eastAsia" w:ascii="Times New Roman" w:hAnsi="Times New Roman" w:eastAsia="仿宋" w:cs="Times New Roman"/>
                <w:color w:val="000000" w:themeColor="text1"/>
                <w:kern w:val="0"/>
                <w:szCs w:val="21"/>
                <w:lang w:val="en-US" w:eastAsia="zh-CN"/>
              </w:rPr>
              <w:t>6</w:t>
            </w:r>
            <w:r>
              <w:rPr>
                <w:rFonts w:hint="eastAsia" w:ascii="Times New Roman" w:hAnsi="Times New Roman" w:eastAsia="仿宋" w:cs="Times New Roman"/>
                <w:color w:val="000000" w:themeColor="text1"/>
                <w:kern w:val="0"/>
                <w:szCs w:val="21"/>
              </w:rPr>
              <w:t>7</w:t>
            </w:r>
          </w:p>
        </w:tc>
      </w:tr>
    </w:tbl>
    <w:p w14:paraId="19C781DD">
      <w:pPr>
        <w:spacing w:line="520" w:lineRule="exact"/>
        <w:ind w:left="630" w:hanging="630" w:hangingChars="300"/>
        <w:jc w:val="left"/>
        <w:rPr>
          <w:rFonts w:ascii="Times New Roman" w:hAnsi="Times New Roman" w:eastAsia="仿宋_GB2312" w:cs="Times New Roman"/>
          <w:color w:val="000000" w:themeColor="text1"/>
        </w:rPr>
      </w:pPr>
    </w:p>
    <w:p w14:paraId="38D884CD">
      <w:pPr>
        <w:spacing w:line="520" w:lineRule="exact"/>
        <w:ind w:left="630" w:hanging="630" w:hangingChars="300"/>
        <w:jc w:val="left"/>
        <w:rPr>
          <w:rFonts w:ascii="Times New Roman" w:hAnsi="Times New Roman" w:eastAsia="仿宋_GB2312" w:cs="Times New Roman"/>
          <w:color w:val="000000" w:themeColor="text1"/>
        </w:rPr>
      </w:pPr>
    </w:p>
    <w:p w14:paraId="216E1D86">
      <w:pPr>
        <w:spacing w:line="520" w:lineRule="exact"/>
        <w:ind w:left="630" w:hanging="630" w:hangingChars="300"/>
        <w:jc w:val="left"/>
        <w:rPr>
          <w:rFonts w:ascii="Times New Roman" w:hAnsi="Times New Roman" w:eastAsia="仿宋_GB2312" w:cs="Times New Roman"/>
          <w:color w:val="000000" w:themeColor="text1"/>
        </w:rPr>
      </w:pPr>
    </w:p>
    <w:p w14:paraId="14978299">
      <w:pPr>
        <w:spacing w:line="520" w:lineRule="exact"/>
        <w:ind w:left="630" w:hanging="630" w:hangingChars="300"/>
        <w:jc w:val="left"/>
        <w:rPr>
          <w:rFonts w:ascii="Times New Roman" w:hAnsi="Times New Roman" w:eastAsia="仿宋_GB2312" w:cs="Times New Roman"/>
          <w:color w:val="000000" w:themeColor="text1"/>
        </w:rPr>
      </w:pPr>
      <w:r>
        <w:rPr>
          <w:rFonts w:hint="eastAsia" w:ascii="Times New Roman" w:hAnsi="Times New Roman" w:eastAsia="仿宋_GB2312" w:cs="Times New Roman"/>
          <w:color w:val="000000" w:themeColor="text1"/>
        </w:rPr>
        <w:t>附件</w:t>
      </w:r>
      <w:r>
        <w:rPr>
          <w:rFonts w:ascii="Times New Roman" w:hAnsi="Times New Roman" w:eastAsia="仿宋_GB2312" w:cs="Times New Roman"/>
          <w:color w:val="000000" w:themeColor="text1"/>
        </w:rPr>
        <w:t>5</w:t>
      </w:r>
    </w:p>
    <w:p w14:paraId="463B6661">
      <w:pPr>
        <w:spacing w:line="0" w:lineRule="atLeast"/>
        <w:jc w:val="center"/>
        <w:rPr>
          <w:rFonts w:ascii="Times New Roman" w:hAnsi="Times New Roman" w:eastAsia="方正小标宋_GBK" w:cs="Times New Roman"/>
          <w:color w:val="000000" w:themeColor="text1"/>
          <w:kern w:val="0"/>
          <w:sz w:val="24"/>
          <w:szCs w:val="24"/>
        </w:rPr>
      </w:pPr>
      <w:r>
        <w:rPr>
          <w:rFonts w:ascii="Times New Roman" w:hAnsi="Times New Roman" w:eastAsia="方正小标宋简体" w:cs="Times New Roman"/>
          <w:color w:val="000000" w:themeColor="text1"/>
          <w:kern w:val="0"/>
          <w:sz w:val="32"/>
          <w:szCs w:val="32"/>
        </w:rPr>
        <w:t>工作底稿</w:t>
      </w:r>
    </w:p>
    <w:tbl>
      <w:tblPr>
        <w:tblStyle w:val="8"/>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622"/>
      </w:tblGrid>
      <w:tr w14:paraId="6C3F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22" w:type="dxa"/>
            <w:gridSpan w:val="2"/>
            <w:tcBorders>
              <w:top w:val="nil"/>
              <w:left w:val="nil"/>
              <w:bottom w:val="nil"/>
              <w:right w:val="nil"/>
            </w:tcBorders>
            <w:vAlign w:val="center"/>
          </w:tcPr>
          <w:p w14:paraId="306D8342">
            <w:pPr>
              <w:spacing w:line="560" w:lineRule="exact"/>
              <w:jc w:val="center"/>
              <w:rPr>
                <w:rFonts w:ascii="Times New Roman" w:hAnsi="Times New Roman" w:eastAsia="宋体" w:cs="Times New Roman"/>
                <w:b/>
                <w:bCs/>
                <w:color w:val="000000" w:themeColor="text1"/>
                <w:szCs w:val="32"/>
              </w:rPr>
            </w:pPr>
            <w:r>
              <w:rPr>
                <w:rFonts w:ascii="Times New Roman" w:hAnsi="Times New Roman" w:eastAsia="方正小标宋_GBK" w:cs="Times New Roman"/>
                <w:bCs/>
                <w:color w:val="000000" w:themeColor="text1"/>
                <w:szCs w:val="32"/>
              </w:rPr>
              <w:t>A11“</w:t>
            </w:r>
            <w:bookmarkStart w:id="0" w:name="OLE_LINK2"/>
            <w:r>
              <w:rPr>
                <w:rFonts w:ascii="Times New Roman" w:hAnsi="Times New Roman" w:eastAsia="方正小标宋_GBK" w:cs="Times New Roman"/>
                <w:bCs/>
                <w:color w:val="000000" w:themeColor="text1"/>
                <w:szCs w:val="32"/>
              </w:rPr>
              <w:t>部门战略规划目标的明确性与合理</w:t>
            </w:r>
            <w:bookmarkEnd w:id="0"/>
            <w:r>
              <w:rPr>
                <w:rFonts w:ascii="Times New Roman" w:hAnsi="Times New Roman" w:eastAsia="方正小标宋_GBK" w:cs="Times New Roman"/>
                <w:bCs/>
                <w:color w:val="000000" w:themeColor="text1"/>
                <w:szCs w:val="32"/>
              </w:rPr>
              <w:t>性”评价底稿</w:t>
            </w:r>
          </w:p>
        </w:tc>
      </w:tr>
      <w:tr w14:paraId="5F90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tcBorders>
              <w:top w:val="nil"/>
              <w:left w:val="nil"/>
              <w:bottom w:val="nil"/>
              <w:right w:val="nil"/>
            </w:tcBorders>
            <w:vAlign w:val="center"/>
          </w:tcPr>
          <w:p w14:paraId="64E03873">
            <w:pPr>
              <w:spacing w:line="560" w:lineRule="exact"/>
              <w:rPr>
                <w:rFonts w:ascii="Times New Roman" w:hAnsi="Times New Roman" w:eastAsia="仿宋_GB2312" w:cs="Times New Roman"/>
                <w:color w:val="000000" w:themeColor="text1"/>
                <w:sz w:val="28"/>
                <w:szCs w:val="28"/>
              </w:rPr>
            </w:pPr>
            <w:bookmarkStart w:id="1" w:name="OLE_LINK1" w:colFirst="0" w:colLast="0"/>
            <w:r>
              <w:rPr>
                <w:rFonts w:ascii="Times New Roman" w:hAnsi="Times New Roman" w:eastAsia="仿宋_GB2312" w:cs="Times New Roman"/>
                <w:color w:val="000000" w:themeColor="text1"/>
                <w:sz w:val="28"/>
                <w:szCs w:val="28"/>
              </w:rPr>
              <w:t>项目名称：寻甸回族彝族自治县</w:t>
            </w:r>
            <w:r>
              <w:rPr>
                <w:rFonts w:hint="eastAsia" w:ascii="Times New Roman" w:hAnsi="Times New Roman" w:eastAsia="仿宋_GB2312" w:cs="Times New Roman"/>
                <w:color w:val="000000" w:themeColor="text1"/>
                <w:sz w:val="28"/>
                <w:szCs w:val="28"/>
              </w:rPr>
              <w:t>融媒体中心</w:t>
            </w:r>
            <w:r>
              <w:rPr>
                <w:rFonts w:hint="eastAsia" w:ascii="Times New Roman" w:hAnsi="Times New Roman" w:eastAsia="仿宋_GB2312" w:cs="Times New Roman"/>
                <w:color w:val="000000" w:themeColor="text1"/>
                <w:sz w:val="28"/>
                <w:szCs w:val="28"/>
                <w:lang w:eastAsia="zh-CN"/>
              </w:rPr>
              <w:t>2024</w:t>
            </w:r>
            <w:r>
              <w:rPr>
                <w:rFonts w:ascii="Times New Roman" w:hAnsi="Times New Roman" w:eastAsia="仿宋_GB2312" w:cs="Times New Roman"/>
                <w:color w:val="000000" w:themeColor="text1"/>
                <w:sz w:val="28"/>
                <w:szCs w:val="28"/>
              </w:rPr>
              <w:t>年部门整体支出</w:t>
            </w:r>
          </w:p>
        </w:tc>
      </w:tr>
      <w:tr w14:paraId="3CEF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tcBorders>
              <w:top w:val="nil"/>
              <w:left w:val="nil"/>
              <w:right w:val="nil"/>
            </w:tcBorders>
            <w:vAlign w:val="center"/>
          </w:tcPr>
          <w:p w14:paraId="61082F3F">
            <w:pPr>
              <w:spacing w:line="560" w:lineRule="exact"/>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评价机构：寻甸回族彝族自治县</w:t>
            </w:r>
            <w:r>
              <w:rPr>
                <w:rFonts w:hint="eastAsia" w:ascii="Times New Roman" w:hAnsi="Times New Roman" w:eastAsia="仿宋_GB2312" w:cs="Times New Roman"/>
                <w:color w:val="000000" w:themeColor="text1"/>
                <w:sz w:val="28"/>
                <w:szCs w:val="28"/>
              </w:rPr>
              <w:t>融媒体中心</w:t>
            </w:r>
          </w:p>
        </w:tc>
      </w:tr>
      <w:bookmarkEnd w:id="1"/>
      <w:tr w14:paraId="33A3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700" w:type="dxa"/>
            <w:vAlign w:val="center"/>
          </w:tcPr>
          <w:p w14:paraId="7891F750">
            <w:pPr>
              <w:adjustRightInd w:val="0"/>
              <w:snapToGrid w:val="0"/>
              <w:spacing w:line="560" w:lineRule="exact"/>
              <w:jc w:val="center"/>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指标解释</w:t>
            </w:r>
          </w:p>
        </w:tc>
        <w:tc>
          <w:tcPr>
            <w:tcW w:w="7622" w:type="dxa"/>
            <w:vAlign w:val="center"/>
          </w:tcPr>
          <w:p w14:paraId="0624EBD8">
            <w:pPr>
              <w:adjustRightInd w:val="0"/>
              <w:snapToGrid w:val="0"/>
              <w:spacing w:line="560" w:lineRule="exact"/>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按照《附件1：部门整体支出绩效评价共性指标体系框架》中的“指标解释”进行整体预算绩效自评。</w:t>
            </w:r>
          </w:p>
        </w:tc>
      </w:tr>
      <w:tr w14:paraId="5D291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restart"/>
            <w:vAlign w:val="center"/>
          </w:tcPr>
          <w:p w14:paraId="218B0C41">
            <w:pPr>
              <w:adjustRightInd w:val="0"/>
              <w:snapToGrid w:val="0"/>
              <w:spacing w:line="560" w:lineRule="exact"/>
              <w:jc w:val="center"/>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指标权重</w:t>
            </w:r>
          </w:p>
        </w:tc>
        <w:tc>
          <w:tcPr>
            <w:tcW w:w="7622" w:type="dxa"/>
            <w:vAlign w:val="center"/>
          </w:tcPr>
          <w:p w14:paraId="2B1E9A2D">
            <w:pPr>
              <w:adjustRightInd w:val="0"/>
              <w:snapToGrid w:val="0"/>
              <w:spacing w:line="560" w:lineRule="exact"/>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指标权重100分</w:t>
            </w:r>
          </w:p>
        </w:tc>
      </w:tr>
      <w:tr w14:paraId="21BE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continue"/>
            <w:vAlign w:val="center"/>
          </w:tcPr>
          <w:p w14:paraId="68790335">
            <w:pPr>
              <w:adjustRightInd w:val="0"/>
              <w:snapToGrid w:val="0"/>
              <w:spacing w:line="560" w:lineRule="exact"/>
              <w:jc w:val="center"/>
              <w:rPr>
                <w:rFonts w:ascii="Times New Roman" w:hAnsi="Times New Roman" w:eastAsia="仿宋_GB2312" w:cs="Times New Roman"/>
                <w:color w:val="000000" w:themeColor="text1"/>
                <w:sz w:val="28"/>
                <w:szCs w:val="28"/>
              </w:rPr>
            </w:pPr>
          </w:p>
        </w:tc>
        <w:tc>
          <w:tcPr>
            <w:tcW w:w="7622" w:type="dxa"/>
            <w:vAlign w:val="center"/>
          </w:tcPr>
          <w:p w14:paraId="72E83189">
            <w:pPr>
              <w:adjustRightInd w:val="0"/>
              <w:snapToGrid w:val="0"/>
              <w:spacing w:line="560" w:lineRule="exact"/>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指标权重设定的依据、理由：参考附件1</w:t>
            </w:r>
          </w:p>
        </w:tc>
      </w:tr>
      <w:tr w14:paraId="6665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restart"/>
            <w:vAlign w:val="center"/>
          </w:tcPr>
          <w:p w14:paraId="7F375167">
            <w:pPr>
              <w:adjustRightInd w:val="0"/>
              <w:snapToGrid w:val="0"/>
              <w:spacing w:line="560" w:lineRule="exact"/>
              <w:jc w:val="center"/>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评价标准</w:t>
            </w:r>
          </w:p>
        </w:tc>
        <w:tc>
          <w:tcPr>
            <w:tcW w:w="7622" w:type="dxa"/>
            <w:vAlign w:val="center"/>
          </w:tcPr>
          <w:p w14:paraId="4835D648">
            <w:pPr>
              <w:adjustRightInd w:val="0"/>
              <w:snapToGrid w:val="0"/>
              <w:spacing w:line="560" w:lineRule="exact"/>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指标标杆值：参考附件1</w:t>
            </w:r>
          </w:p>
        </w:tc>
      </w:tr>
      <w:tr w14:paraId="6F95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700" w:type="dxa"/>
            <w:vMerge w:val="continue"/>
            <w:vAlign w:val="center"/>
          </w:tcPr>
          <w:p w14:paraId="1B0B61EC">
            <w:pPr>
              <w:adjustRightInd w:val="0"/>
              <w:snapToGrid w:val="0"/>
              <w:spacing w:line="560" w:lineRule="exact"/>
              <w:jc w:val="center"/>
              <w:rPr>
                <w:rFonts w:ascii="Times New Roman" w:hAnsi="Times New Roman" w:eastAsia="仿宋_GB2312" w:cs="Times New Roman"/>
                <w:color w:val="000000" w:themeColor="text1"/>
                <w:sz w:val="28"/>
                <w:szCs w:val="28"/>
              </w:rPr>
            </w:pPr>
          </w:p>
        </w:tc>
        <w:tc>
          <w:tcPr>
            <w:tcW w:w="7622" w:type="dxa"/>
            <w:vAlign w:val="center"/>
          </w:tcPr>
          <w:p w14:paraId="3AE6C130">
            <w:pPr>
              <w:adjustRightInd w:val="0"/>
              <w:snapToGrid w:val="0"/>
              <w:spacing w:line="560" w:lineRule="exact"/>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指标标杆值依据：参考附件1</w:t>
            </w:r>
          </w:p>
        </w:tc>
      </w:tr>
      <w:tr w14:paraId="315B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continue"/>
            <w:vAlign w:val="center"/>
          </w:tcPr>
          <w:p w14:paraId="570E1E64">
            <w:pPr>
              <w:adjustRightInd w:val="0"/>
              <w:snapToGrid w:val="0"/>
              <w:spacing w:line="560" w:lineRule="exact"/>
              <w:jc w:val="center"/>
              <w:rPr>
                <w:rFonts w:ascii="Times New Roman" w:hAnsi="Times New Roman" w:eastAsia="仿宋_GB2312" w:cs="Times New Roman"/>
                <w:color w:val="000000" w:themeColor="text1"/>
                <w:sz w:val="28"/>
                <w:szCs w:val="28"/>
              </w:rPr>
            </w:pPr>
          </w:p>
        </w:tc>
        <w:tc>
          <w:tcPr>
            <w:tcW w:w="7622" w:type="dxa"/>
            <w:vAlign w:val="center"/>
          </w:tcPr>
          <w:p w14:paraId="779A8080">
            <w:pPr>
              <w:adjustRightInd w:val="0"/>
              <w:snapToGrid w:val="0"/>
              <w:spacing w:line="560" w:lineRule="exact"/>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指标评分细则：参考附件1</w:t>
            </w:r>
          </w:p>
        </w:tc>
      </w:tr>
      <w:tr w14:paraId="2CD7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1F1B4F5A">
            <w:pPr>
              <w:adjustRightInd w:val="0"/>
              <w:snapToGrid w:val="0"/>
              <w:spacing w:line="560" w:lineRule="exact"/>
              <w:jc w:val="center"/>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数据来源及取数方式</w:t>
            </w:r>
          </w:p>
        </w:tc>
        <w:tc>
          <w:tcPr>
            <w:tcW w:w="7622" w:type="dxa"/>
            <w:vAlign w:val="center"/>
          </w:tcPr>
          <w:p w14:paraId="6F7B091A">
            <w:pPr>
              <w:topLinePunct/>
              <w:spacing w:line="560" w:lineRule="exact"/>
              <w:ind w:firstLine="480" w:firstLineChars="200"/>
              <w:rPr>
                <w:rFonts w:ascii="Times New Roman" w:hAnsi="Times New Roman" w:eastAsia="仿宋_GB2312" w:cs="Times New Roman"/>
                <w:color w:val="000000" w:themeColor="text1"/>
                <w:sz w:val="28"/>
                <w:szCs w:val="28"/>
              </w:rPr>
            </w:pPr>
            <w:r>
              <w:rPr>
                <w:rFonts w:ascii="Times New Roman" w:hAnsi="Times New Roman" w:eastAsia="仿宋" w:cs="Times New Roman"/>
                <w:color w:val="000000" w:themeColor="text1"/>
                <w:sz w:val="24"/>
                <w:szCs w:val="24"/>
              </w:rPr>
              <w:t>通过评价小组自评的方式，按照附件1的要求，整理好各个项目的基础工作台账，为绩效自评做好评价资料的数据来源，通过绩效自评所需的考评数据指标进行取数，为部门预算绩效自评工作作出公平、公正、有效的自评。</w:t>
            </w:r>
          </w:p>
        </w:tc>
      </w:tr>
      <w:tr w14:paraId="228C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restart"/>
            <w:vAlign w:val="center"/>
          </w:tcPr>
          <w:p w14:paraId="176B8650">
            <w:pPr>
              <w:adjustRightInd w:val="0"/>
              <w:snapToGrid w:val="0"/>
              <w:spacing w:line="560" w:lineRule="exact"/>
              <w:jc w:val="center"/>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评价结果</w:t>
            </w:r>
          </w:p>
        </w:tc>
        <w:tc>
          <w:tcPr>
            <w:tcW w:w="7622" w:type="dxa"/>
            <w:vAlign w:val="center"/>
          </w:tcPr>
          <w:p w14:paraId="0CEEF6B4">
            <w:pPr>
              <w:topLinePunct/>
              <w:spacing w:line="560" w:lineRule="exact"/>
              <w:ind w:firstLine="480" w:firstLineChars="200"/>
              <w:rPr>
                <w:rFonts w:ascii="Times New Roman" w:hAnsi="Times New Roman" w:eastAsia="仿宋_GB2312" w:cs="Times New Roman"/>
                <w:color w:val="000000" w:themeColor="text1"/>
                <w:sz w:val="28"/>
                <w:szCs w:val="28"/>
              </w:rPr>
            </w:pPr>
            <w:r>
              <w:rPr>
                <w:rFonts w:ascii="Times New Roman" w:hAnsi="Times New Roman" w:eastAsia="仿宋" w:cs="Times New Roman"/>
                <w:color w:val="000000" w:themeColor="text1"/>
                <w:sz w:val="24"/>
                <w:szCs w:val="24"/>
              </w:rPr>
              <w:t>寻甸回族彝族自治县</w:t>
            </w:r>
            <w:r>
              <w:rPr>
                <w:rFonts w:hint="eastAsia" w:ascii="Times New Roman" w:hAnsi="Times New Roman" w:eastAsia="仿宋" w:cs="Times New Roman"/>
                <w:color w:val="000000" w:themeColor="text1"/>
                <w:sz w:val="24"/>
                <w:szCs w:val="24"/>
              </w:rPr>
              <w:t>融媒体中心</w:t>
            </w:r>
            <w:r>
              <w:rPr>
                <w:rFonts w:hint="eastAsia" w:ascii="Times New Roman" w:hAnsi="Times New Roman" w:eastAsia="仿宋" w:cs="Times New Roman"/>
                <w:color w:val="000000" w:themeColor="text1"/>
                <w:sz w:val="24"/>
                <w:szCs w:val="24"/>
                <w:lang w:eastAsia="zh-CN"/>
              </w:rPr>
              <w:t>2024</w:t>
            </w:r>
            <w:r>
              <w:rPr>
                <w:rFonts w:ascii="Times New Roman" w:hAnsi="Times New Roman" w:eastAsia="仿宋" w:cs="Times New Roman"/>
                <w:color w:val="000000" w:themeColor="text1"/>
                <w:sz w:val="24"/>
                <w:szCs w:val="24"/>
              </w:rPr>
              <w:t>年目标责任完成情况较好，寻甸回族彝族自治县</w:t>
            </w:r>
            <w:r>
              <w:rPr>
                <w:rFonts w:hint="eastAsia" w:ascii="Times New Roman" w:hAnsi="Times New Roman" w:eastAsia="仿宋" w:cs="Times New Roman"/>
                <w:color w:val="000000" w:themeColor="text1"/>
                <w:sz w:val="24"/>
                <w:szCs w:val="24"/>
              </w:rPr>
              <w:t>融媒体中心</w:t>
            </w:r>
            <w:r>
              <w:rPr>
                <w:rFonts w:hint="eastAsia" w:ascii="Times New Roman" w:hAnsi="Times New Roman" w:eastAsia="仿宋" w:cs="Times New Roman"/>
                <w:color w:val="000000" w:themeColor="text1"/>
                <w:sz w:val="24"/>
                <w:szCs w:val="24"/>
                <w:lang w:eastAsia="zh-CN"/>
              </w:rPr>
              <w:t>2024</w:t>
            </w:r>
            <w:r>
              <w:rPr>
                <w:rFonts w:ascii="Times New Roman" w:hAnsi="Times New Roman" w:eastAsia="仿宋" w:cs="Times New Roman"/>
                <w:color w:val="000000" w:themeColor="text1"/>
                <w:sz w:val="24"/>
                <w:szCs w:val="24"/>
              </w:rPr>
              <w:t>年工作目标管理考核得分</w:t>
            </w:r>
            <w:r>
              <w:rPr>
                <w:rFonts w:hint="eastAsia" w:ascii="Times New Roman" w:hAnsi="Times New Roman" w:eastAsia="仿宋" w:cs="Times New Roman"/>
                <w:color w:val="auto"/>
                <w:sz w:val="24"/>
                <w:szCs w:val="24"/>
                <w:lang w:val="en-US" w:eastAsia="zh-CN"/>
              </w:rPr>
              <w:t>97.71</w:t>
            </w:r>
            <w:r>
              <w:rPr>
                <w:rFonts w:ascii="Times New Roman" w:hAnsi="Times New Roman" w:eastAsia="仿宋" w:cs="Times New Roman"/>
                <w:color w:val="000000" w:themeColor="text1"/>
                <w:sz w:val="24"/>
                <w:szCs w:val="24"/>
              </w:rPr>
              <w:t>分，获得</w:t>
            </w:r>
            <w:r>
              <w:rPr>
                <w:rFonts w:hint="eastAsia" w:ascii="Times New Roman" w:hAnsi="Times New Roman" w:eastAsia="仿宋" w:cs="Times New Roman"/>
                <w:color w:val="000000" w:themeColor="text1"/>
                <w:sz w:val="24"/>
                <w:szCs w:val="24"/>
              </w:rPr>
              <w:t>良好</w:t>
            </w:r>
            <w:r>
              <w:rPr>
                <w:rFonts w:ascii="Times New Roman" w:hAnsi="Times New Roman" w:eastAsia="仿宋" w:cs="Times New Roman"/>
                <w:color w:val="000000" w:themeColor="text1"/>
                <w:sz w:val="24"/>
                <w:szCs w:val="24"/>
              </w:rPr>
              <w:t>等次。寻甸回族彝族自治县</w:t>
            </w:r>
            <w:r>
              <w:rPr>
                <w:rFonts w:hint="eastAsia" w:ascii="Times New Roman" w:hAnsi="Times New Roman" w:eastAsia="仿宋" w:cs="Times New Roman"/>
                <w:color w:val="000000" w:themeColor="text1"/>
                <w:sz w:val="24"/>
                <w:szCs w:val="24"/>
              </w:rPr>
              <w:t>融媒体中心</w:t>
            </w:r>
            <w:r>
              <w:rPr>
                <w:rFonts w:hint="eastAsia" w:ascii="Times New Roman" w:hAnsi="Times New Roman" w:eastAsia="仿宋" w:cs="Times New Roman"/>
                <w:color w:val="000000" w:themeColor="text1"/>
                <w:sz w:val="24"/>
                <w:szCs w:val="24"/>
                <w:lang w:eastAsia="zh-CN"/>
              </w:rPr>
              <w:t>2024</w:t>
            </w:r>
            <w:r>
              <w:rPr>
                <w:rFonts w:ascii="Times New Roman" w:hAnsi="Times New Roman" w:eastAsia="仿宋" w:cs="Times New Roman"/>
                <w:color w:val="000000" w:themeColor="text1"/>
                <w:sz w:val="24"/>
                <w:szCs w:val="24"/>
              </w:rPr>
              <w:t>年度部门总体支出情况良好，目标责任基本完成。根据指标评价体系，本次绩效考核得分</w:t>
            </w:r>
            <w:r>
              <w:rPr>
                <w:rFonts w:hint="eastAsia" w:ascii="Times New Roman" w:hAnsi="Times New Roman" w:eastAsia="仿宋" w:cs="Times New Roman"/>
                <w:color w:val="000000" w:themeColor="text1"/>
                <w:sz w:val="24"/>
                <w:szCs w:val="24"/>
              </w:rPr>
              <w:t>93.</w:t>
            </w:r>
            <w:r>
              <w:rPr>
                <w:rFonts w:hint="eastAsia" w:ascii="Times New Roman" w:hAnsi="Times New Roman" w:eastAsia="仿宋" w:cs="Times New Roman"/>
                <w:color w:val="000000" w:themeColor="text1"/>
                <w:sz w:val="24"/>
                <w:szCs w:val="24"/>
                <w:lang w:val="en-US" w:eastAsia="zh-CN"/>
              </w:rPr>
              <w:t>5</w:t>
            </w:r>
            <w:r>
              <w:rPr>
                <w:rFonts w:hint="eastAsia" w:ascii="Times New Roman" w:hAnsi="Times New Roman" w:eastAsia="仿宋" w:cs="Times New Roman"/>
                <w:color w:val="000000" w:themeColor="text1"/>
                <w:sz w:val="24"/>
                <w:szCs w:val="24"/>
              </w:rPr>
              <w:t>6</w:t>
            </w:r>
            <w:r>
              <w:rPr>
                <w:rFonts w:ascii="Times New Roman" w:hAnsi="Times New Roman" w:eastAsia="仿宋" w:cs="Times New Roman"/>
                <w:color w:val="000000" w:themeColor="text1"/>
                <w:sz w:val="24"/>
                <w:szCs w:val="24"/>
              </w:rPr>
              <w:t>分，评价结果为“优”。</w:t>
            </w:r>
          </w:p>
        </w:tc>
      </w:tr>
      <w:tr w14:paraId="4F07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continue"/>
            <w:vAlign w:val="center"/>
          </w:tcPr>
          <w:p w14:paraId="314E971A">
            <w:pPr>
              <w:spacing w:line="560" w:lineRule="exact"/>
              <w:jc w:val="center"/>
              <w:rPr>
                <w:rFonts w:ascii="Times New Roman" w:hAnsi="Times New Roman" w:eastAsia="仿宋_GB2312" w:cs="Times New Roman"/>
                <w:color w:val="000000" w:themeColor="text1"/>
                <w:sz w:val="28"/>
                <w:szCs w:val="28"/>
              </w:rPr>
            </w:pPr>
          </w:p>
        </w:tc>
        <w:tc>
          <w:tcPr>
            <w:tcW w:w="7622" w:type="dxa"/>
            <w:vAlign w:val="center"/>
          </w:tcPr>
          <w:p w14:paraId="0622DD45">
            <w:pPr>
              <w:spacing w:line="560" w:lineRule="exact"/>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指标得分：</w:t>
            </w:r>
            <w:r>
              <w:rPr>
                <w:rFonts w:hint="eastAsia" w:ascii="Times New Roman" w:hAnsi="Times New Roman" w:eastAsia="仿宋_GB2312" w:cs="Times New Roman"/>
                <w:color w:val="000000" w:themeColor="text1"/>
                <w:sz w:val="28"/>
                <w:szCs w:val="28"/>
              </w:rPr>
              <w:t>93.</w:t>
            </w:r>
            <w:r>
              <w:rPr>
                <w:rFonts w:hint="eastAsia" w:ascii="Times New Roman" w:hAnsi="Times New Roman" w:eastAsia="仿宋_GB2312" w:cs="Times New Roman"/>
                <w:color w:val="000000" w:themeColor="text1"/>
                <w:sz w:val="28"/>
                <w:szCs w:val="28"/>
                <w:lang w:val="en-US" w:eastAsia="zh-CN"/>
              </w:rPr>
              <w:t>5</w:t>
            </w:r>
            <w:r>
              <w:rPr>
                <w:rFonts w:hint="eastAsia" w:ascii="Times New Roman" w:hAnsi="Times New Roman" w:eastAsia="仿宋_GB2312" w:cs="Times New Roman"/>
                <w:color w:val="000000" w:themeColor="text1"/>
                <w:sz w:val="28"/>
                <w:szCs w:val="28"/>
              </w:rPr>
              <w:t>6</w:t>
            </w:r>
            <w:r>
              <w:rPr>
                <w:rFonts w:ascii="Times New Roman" w:hAnsi="Times New Roman" w:eastAsia="仿宋_GB2312" w:cs="Times New Roman"/>
                <w:color w:val="000000" w:themeColor="text1"/>
                <w:sz w:val="28"/>
                <w:szCs w:val="28"/>
              </w:rPr>
              <w:t>分</w:t>
            </w:r>
          </w:p>
        </w:tc>
      </w:tr>
    </w:tbl>
    <w:p w14:paraId="681A688B">
      <w:pPr>
        <w:spacing w:line="520" w:lineRule="exact"/>
        <w:ind w:left="630" w:hanging="630" w:hangingChars="300"/>
        <w:jc w:val="left"/>
        <w:rPr>
          <w:rFonts w:ascii="Times New Roman" w:hAnsi="Times New Roman" w:eastAsia="仿宋_GB2312" w:cs="Times New Roman"/>
          <w:color w:val="000000" w:themeColor="text1"/>
        </w:rPr>
      </w:pPr>
    </w:p>
    <w:p w14:paraId="1051D3E3">
      <w:pPr>
        <w:spacing w:line="520" w:lineRule="exact"/>
        <w:ind w:left="630" w:hanging="630" w:hangingChars="300"/>
        <w:jc w:val="left"/>
        <w:rPr>
          <w:rFonts w:ascii="Times New Roman" w:hAnsi="Times New Roman" w:eastAsia="仿宋_GB2312" w:cs="Times New Roman"/>
          <w:color w:val="000000" w:themeColor="text1"/>
        </w:rPr>
        <w:sectPr>
          <w:pgSz w:w="11906" w:h="16838"/>
          <w:pgMar w:top="1440" w:right="1797" w:bottom="1440" w:left="1797" w:header="851" w:footer="992" w:gutter="0"/>
          <w:cols w:space="425" w:num="1"/>
          <w:docGrid w:linePitch="312" w:charSpace="0"/>
        </w:sectPr>
      </w:pPr>
    </w:p>
    <w:p w14:paraId="5FC6CF09">
      <w:pP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 xml:space="preserve">附件6 </w:t>
      </w:r>
    </w:p>
    <w:p w14:paraId="4F56EE06">
      <w:pPr>
        <w:jc w:val="center"/>
        <w:rPr>
          <w:rFonts w:hint="eastAsia" w:ascii="Times New Roman" w:hAnsi="Times New Roman" w:eastAsia="仿宋_GB2312" w:cs="Times New Roman"/>
          <w:color w:val="000000" w:themeColor="text1"/>
          <w:lang w:val="en-US" w:eastAsia="zh-CN"/>
        </w:rPr>
      </w:pPr>
      <w:r>
        <w:rPr>
          <w:rFonts w:hint="eastAsia" w:ascii="Times New Roman" w:hAnsi="Times New Roman" w:eastAsia="仿宋_GB2312" w:cs="Times New Roman"/>
          <w:color w:val="000000" w:themeColor="text1"/>
          <w:sz w:val="30"/>
          <w:szCs w:val="30"/>
          <w:lang w:eastAsia="zh-CN"/>
        </w:rPr>
        <w:t>2024</w:t>
      </w:r>
      <w:r>
        <w:rPr>
          <w:rFonts w:ascii="Times New Roman" w:hAnsi="Times New Roman" w:eastAsia="仿宋_GB2312" w:cs="Times New Roman"/>
          <w:color w:val="000000" w:themeColor="text1"/>
          <w:sz w:val="30"/>
          <w:szCs w:val="30"/>
        </w:rPr>
        <w:t>年</w:t>
      </w:r>
      <w:r>
        <w:rPr>
          <w:rFonts w:hint="eastAsia" w:ascii="Times New Roman" w:hAnsi="Times New Roman" w:eastAsia="仿宋_GB2312" w:cs="Times New Roman"/>
          <w:color w:val="000000" w:themeColor="text1"/>
          <w:sz w:val="30"/>
          <w:szCs w:val="30"/>
          <w:lang w:eastAsia="zh-CN"/>
        </w:rPr>
        <w:t>收入支出决算总表</w:t>
      </w:r>
      <w:r>
        <w:rPr>
          <w:rFonts w:hint="eastAsia" w:ascii="Times New Roman" w:hAnsi="Times New Roman" w:eastAsia="仿宋_GB2312" w:cs="Times New Roman"/>
          <w:color w:val="000000" w:themeColor="text1"/>
          <w:sz w:val="30"/>
          <w:szCs w:val="30"/>
          <w:lang w:val="en-US" w:eastAsia="zh-CN"/>
        </w:rPr>
        <w:t xml:space="preserve"> </w:t>
      </w:r>
      <w:r>
        <w:rPr>
          <w:rFonts w:hint="eastAsia" w:ascii="Times New Roman" w:hAnsi="Times New Roman" w:eastAsia="仿宋_GB2312" w:cs="Times New Roman"/>
          <w:color w:val="000000" w:themeColor="text1"/>
          <w:lang w:val="en-US" w:eastAsia="zh-CN"/>
        </w:rPr>
        <w:t xml:space="preserve">                                       </w:t>
      </w:r>
    </w:p>
    <w:p w14:paraId="245522FE">
      <w:pPr>
        <w:jc w:val="center"/>
        <w:rPr>
          <w:rFonts w:hint="default" w:ascii="Times New Roman" w:hAnsi="Times New Roman" w:eastAsia="仿宋_GB2312" w:cs="Times New Roman"/>
          <w:color w:val="000000" w:themeColor="text1"/>
          <w:lang w:val="en-US" w:eastAsia="zh-CN"/>
        </w:rPr>
      </w:pPr>
      <w:r>
        <w:rPr>
          <w:rFonts w:hint="eastAsia" w:ascii="Times New Roman" w:hAnsi="Times New Roman" w:eastAsia="仿宋_GB2312" w:cs="Times New Roman"/>
          <w:color w:val="000000" w:themeColor="text1"/>
          <w:lang w:val="en-US" w:eastAsia="zh-CN"/>
        </w:rPr>
        <w:t xml:space="preserve">                                                                                                                           单位：元</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73"/>
        <w:gridCol w:w="422"/>
        <w:gridCol w:w="835"/>
        <w:gridCol w:w="835"/>
        <w:gridCol w:w="835"/>
        <w:gridCol w:w="1763"/>
        <w:gridCol w:w="422"/>
        <w:gridCol w:w="835"/>
        <w:gridCol w:w="835"/>
        <w:gridCol w:w="835"/>
        <w:gridCol w:w="1557"/>
        <w:gridCol w:w="422"/>
        <w:gridCol w:w="835"/>
        <w:gridCol w:w="835"/>
        <w:gridCol w:w="835"/>
      </w:tblGrid>
      <w:tr w14:paraId="42369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56" w:type="pct"/>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A574B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收入</w:t>
            </w:r>
          </w:p>
        </w:tc>
        <w:tc>
          <w:tcPr>
            <w:tcW w:w="3243" w:type="pct"/>
            <w:gridSpan w:val="10"/>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3A31D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支出</w:t>
            </w:r>
          </w:p>
        </w:tc>
      </w:tr>
      <w:tr w14:paraId="2CD64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A3CCA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w:t>
            </w: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BB79B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行次</w:t>
            </w:r>
          </w:p>
        </w:tc>
        <w:tc>
          <w:tcPr>
            <w:tcW w:w="28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46317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年初预算数</w:t>
            </w:r>
          </w:p>
        </w:tc>
        <w:tc>
          <w:tcPr>
            <w:tcW w:w="28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501BF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全年预算数</w:t>
            </w:r>
          </w:p>
        </w:tc>
        <w:tc>
          <w:tcPr>
            <w:tcW w:w="289"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D827B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决算数</w:t>
            </w: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A7B22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项目(按功能分类)</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E41E3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行次</w:t>
            </w:r>
          </w:p>
        </w:tc>
        <w:tc>
          <w:tcPr>
            <w:tcW w:w="29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32D6F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年初预算数</w:t>
            </w:r>
          </w:p>
        </w:tc>
        <w:tc>
          <w:tcPr>
            <w:tcW w:w="29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9A0AC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全年预算数</w:t>
            </w:r>
          </w:p>
        </w:tc>
        <w:tc>
          <w:tcPr>
            <w:tcW w:w="29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B955BB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决算数</w:t>
            </w: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85612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项目(按支出性质和经济分类)</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3091A6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行次</w:t>
            </w:r>
          </w:p>
        </w:tc>
        <w:tc>
          <w:tcPr>
            <w:tcW w:w="29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EAB21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年初预算数</w:t>
            </w:r>
          </w:p>
        </w:tc>
        <w:tc>
          <w:tcPr>
            <w:tcW w:w="29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0D016A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全年预算数</w:t>
            </w:r>
          </w:p>
        </w:tc>
        <w:tc>
          <w:tcPr>
            <w:tcW w:w="293" w:type="pct"/>
            <w:tcBorders>
              <w:top w:val="single" w:color="D4D4D4" w:sz="4" w:space="0"/>
              <w:left w:val="single" w:color="D4D4D4" w:sz="4" w:space="0"/>
              <w:bottom w:val="single" w:color="D4D4D4" w:sz="4" w:space="0"/>
              <w:right w:val="single" w:color="D4D4D4" w:sz="12" w:space="0"/>
            </w:tcBorders>
            <w:shd w:val="clear" w:color="auto" w:fill="F1F1F1"/>
            <w:noWrap/>
            <w:vAlign w:val="center"/>
          </w:tcPr>
          <w:p w14:paraId="12CBDA3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决算数</w:t>
            </w:r>
          </w:p>
        </w:tc>
      </w:tr>
      <w:tr w14:paraId="02F0C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275D1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栏次</w:t>
            </w: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792956">
            <w:pPr>
              <w:jc w:val="center"/>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0526D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28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CCE20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289"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3B6F4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37467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栏次</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AB33AC">
            <w:pPr>
              <w:jc w:val="center"/>
              <w:rPr>
                <w:rFonts w:hint="eastAsia" w:ascii="宋体" w:hAnsi="宋体" w:eastAsia="宋体" w:cs="宋体"/>
                <w:i w:val="0"/>
                <w:iCs w:val="0"/>
                <w:color w:val="000000"/>
                <w:sz w:val="15"/>
                <w:szCs w:val="15"/>
                <w:u w:val="none"/>
              </w:rPr>
            </w:pPr>
          </w:p>
        </w:tc>
        <w:tc>
          <w:tcPr>
            <w:tcW w:w="29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CA4D3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29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5067DF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29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A86A1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EC2E8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栏次</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8537BF2">
            <w:pPr>
              <w:jc w:val="center"/>
              <w:rPr>
                <w:rFonts w:hint="eastAsia" w:ascii="宋体" w:hAnsi="宋体" w:eastAsia="宋体" w:cs="宋体"/>
                <w:i w:val="0"/>
                <w:iCs w:val="0"/>
                <w:color w:val="000000"/>
                <w:sz w:val="15"/>
                <w:szCs w:val="15"/>
                <w:u w:val="none"/>
              </w:rPr>
            </w:pPr>
          </w:p>
        </w:tc>
        <w:tc>
          <w:tcPr>
            <w:tcW w:w="29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F63E0D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29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27006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293" w:type="pct"/>
            <w:tcBorders>
              <w:top w:val="single" w:color="D4D4D4" w:sz="4" w:space="0"/>
              <w:left w:val="single" w:color="D4D4D4" w:sz="4" w:space="0"/>
              <w:bottom w:val="single" w:color="D4D4D4" w:sz="4" w:space="0"/>
              <w:right w:val="single" w:color="D4D4D4" w:sz="12" w:space="0"/>
            </w:tcBorders>
            <w:shd w:val="clear" w:color="auto" w:fill="F1F1F1"/>
            <w:noWrap/>
            <w:vAlign w:val="center"/>
          </w:tcPr>
          <w:p w14:paraId="3289B83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r>
      <w:tr w14:paraId="3891C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05801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一、一般公共预算财政拨款收入</w:t>
            </w: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DF1D2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11C62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4,228,106.35</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1FB8A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5,220,840.38</w:t>
            </w: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14BBB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5,220,840.38</w:t>
            </w: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F72037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一、一般公共服务支出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AD6D6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60511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A56F7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1428C9">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D298A8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一、基本支出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D8995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3B946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3,879,728.99</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A058A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4,280,833.67</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1C3026E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4,280,833.67</w:t>
            </w:r>
          </w:p>
        </w:tc>
      </w:tr>
      <w:tr w14:paraId="1716F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FAB4A1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二、政府性基金预算财政拨款收入</w:t>
            </w: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10997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411B6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36DC2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73F7FC">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72BE2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二、外交支出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30336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38678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4D670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3968FA">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78997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人员经费</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F5B49D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59</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A2DFD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3,776,428.99</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4A30E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4,027,785.16</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1C09FFB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4,027,785.16</w:t>
            </w:r>
          </w:p>
        </w:tc>
      </w:tr>
      <w:tr w14:paraId="557AC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C50CA5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三、国有资本经营预算财政拨款收入</w:t>
            </w: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EB8DE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B8C3C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D12BD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C41BCB">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D05D7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三、国防支出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4D5EC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631E9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C5194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5AAE4C">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29130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公用经费</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062B8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57918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103,300.00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3927E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253,048.51</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581E101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253,048.51</w:t>
            </w:r>
          </w:p>
        </w:tc>
      </w:tr>
      <w:tr w14:paraId="24947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3F444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四、上级补助收入</w:t>
            </w: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EFA63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6D7E4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1A2CB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50082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8C5DA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四、公共安全支出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4EA12F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BE9B5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D49B7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52DCBD">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45B38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二、项目支出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F6C85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61</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7BED6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481,863.71</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4127C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1,069,931.86</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2DB284E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1,069,931.86</w:t>
            </w:r>
          </w:p>
        </w:tc>
      </w:tr>
      <w:tr w14:paraId="13394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0A5A33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五、事业收入</w:t>
            </w: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D8768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1EB3E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22A9D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A9EE5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B8C496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五、教育支出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3B0BD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B1667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66DFA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2811DC">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E376F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其中：基本建设类项目</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F8050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62</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9C4FD5">
            <w:pPr>
              <w:jc w:val="right"/>
              <w:rPr>
                <w:rFonts w:hint="eastAsia" w:ascii="宋体" w:hAnsi="宋体" w:eastAsia="宋体" w:cs="宋体"/>
                <w:i w:val="0"/>
                <w:iCs w:val="0"/>
                <w:color w:val="000000"/>
                <w:sz w:val="15"/>
                <w:szCs w:val="15"/>
                <w:u w:val="none"/>
              </w:rPr>
            </w:pP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67B1CB">
            <w:pPr>
              <w:jc w:val="right"/>
              <w:rPr>
                <w:rFonts w:hint="eastAsia" w:ascii="宋体" w:hAnsi="宋体" w:eastAsia="宋体" w:cs="宋体"/>
                <w:i w:val="0"/>
                <w:iCs w:val="0"/>
                <w:color w:val="000000"/>
                <w:sz w:val="15"/>
                <w:szCs w:val="15"/>
                <w:u w:val="none"/>
              </w:rPr>
            </w:pP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6A71FC98">
            <w:pPr>
              <w:jc w:val="right"/>
              <w:rPr>
                <w:rFonts w:hint="eastAsia" w:ascii="宋体" w:hAnsi="宋体" w:eastAsia="宋体" w:cs="宋体"/>
                <w:i w:val="0"/>
                <w:iCs w:val="0"/>
                <w:color w:val="000000"/>
                <w:sz w:val="15"/>
                <w:szCs w:val="15"/>
                <w:u w:val="none"/>
              </w:rPr>
            </w:pPr>
          </w:p>
        </w:tc>
      </w:tr>
      <w:tr w14:paraId="6602F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6C472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六、经营收入</w:t>
            </w: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C6587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E9F69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FF711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967E5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BD4A2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六、科学技术支出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5B054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5AC81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48E38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20351C">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BC6530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三、上缴上级支出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8852D7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63</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BA8282">
            <w:pPr>
              <w:jc w:val="right"/>
              <w:rPr>
                <w:rFonts w:hint="eastAsia" w:ascii="宋体" w:hAnsi="宋体" w:eastAsia="宋体" w:cs="宋体"/>
                <w:i w:val="0"/>
                <w:iCs w:val="0"/>
                <w:color w:val="000000"/>
                <w:sz w:val="15"/>
                <w:szCs w:val="15"/>
                <w:u w:val="none"/>
              </w:rPr>
            </w:pP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D33482">
            <w:pPr>
              <w:jc w:val="right"/>
              <w:rPr>
                <w:rFonts w:hint="eastAsia" w:ascii="宋体" w:hAnsi="宋体" w:eastAsia="宋体" w:cs="宋体"/>
                <w:i w:val="0"/>
                <w:iCs w:val="0"/>
                <w:color w:val="000000"/>
                <w:sz w:val="15"/>
                <w:szCs w:val="15"/>
                <w:u w:val="none"/>
              </w:rPr>
            </w:pP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6F4FC0DB">
            <w:pPr>
              <w:jc w:val="right"/>
              <w:rPr>
                <w:rFonts w:hint="eastAsia" w:ascii="宋体" w:hAnsi="宋体" w:eastAsia="宋体" w:cs="宋体"/>
                <w:i w:val="0"/>
                <w:iCs w:val="0"/>
                <w:color w:val="000000"/>
                <w:sz w:val="15"/>
                <w:szCs w:val="15"/>
                <w:u w:val="none"/>
              </w:rPr>
            </w:pPr>
          </w:p>
        </w:tc>
      </w:tr>
      <w:tr w14:paraId="78123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D1C73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七、附属单位上缴收入</w:t>
            </w: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5B721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7A2E0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9CAC5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53D4B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3ECBF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七、文化旅游体育与传媒支出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66793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10552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3,423,005.71</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DF037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4,414,483.07</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3E105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4,414,483.07</w:t>
            </w: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26EDF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四、经营支出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9E87D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CE89E1">
            <w:pPr>
              <w:jc w:val="right"/>
              <w:rPr>
                <w:rFonts w:hint="eastAsia" w:ascii="宋体" w:hAnsi="宋体" w:eastAsia="宋体" w:cs="宋体"/>
                <w:i w:val="0"/>
                <w:iCs w:val="0"/>
                <w:color w:val="000000"/>
                <w:sz w:val="15"/>
                <w:szCs w:val="15"/>
                <w:u w:val="none"/>
              </w:rPr>
            </w:pP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539116">
            <w:pPr>
              <w:jc w:val="right"/>
              <w:rPr>
                <w:rFonts w:hint="eastAsia" w:ascii="宋体" w:hAnsi="宋体" w:eastAsia="宋体" w:cs="宋体"/>
                <w:i w:val="0"/>
                <w:iCs w:val="0"/>
                <w:color w:val="000000"/>
                <w:sz w:val="15"/>
                <w:szCs w:val="15"/>
                <w:u w:val="none"/>
              </w:rPr>
            </w:pP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437FA6C5">
            <w:pPr>
              <w:jc w:val="right"/>
              <w:rPr>
                <w:rFonts w:hint="eastAsia" w:ascii="宋体" w:hAnsi="宋体" w:eastAsia="宋体" w:cs="宋体"/>
                <w:i w:val="0"/>
                <w:iCs w:val="0"/>
                <w:color w:val="000000"/>
                <w:sz w:val="15"/>
                <w:szCs w:val="15"/>
                <w:u w:val="none"/>
              </w:rPr>
            </w:pPr>
          </w:p>
        </w:tc>
      </w:tr>
      <w:tr w14:paraId="77BCD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DDB53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八、其他收入</w:t>
            </w: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0D6F7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DC7F7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133,486.35</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61549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103,561.20</w:t>
            </w: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FBB22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103,561.20</w:t>
            </w: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818E8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八、社会保障和就业支出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F0679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39</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EC6F4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406,236.81</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5043F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417,725.35</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C3DEC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417,725.35</w:t>
            </w: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FB6E9E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五、对附属单位补助支出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FCC024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D28329">
            <w:pPr>
              <w:jc w:val="right"/>
              <w:rPr>
                <w:rFonts w:hint="eastAsia" w:ascii="宋体" w:hAnsi="宋体" w:eastAsia="宋体" w:cs="宋体"/>
                <w:i w:val="0"/>
                <w:iCs w:val="0"/>
                <w:color w:val="000000"/>
                <w:sz w:val="15"/>
                <w:szCs w:val="15"/>
                <w:u w:val="none"/>
              </w:rPr>
            </w:pP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01F5A6">
            <w:pPr>
              <w:jc w:val="right"/>
              <w:rPr>
                <w:rFonts w:hint="eastAsia" w:ascii="宋体" w:hAnsi="宋体" w:eastAsia="宋体" w:cs="宋体"/>
                <w:i w:val="0"/>
                <w:iCs w:val="0"/>
                <w:color w:val="000000"/>
                <w:sz w:val="15"/>
                <w:szCs w:val="15"/>
                <w:u w:val="none"/>
              </w:rPr>
            </w:pP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498CD3D0">
            <w:pPr>
              <w:jc w:val="right"/>
              <w:rPr>
                <w:rFonts w:hint="eastAsia" w:ascii="宋体" w:hAnsi="宋体" w:eastAsia="宋体" w:cs="宋体"/>
                <w:i w:val="0"/>
                <w:iCs w:val="0"/>
                <w:color w:val="000000"/>
                <w:sz w:val="15"/>
                <w:szCs w:val="15"/>
                <w:u w:val="none"/>
              </w:rPr>
            </w:pPr>
          </w:p>
        </w:tc>
      </w:tr>
      <w:tr w14:paraId="61A2B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08E79D2">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F8146B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3E12A9">
            <w:pPr>
              <w:jc w:val="center"/>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93C562">
            <w:pPr>
              <w:jc w:val="lef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70434D">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01037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九、卫生健康支出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FD9ACD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14C5E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288,872.58</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9CD41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265,865.11</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D0F1B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265,865.11</w:t>
            </w: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7621AB">
            <w:pPr>
              <w:jc w:val="left"/>
              <w:rPr>
                <w:rFonts w:hint="eastAsia" w:ascii="宋体" w:hAnsi="宋体" w:eastAsia="宋体" w:cs="宋体"/>
                <w:i w:val="0"/>
                <w:iCs w:val="0"/>
                <w:color w:val="000000"/>
                <w:sz w:val="15"/>
                <w:szCs w:val="15"/>
                <w:u w:val="none"/>
              </w:rPr>
            </w:pP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427339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66</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B74102">
            <w:pPr>
              <w:jc w:val="right"/>
              <w:rPr>
                <w:rFonts w:hint="eastAsia" w:ascii="宋体" w:hAnsi="宋体" w:eastAsia="宋体" w:cs="宋体"/>
                <w:i w:val="0"/>
                <w:iCs w:val="0"/>
                <w:color w:val="000000"/>
                <w:sz w:val="15"/>
                <w:szCs w:val="15"/>
                <w:u w:val="none"/>
              </w:rPr>
            </w:pP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0A2AC0">
            <w:pPr>
              <w:jc w:val="right"/>
              <w:rPr>
                <w:rFonts w:hint="eastAsia" w:ascii="宋体" w:hAnsi="宋体" w:eastAsia="宋体" w:cs="宋体"/>
                <w:i w:val="0"/>
                <w:iCs w:val="0"/>
                <w:color w:val="000000"/>
                <w:sz w:val="15"/>
                <w:szCs w:val="15"/>
                <w:u w:val="none"/>
              </w:rPr>
            </w:pP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576EF851">
            <w:pPr>
              <w:jc w:val="right"/>
              <w:rPr>
                <w:rFonts w:hint="eastAsia" w:ascii="宋体" w:hAnsi="宋体" w:eastAsia="宋体" w:cs="宋体"/>
                <w:i w:val="0"/>
                <w:iCs w:val="0"/>
                <w:color w:val="000000"/>
                <w:sz w:val="15"/>
                <w:szCs w:val="15"/>
                <w:u w:val="none"/>
              </w:rPr>
            </w:pPr>
          </w:p>
        </w:tc>
      </w:tr>
      <w:tr w14:paraId="31C11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3432A7">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3EADF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C784EB">
            <w:pPr>
              <w:jc w:val="center"/>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2544B6">
            <w:pPr>
              <w:jc w:val="lef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F248BC">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68100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十、节能环保支出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49946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C9D44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DB937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A7AE6D">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61074D8">
            <w:pPr>
              <w:jc w:val="left"/>
              <w:rPr>
                <w:rFonts w:hint="eastAsia" w:ascii="宋体" w:hAnsi="宋体" w:eastAsia="宋体" w:cs="宋体"/>
                <w:i w:val="0"/>
                <w:iCs w:val="0"/>
                <w:color w:val="000000"/>
                <w:sz w:val="15"/>
                <w:szCs w:val="15"/>
                <w:u w:val="none"/>
              </w:rPr>
            </w:pP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6DFE4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67</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D1874B">
            <w:pPr>
              <w:jc w:val="right"/>
              <w:rPr>
                <w:rFonts w:hint="eastAsia" w:ascii="宋体" w:hAnsi="宋体" w:eastAsia="宋体" w:cs="宋体"/>
                <w:i w:val="0"/>
                <w:iCs w:val="0"/>
                <w:color w:val="000000"/>
                <w:sz w:val="15"/>
                <w:szCs w:val="15"/>
                <w:u w:val="none"/>
              </w:rPr>
            </w:pP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6D5939">
            <w:pPr>
              <w:jc w:val="right"/>
              <w:rPr>
                <w:rFonts w:hint="eastAsia" w:ascii="宋体" w:hAnsi="宋体" w:eastAsia="宋体" w:cs="宋体"/>
                <w:i w:val="0"/>
                <w:iCs w:val="0"/>
                <w:color w:val="000000"/>
                <w:sz w:val="15"/>
                <w:szCs w:val="15"/>
                <w:u w:val="none"/>
              </w:rPr>
            </w:pP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58DC4672">
            <w:pPr>
              <w:jc w:val="right"/>
              <w:rPr>
                <w:rFonts w:hint="eastAsia" w:ascii="宋体" w:hAnsi="宋体" w:eastAsia="宋体" w:cs="宋体"/>
                <w:i w:val="0"/>
                <w:iCs w:val="0"/>
                <w:color w:val="000000"/>
                <w:sz w:val="15"/>
                <w:szCs w:val="15"/>
                <w:u w:val="none"/>
              </w:rPr>
            </w:pPr>
          </w:p>
        </w:tc>
      </w:tr>
      <w:tr w14:paraId="34DAD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27E8D47">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F465D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43266C">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7F4004">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C02F1F">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8F02A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十一、城乡社区支出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51A99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B1358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F5184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202EE6">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C6111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经济分类支出合计</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686378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9C700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A03D7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4BDCEA4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5,350,765.53</w:t>
            </w:r>
          </w:p>
        </w:tc>
      </w:tr>
      <w:tr w14:paraId="43E37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11BDF1">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54A6CE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F62690">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885124">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1298D5">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693670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十二、农林水支出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55292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70E10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E3136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2B3626">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7F3A5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一、工资福利支出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882C6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69</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66C6B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7FC1A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4F99E47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3,241,339.16</w:t>
            </w:r>
          </w:p>
        </w:tc>
      </w:tr>
      <w:tr w14:paraId="1009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39FABB2">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AEBA75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F2239B">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DAA44C">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F047E7">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C7256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十三、交通运输支出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93039C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73D87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02E34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5AB020">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99E52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二、商品和服务支出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CDD47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1D803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0E956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0995360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520,900.95</w:t>
            </w:r>
          </w:p>
        </w:tc>
      </w:tr>
      <w:tr w14:paraId="157DE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94B956">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38D23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66259C">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BF3F6C">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62610D">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30485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十四、资源勘探工业信息等支出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9CEEA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62677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DCAFC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7910ED">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0F5A3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三、对个人和家庭的补助</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1B3F5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3E1D8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C27C6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6B50459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789,494.68</w:t>
            </w:r>
          </w:p>
        </w:tc>
      </w:tr>
      <w:tr w14:paraId="34C04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08F0DA">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11171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9B9137">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7083ED">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2E031E">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5DE59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十五、商业服务业等支出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58CF6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46</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33777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3BF3E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172830">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C5210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四、债务利息及费用支出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37B5DD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72</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C6D0A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A9553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2164573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493B1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CFD96E">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92008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0177CF">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05FDC5">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9292B0">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0DAED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十六、金融支出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A6695C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7FE88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1CE8D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A9204D">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C47300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五、资本性支出（基本建设）</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F2A53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73</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47025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52AD4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1ECE696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2E35E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39F294">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BA2E7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C9A04A">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039B60">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800FB5">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C545D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十七、援助其他地区支出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02596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4A429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4F0CA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805C48">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9127C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六、资本性支出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F98CE6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74</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7109B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B8353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2B5F92A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799,030.74</w:t>
            </w:r>
          </w:p>
        </w:tc>
      </w:tr>
      <w:tr w14:paraId="64ABE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16DC7F2">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4E461A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28F482">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1E9275">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2BB51D">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42B3F2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十八、自然资源海洋气象等支出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C9B1C2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399B0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70F47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C4262D">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4C267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七、对企业补助（基本建设）</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B2836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7CEB2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C35F6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0AC1D1A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4BA20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635FBF">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C82AA1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B0FAE9">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903A8F">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B18CB6">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4EE3A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十九、住房保障支出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18DCD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338C7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243,477.60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28AFA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252,692.00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432DD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252,692.00</w:t>
            </w: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70337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八、对企业补助</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E7979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76</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F50D0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327EF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354F0E7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782EE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0F2A94">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4E90A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B47B14">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B1912B">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750DA2">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F99284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二十、粮油物资储备支出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D17794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51</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A81CA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F44AB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5281DB">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53B77F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九、对社会保障基金补助</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24635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77</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330D9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4978E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4A785D1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108DE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886329">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55985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B3A1BC">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F93911">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2AD089">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4A4AA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二十一、国有资本经营预算支出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A6AB9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52</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4922D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F627B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5143ED">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454648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十、其他支出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669BD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78</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BE3C0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E3F3A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6E8C3E0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09887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F4B5C23">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6AA73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4BDA13">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893C5D">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77FFC7">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FF3976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二十二、灾害防治及应急管理支出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D1B2A0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B93B7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AF6DE4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51EDF8">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7657BC">
            <w:pPr>
              <w:jc w:val="left"/>
              <w:rPr>
                <w:rFonts w:hint="eastAsia" w:ascii="宋体" w:hAnsi="宋体" w:eastAsia="宋体" w:cs="宋体"/>
                <w:i w:val="0"/>
                <w:iCs w:val="0"/>
                <w:color w:val="000000"/>
                <w:sz w:val="15"/>
                <w:szCs w:val="15"/>
                <w:u w:val="none"/>
              </w:rPr>
            </w:pP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DAE61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79</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FD9CC8">
            <w:pPr>
              <w:jc w:val="center"/>
              <w:rPr>
                <w:rFonts w:hint="eastAsia" w:ascii="宋体" w:hAnsi="宋体" w:eastAsia="宋体" w:cs="宋体"/>
                <w:i w:val="0"/>
                <w:iCs w:val="0"/>
                <w:color w:val="000000"/>
                <w:sz w:val="15"/>
                <w:szCs w:val="15"/>
                <w:u w:val="none"/>
              </w:rPr>
            </w:pP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9D2D48">
            <w:pPr>
              <w:jc w:val="center"/>
              <w:rPr>
                <w:rFonts w:hint="eastAsia" w:ascii="宋体" w:hAnsi="宋体" w:eastAsia="宋体" w:cs="宋体"/>
                <w:i w:val="0"/>
                <w:iCs w:val="0"/>
                <w:color w:val="000000"/>
                <w:sz w:val="15"/>
                <w:szCs w:val="15"/>
                <w:u w:val="none"/>
              </w:rPr>
            </w:pP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6CC3FF6B">
            <w:pPr>
              <w:jc w:val="right"/>
              <w:rPr>
                <w:rFonts w:hint="eastAsia" w:ascii="宋体" w:hAnsi="宋体" w:eastAsia="宋体" w:cs="宋体"/>
                <w:i w:val="0"/>
                <w:iCs w:val="0"/>
                <w:color w:val="000000"/>
                <w:sz w:val="15"/>
                <w:szCs w:val="15"/>
                <w:u w:val="none"/>
              </w:rPr>
            </w:pPr>
          </w:p>
        </w:tc>
      </w:tr>
      <w:tr w14:paraId="419F3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957E30">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34195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4A9A22">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931094">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05DF5C">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CFBD5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二十三、其他支出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1C00E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B2A9A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B4C95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ADFF34">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F471953">
            <w:pPr>
              <w:jc w:val="left"/>
              <w:rPr>
                <w:rFonts w:hint="eastAsia" w:ascii="宋体" w:hAnsi="宋体" w:eastAsia="宋体" w:cs="宋体"/>
                <w:i w:val="0"/>
                <w:iCs w:val="0"/>
                <w:color w:val="000000"/>
                <w:sz w:val="15"/>
                <w:szCs w:val="15"/>
                <w:u w:val="none"/>
              </w:rPr>
            </w:pP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D31649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8F94F8">
            <w:pPr>
              <w:jc w:val="center"/>
              <w:rPr>
                <w:rFonts w:hint="eastAsia" w:ascii="宋体" w:hAnsi="宋体" w:eastAsia="宋体" w:cs="宋体"/>
                <w:i w:val="0"/>
                <w:iCs w:val="0"/>
                <w:color w:val="000000"/>
                <w:sz w:val="15"/>
                <w:szCs w:val="15"/>
                <w:u w:val="none"/>
              </w:rPr>
            </w:pP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E1F2B8">
            <w:pPr>
              <w:jc w:val="left"/>
              <w:rPr>
                <w:rFonts w:hint="eastAsia" w:ascii="宋体" w:hAnsi="宋体" w:eastAsia="宋体" w:cs="宋体"/>
                <w:i w:val="0"/>
                <w:iCs w:val="0"/>
                <w:color w:val="000000"/>
                <w:sz w:val="15"/>
                <w:szCs w:val="15"/>
                <w:u w:val="none"/>
              </w:rPr>
            </w:pP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60EE1EAB">
            <w:pPr>
              <w:jc w:val="right"/>
              <w:rPr>
                <w:rFonts w:hint="eastAsia" w:ascii="宋体" w:hAnsi="宋体" w:eastAsia="宋体" w:cs="宋体"/>
                <w:i w:val="0"/>
                <w:iCs w:val="0"/>
                <w:color w:val="000000"/>
                <w:sz w:val="15"/>
                <w:szCs w:val="15"/>
                <w:u w:val="none"/>
              </w:rPr>
            </w:pPr>
          </w:p>
        </w:tc>
      </w:tr>
      <w:tr w14:paraId="3AC08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7142DD">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196B9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99021E">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B1EC7F">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7AF409">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9CC47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二十四、债务还本支出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A34AC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55</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4EC43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49A4D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F163C1">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5E921FA">
            <w:pPr>
              <w:jc w:val="left"/>
              <w:rPr>
                <w:rFonts w:hint="eastAsia" w:ascii="宋体" w:hAnsi="宋体" w:eastAsia="宋体" w:cs="宋体"/>
                <w:i w:val="0"/>
                <w:iCs w:val="0"/>
                <w:color w:val="000000"/>
                <w:sz w:val="15"/>
                <w:szCs w:val="15"/>
                <w:u w:val="none"/>
              </w:rPr>
            </w:pP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1AD16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DAE7EB">
            <w:pPr>
              <w:jc w:val="left"/>
              <w:rPr>
                <w:rFonts w:hint="eastAsia" w:ascii="宋体" w:hAnsi="宋体" w:eastAsia="宋体" w:cs="宋体"/>
                <w:i w:val="0"/>
                <w:iCs w:val="0"/>
                <w:color w:val="000000"/>
                <w:sz w:val="15"/>
                <w:szCs w:val="15"/>
                <w:u w:val="none"/>
              </w:rPr>
            </w:pP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EF8D9F">
            <w:pPr>
              <w:jc w:val="left"/>
              <w:rPr>
                <w:rFonts w:hint="eastAsia" w:ascii="宋体" w:hAnsi="宋体" w:eastAsia="宋体" w:cs="宋体"/>
                <w:i w:val="0"/>
                <w:iCs w:val="0"/>
                <w:color w:val="000000"/>
                <w:sz w:val="15"/>
                <w:szCs w:val="15"/>
                <w:u w:val="none"/>
              </w:rPr>
            </w:pP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53752094">
            <w:pPr>
              <w:jc w:val="right"/>
              <w:rPr>
                <w:rFonts w:hint="eastAsia" w:ascii="宋体" w:hAnsi="宋体" w:eastAsia="宋体" w:cs="宋体"/>
                <w:i w:val="0"/>
                <w:iCs w:val="0"/>
                <w:color w:val="000000"/>
                <w:sz w:val="15"/>
                <w:szCs w:val="15"/>
                <w:u w:val="none"/>
              </w:rPr>
            </w:pPr>
          </w:p>
        </w:tc>
      </w:tr>
      <w:tr w14:paraId="24C98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E98D2C">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BDDDD5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6C125B">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6CB6C6">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A485C4">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A9A4B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二十五、债务付息支出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EF6D3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56</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0F0F3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F88F3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2253A0">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5EE2A0">
            <w:pPr>
              <w:jc w:val="left"/>
              <w:rPr>
                <w:rFonts w:hint="eastAsia" w:ascii="宋体" w:hAnsi="宋体" w:eastAsia="宋体" w:cs="宋体"/>
                <w:i w:val="0"/>
                <w:iCs w:val="0"/>
                <w:color w:val="000000"/>
                <w:sz w:val="15"/>
                <w:szCs w:val="15"/>
                <w:u w:val="none"/>
              </w:rPr>
            </w:pP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C0338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CE15D3">
            <w:pPr>
              <w:jc w:val="left"/>
              <w:rPr>
                <w:rFonts w:hint="eastAsia" w:ascii="宋体" w:hAnsi="宋体" w:eastAsia="宋体" w:cs="宋体"/>
                <w:i w:val="0"/>
                <w:iCs w:val="0"/>
                <w:color w:val="000000"/>
                <w:sz w:val="15"/>
                <w:szCs w:val="15"/>
                <w:u w:val="none"/>
              </w:rPr>
            </w:pP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2DE1B1">
            <w:pPr>
              <w:jc w:val="left"/>
              <w:rPr>
                <w:rFonts w:hint="eastAsia" w:ascii="宋体" w:hAnsi="宋体" w:eastAsia="宋体" w:cs="宋体"/>
                <w:i w:val="0"/>
                <w:iCs w:val="0"/>
                <w:color w:val="000000"/>
                <w:sz w:val="15"/>
                <w:szCs w:val="15"/>
                <w:u w:val="none"/>
              </w:rPr>
            </w:pP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5ECDA07D">
            <w:pPr>
              <w:jc w:val="right"/>
              <w:rPr>
                <w:rFonts w:hint="eastAsia" w:ascii="宋体" w:hAnsi="宋体" w:eastAsia="宋体" w:cs="宋体"/>
                <w:i w:val="0"/>
                <w:iCs w:val="0"/>
                <w:color w:val="000000"/>
                <w:sz w:val="15"/>
                <w:szCs w:val="15"/>
                <w:u w:val="none"/>
              </w:rPr>
            </w:pPr>
          </w:p>
        </w:tc>
      </w:tr>
      <w:tr w14:paraId="72237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F5F283">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8A391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E98FCC">
            <w:pPr>
              <w:jc w:val="right"/>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53F6CE">
            <w:pPr>
              <w:jc w:val="right"/>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18A9A7">
            <w:pPr>
              <w:jc w:val="right"/>
              <w:rPr>
                <w:rFonts w:hint="eastAsia" w:ascii="宋体" w:hAnsi="宋体" w:eastAsia="宋体" w:cs="宋体"/>
                <w:i w:val="0"/>
                <w:iCs w:val="0"/>
                <w:color w:val="000000"/>
                <w:sz w:val="15"/>
                <w:szCs w:val="15"/>
                <w:u w:val="none"/>
              </w:rPr>
            </w:pPr>
          </w:p>
        </w:tc>
        <w:tc>
          <w:tcPr>
            <w:tcW w:w="64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56E28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二十六、抗疫特别国债安排的支出</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23616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57</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01530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DC34F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137A47">
            <w:pPr>
              <w:jc w:val="right"/>
              <w:rPr>
                <w:rFonts w:hint="eastAsia" w:ascii="宋体" w:hAnsi="宋体" w:eastAsia="宋体" w:cs="宋体"/>
                <w:i w:val="0"/>
                <w:iCs w:val="0"/>
                <w:color w:val="000000"/>
                <w:sz w:val="15"/>
                <w:szCs w:val="15"/>
                <w:u w:val="none"/>
              </w:rPr>
            </w:pPr>
          </w:p>
        </w:tc>
        <w:tc>
          <w:tcPr>
            <w:tcW w:w="56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EC9F62">
            <w:pPr>
              <w:jc w:val="left"/>
              <w:rPr>
                <w:rFonts w:hint="eastAsia" w:ascii="宋体" w:hAnsi="宋体" w:eastAsia="宋体" w:cs="宋体"/>
                <w:i w:val="0"/>
                <w:iCs w:val="0"/>
                <w:color w:val="000000"/>
                <w:sz w:val="15"/>
                <w:szCs w:val="15"/>
                <w:u w:val="none"/>
              </w:rPr>
            </w:pP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8231A9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83</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A13662">
            <w:pPr>
              <w:jc w:val="left"/>
              <w:rPr>
                <w:rFonts w:hint="eastAsia" w:ascii="宋体" w:hAnsi="宋体" w:eastAsia="宋体" w:cs="宋体"/>
                <w:i w:val="0"/>
                <w:iCs w:val="0"/>
                <w:color w:val="000000"/>
                <w:sz w:val="15"/>
                <w:szCs w:val="15"/>
                <w:u w:val="none"/>
              </w:rPr>
            </w:pP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2DB93A">
            <w:pPr>
              <w:jc w:val="left"/>
              <w:rPr>
                <w:rFonts w:hint="eastAsia" w:ascii="宋体" w:hAnsi="宋体" w:eastAsia="宋体" w:cs="宋体"/>
                <w:i w:val="0"/>
                <w:iCs w:val="0"/>
                <w:color w:val="000000"/>
                <w:sz w:val="15"/>
                <w:szCs w:val="15"/>
                <w:u w:val="none"/>
              </w:rPr>
            </w:pP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6F260F50">
            <w:pPr>
              <w:jc w:val="right"/>
              <w:rPr>
                <w:rFonts w:hint="eastAsia" w:ascii="宋体" w:hAnsi="宋体" w:eastAsia="宋体" w:cs="宋体"/>
                <w:i w:val="0"/>
                <w:iCs w:val="0"/>
                <w:color w:val="000000"/>
                <w:sz w:val="15"/>
                <w:szCs w:val="15"/>
                <w:u w:val="none"/>
              </w:rPr>
            </w:pPr>
          </w:p>
        </w:tc>
      </w:tr>
      <w:tr w14:paraId="01F69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37E04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本年收入合计</w:t>
            </w: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CF737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CA85D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4,361,592.70</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01ACF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5,324,401.58</w:t>
            </w: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620A3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5,324,401.58</w:t>
            </w:r>
          </w:p>
        </w:tc>
        <w:tc>
          <w:tcPr>
            <w:tcW w:w="2229" w:type="pct"/>
            <w:gridSpan w:val="6"/>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758DF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本年支出合计</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1D759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84</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EE688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4,361,592.70</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54F29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5,350,765.53</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491EB5B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5,350,765.53</w:t>
            </w:r>
          </w:p>
        </w:tc>
      </w:tr>
      <w:tr w14:paraId="37E61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E4B59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使用非财政拨款结余（含专用结余）</w:t>
            </w: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F50353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68A51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7088E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297DC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229" w:type="pct"/>
            <w:gridSpan w:val="6"/>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3FBE84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结余分配</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4AA69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85</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539DB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7384E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2CA40998">
            <w:pPr>
              <w:jc w:val="right"/>
              <w:rPr>
                <w:rFonts w:hint="eastAsia" w:ascii="宋体" w:hAnsi="宋体" w:eastAsia="宋体" w:cs="宋体"/>
                <w:i w:val="0"/>
                <w:iCs w:val="0"/>
                <w:color w:val="000000"/>
                <w:sz w:val="15"/>
                <w:szCs w:val="15"/>
                <w:u w:val="none"/>
              </w:rPr>
            </w:pPr>
          </w:p>
        </w:tc>
      </w:tr>
      <w:tr w14:paraId="38F2B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1295C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年初结转和结余</w:t>
            </w: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C9874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FC04E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F97E9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29,925.15</w:t>
            </w: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C1F7E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29,925.15</w:t>
            </w:r>
          </w:p>
        </w:tc>
        <w:tc>
          <w:tcPr>
            <w:tcW w:w="2229" w:type="pct"/>
            <w:gridSpan w:val="6"/>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C030B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年末结转和结余</w:t>
            </w: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2FF253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86</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80866C">
            <w:pPr>
              <w:jc w:val="right"/>
              <w:rPr>
                <w:rFonts w:hint="eastAsia" w:ascii="宋体" w:hAnsi="宋体" w:eastAsia="宋体" w:cs="宋体"/>
                <w:i w:val="0"/>
                <w:iCs w:val="0"/>
                <w:color w:val="000000"/>
                <w:sz w:val="15"/>
                <w:szCs w:val="15"/>
                <w:u w:val="none"/>
              </w:rPr>
            </w:pP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D5F1D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3,561.20</w:t>
            </w: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5F3C019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3,561.20</w:t>
            </w:r>
          </w:p>
        </w:tc>
      </w:tr>
      <w:tr w14:paraId="12979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BC53664">
            <w:pPr>
              <w:jc w:val="left"/>
              <w:rPr>
                <w:rFonts w:hint="eastAsia" w:ascii="宋体" w:hAnsi="宋体" w:eastAsia="宋体" w:cs="宋体"/>
                <w:i w:val="0"/>
                <w:iCs w:val="0"/>
                <w:color w:val="000000"/>
                <w:sz w:val="15"/>
                <w:szCs w:val="15"/>
                <w:u w:val="none"/>
              </w:rPr>
            </w:pPr>
          </w:p>
        </w:tc>
        <w:tc>
          <w:tcPr>
            <w:tcW w:w="1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60F16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ED19F8">
            <w:pPr>
              <w:jc w:val="center"/>
              <w:rPr>
                <w:rFonts w:hint="eastAsia" w:ascii="宋体" w:hAnsi="宋体" w:eastAsia="宋体" w:cs="宋体"/>
                <w:i w:val="0"/>
                <w:iCs w:val="0"/>
                <w:color w:val="000000"/>
                <w:sz w:val="15"/>
                <w:szCs w:val="15"/>
                <w:u w:val="none"/>
              </w:rPr>
            </w:pPr>
          </w:p>
        </w:tc>
        <w:tc>
          <w:tcPr>
            <w:tcW w:w="2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4A15F1">
            <w:pPr>
              <w:jc w:val="center"/>
              <w:rPr>
                <w:rFonts w:hint="eastAsia" w:ascii="宋体" w:hAnsi="宋体" w:eastAsia="宋体" w:cs="宋体"/>
                <w:i w:val="0"/>
                <w:iCs w:val="0"/>
                <w:color w:val="000000"/>
                <w:sz w:val="15"/>
                <w:szCs w:val="15"/>
                <w:u w:val="none"/>
              </w:rPr>
            </w:pPr>
          </w:p>
        </w:tc>
        <w:tc>
          <w:tcPr>
            <w:tcW w:w="28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B428A4">
            <w:pPr>
              <w:jc w:val="right"/>
              <w:rPr>
                <w:rFonts w:hint="eastAsia" w:ascii="宋体" w:hAnsi="宋体" w:eastAsia="宋体" w:cs="宋体"/>
                <w:i w:val="0"/>
                <w:iCs w:val="0"/>
                <w:color w:val="000000"/>
                <w:sz w:val="15"/>
                <w:szCs w:val="15"/>
                <w:u w:val="none"/>
              </w:rPr>
            </w:pPr>
          </w:p>
        </w:tc>
        <w:tc>
          <w:tcPr>
            <w:tcW w:w="2229" w:type="pct"/>
            <w:gridSpan w:val="6"/>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359E08">
            <w:pPr>
              <w:jc w:val="left"/>
              <w:rPr>
                <w:rFonts w:hint="eastAsia" w:ascii="宋体" w:hAnsi="宋体" w:eastAsia="宋体" w:cs="宋体"/>
                <w:i w:val="0"/>
                <w:iCs w:val="0"/>
                <w:color w:val="000000"/>
                <w:sz w:val="15"/>
                <w:szCs w:val="15"/>
                <w:u w:val="none"/>
              </w:rPr>
            </w:pPr>
          </w:p>
        </w:tc>
        <w:tc>
          <w:tcPr>
            <w:tcW w:w="13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41884E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87</w:t>
            </w: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41EE33">
            <w:pPr>
              <w:jc w:val="center"/>
              <w:rPr>
                <w:rFonts w:hint="eastAsia" w:ascii="宋体" w:hAnsi="宋体" w:eastAsia="宋体" w:cs="宋体"/>
                <w:i w:val="0"/>
                <w:iCs w:val="0"/>
                <w:color w:val="000000"/>
                <w:sz w:val="15"/>
                <w:szCs w:val="15"/>
                <w:u w:val="none"/>
              </w:rPr>
            </w:pPr>
          </w:p>
        </w:tc>
        <w:tc>
          <w:tcPr>
            <w:tcW w:w="29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AE3996">
            <w:pPr>
              <w:jc w:val="center"/>
              <w:rPr>
                <w:rFonts w:hint="eastAsia" w:ascii="宋体" w:hAnsi="宋体" w:eastAsia="宋体" w:cs="宋体"/>
                <w:i w:val="0"/>
                <w:iCs w:val="0"/>
                <w:color w:val="000000"/>
                <w:sz w:val="15"/>
                <w:szCs w:val="15"/>
                <w:u w:val="none"/>
              </w:rPr>
            </w:pPr>
          </w:p>
        </w:tc>
        <w:tc>
          <w:tcPr>
            <w:tcW w:w="293" w:type="pct"/>
            <w:tcBorders>
              <w:top w:val="single" w:color="D4D4D4" w:sz="4" w:space="0"/>
              <w:left w:val="single" w:color="D4D4D4" w:sz="4" w:space="0"/>
              <w:bottom w:val="single" w:color="D4D4D4" w:sz="4" w:space="0"/>
              <w:right w:val="single" w:color="D4D4D4" w:sz="12" w:space="0"/>
            </w:tcBorders>
            <w:shd w:val="clear" w:color="auto" w:fill="FFFFFF"/>
            <w:noWrap/>
            <w:vAlign w:val="center"/>
          </w:tcPr>
          <w:p w14:paraId="5FD42870">
            <w:pPr>
              <w:jc w:val="right"/>
              <w:rPr>
                <w:rFonts w:hint="eastAsia" w:ascii="宋体" w:hAnsi="宋体" w:eastAsia="宋体" w:cs="宋体"/>
                <w:i w:val="0"/>
                <w:iCs w:val="0"/>
                <w:color w:val="000000"/>
                <w:sz w:val="15"/>
                <w:szCs w:val="15"/>
                <w:u w:val="none"/>
              </w:rPr>
            </w:pPr>
          </w:p>
        </w:tc>
      </w:tr>
      <w:tr w14:paraId="222B3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5" w:type="pct"/>
            <w:tcBorders>
              <w:top w:val="single" w:color="D4D4D4" w:sz="4" w:space="0"/>
              <w:left w:val="single" w:color="D4D4D4" w:sz="4" w:space="0"/>
              <w:bottom w:val="single" w:color="D4D4D4" w:sz="12" w:space="0"/>
              <w:right w:val="single" w:color="D4D4D4" w:sz="4" w:space="0"/>
            </w:tcBorders>
            <w:shd w:val="clear" w:color="auto" w:fill="F1F1F1"/>
            <w:noWrap/>
            <w:vAlign w:val="center"/>
          </w:tcPr>
          <w:p w14:paraId="69909B9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总计</w:t>
            </w:r>
          </w:p>
        </w:tc>
        <w:tc>
          <w:tcPr>
            <w:tcW w:w="133" w:type="pct"/>
            <w:tcBorders>
              <w:top w:val="single" w:color="D4D4D4" w:sz="4" w:space="0"/>
              <w:left w:val="single" w:color="D4D4D4" w:sz="4" w:space="0"/>
              <w:bottom w:val="single" w:color="D4D4D4" w:sz="12" w:space="0"/>
              <w:right w:val="single" w:color="D4D4D4" w:sz="4" w:space="0"/>
            </w:tcBorders>
            <w:shd w:val="clear" w:color="auto" w:fill="F1F1F1"/>
            <w:noWrap/>
            <w:vAlign w:val="center"/>
          </w:tcPr>
          <w:p w14:paraId="29A5B0E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w:t>
            </w:r>
          </w:p>
        </w:tc>
        <w:tc>
          <w:tcPr>
            <w:tcW w:w="288" w:type="pct"/>
            <w:tcBorders>
              <w:top w:val="single" w:color="D4D4D4" w:sz="4" w:space="0"/>
              <w:left w:val="single" w:color="D4D4D4" w:sz="4" w:space="0"/>
              <w:bottom w:val="single" w:color="D4D4D4" w:sz="12" w:space="0"/>
              <w:right w:val="single" w:color="D4D4D4" w:sz="4" w:space="0"/>
            </w:tcBorders>
            <w:shd w:val="clear" w:color="auto" w:fill="FFFFFF"/>
            <w:noWrap/>
            <w:vAlign w:val="center"/>
          </w:tcPr>
          <w:p w14:paraId="1F5AA99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4,361,592.70</w:t>
            </w:r>
          </w:p>
        </w:tc>
        <w:tc>
          <w:tcPr>
            <w:tcW w:w="288" w:type="pct"/>
            <w:tcBorders>
              <w:top w:val="single" w:color="D4D4D4" w:sz="4" w:space="0"/>
              <w:left w:val="single" w:color="D4D4D4" w:sz="4" w:space="0"/>
              <w:bottom w:val="single" w:color="D4D4D4" w:sz="12" w:space="0"/>
              <w:right w:val="single" w:color="D4D4D4" w:sz="4" w:space="0"/>
            </w:tcBorders>
            <w:shd w:val="clear" w:color="auto" w:fill="FFFFFF"/>
            <w:noWrap/>
            <w:vAlign w:val="center"/>
          </w:tcPr>
          <w:p w14:paraId="62EADD7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5,354,326.73</w:t>
            </w:r>
          </w:p>
        </w:tc>
        <w:tc>
          <w:tcPr>
            <w:tcW w:w="289" w:type="pct"/>
            <w:tcBorders>
              <w:top w:val="single" w:color="D4D4D4" w:sz="4" w:space="0"/>
              <w:left w:val="single" w:color="D4D4D4" w:sz="4" w:space="0"/>
              <w:bottom w:val="single" w:color="D4D4D4" w:sz="12" w:space="0"/>
              <w:right w:val="single" w:color="D4D4D4" w:sz="4" w:space="0"/>
            </w:tcBorders>
            <w:shd w:val="clear" w:color="auto" w:fill="FFFFFF"/>
            <w:noWrap/>
            <w:vAlign w:val="center"/>
          </w:tcPr>
          <w:p w14:paraId="035D7B9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5,354,326.73</w:t>
            </w:r>
          </w:p>
        </w:tc>
        <w:tc>
          <w:tcPr>
            <w:tcW w:w="2229" w:type="pct"/>
            <w:gridSpan w:val="6"/>
            <w:tcBorders>
              <w:top w:val="single" w:color="D4D4D4" w:sz="4" w:space="0"/>
              <w:left w:val="single" w:color="D4D4D4" w:sz="4" w:space="0"/>
              <w:bottom w:val="single" w:color="D4D4D4" w:sz="12" w:space="0"/>
              <w:right w:val="single" w:color="D4D4D4" w:sz="4" w:space="0"/>
            </w:tcBorders>
            <w:shd w:val="clear" w:color="auto" w:fill="F1F1F1"/>
            <w:noWrap/>
            <w:vAlign w:val="center"/>
          </w:tcPr>
          <w:p w14:paraId="76B4AA0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总计</w:t>
            </w:r>
          </w:p>
        </w:tc>
        <w:tc>
          <w:tcPr>
            <w:tcW w:w="135" w:type="pct"/>
            <w:tcBorders>
              <w:top w:val="single" w:color="D4D4D4" w:sz="4" w:space="0"/>
              <w:left w:val="single" w:color="D4D4D4" w:sz="4" w:space="0"/>
              <w:bottom w:val="single" w:color="D4D4D4" w:sz="12" w:space="0"/>
              <w:right w:val="single" w:color="D4D4D4" w:sz="4" w:space="0"/>
            </w:tcBorders>
            <w:shd w:val="clear" w:color="auto" w:fill="F1F1F1"/>
            <w:noWrap/>
            <w:vAlign w:val="center"/>
          </w:tcPr>
          <w:p w14:paraId="7735CBB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88</w:t>
            </w:r>
          </w:p>
        </w:tc>
        <w:tc>
          <w:tcPr>
            <w:tcW w:w="292" w:type="pct"/>
            <w:tcBorders>
              <w:top w:val="single" w:color="D4D4D4" w:sz="4" w:space="0"/>
              <w:left w:val="single" w:color="D4D4D4" w:sz="4" w:space="0"/>
              <w:bottom w:val="single" w:color="D4D4D4" w:sz="12" w:space="0"/>
              <w:right w:val="single" w:color="D4D4D4" w:sz="4" w:space="0"/>
            </w:tcBorders>
            <w:shd w:val="clear" w:color="auto" w:fill="FFFFFF"/>
            <w:noWrap/>
            <w:vAlign w:val="center"/>
          </w:tcPr>
          <w:p w14:paraId="3993E36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4,361,592.70</w:t>
            </w:r>
          </w:p>
        </w:tc>
        <w:tc>
          <w:tcPr>
            <w:tcW w:w="292" w:type="pct"/>
            <w:tcBorders>
              <w:top w:val="single" w:color="D4D4D4" w:sz="4" w:space="0"/>
              <w:left w:val="single" w:color="D4D4D4" w:sz="4" w:space="0"/>
              <w:bottom w:val="single" w:color="D4D4D4" w:sz="12" w:space="0"/>
              <w:right w:val="single" w:color="D4D4D4" w:sz="4" w:space="0"/>
            </w:tcBorders>
            <w:shd w:val="clear" w:color="auto" w:fill="FFFFFF"/>
            <w:noWrap/>
            <w:vAlign w:val="center"/>
          </w:tcPr>
          <w:p w14:paraId="03E147C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5,354,326.73</w:t>
            </w:r>
          </w:p>
        </w:tc>
        <w:tc>
          <w:tcPr>
            <w:tcW w:w="293" w:type="pct"/>
            <w:tcBorders>
              <w:top w:val="single" w:color="D4D4D4" w:sz="4" w:space="0"/>
              <w:left w:val="single" w:color="D4D4D4" w:sz="4" w:space="0"/>
              <w:bottom w:val="single" w:color="D4D4D4" w:sz="12" w:space="0"/>
              <w:right w:val="single" w:color="D4D4D4" w:sz="12" w:space="0"/>
            </w:tcBorders>
            <w:shd w:val="clear" w:color="auto" w:fill="FFFFFF"/>
            <w:noWrap/>
            <w:vAlign w:val="center"/>
          </w:tcPr>
          <w:p w14:paraId="6F0E3F8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5,354,326.73</w:t>
            </w:r>
          </w:p>
        </w:tc>
      </w:tr>
    </w:tbl>
    <w:p w14:paraId="0B44427F">
      <w:pPr>
        <w:rPr>
          <w:rFonts w:ascii="Times New Roman" w:hAnsi="Times New Roman" w:eastAsia="仿宋_GB2312" w:cs="Times New Roman"/>
          <w:color w:val="000000" w:themeColor="text1"/>
        </w:rPr>
      </w:pP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0000000000000000000"/>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楷体">
    <w:altName w:val="宋体"/>
    <w:panose1 w:val="00000000000000000000"/>
    <w:charset w:val="86"/>
    <w:family w:val="auto"/>
    <w:pitch w:val="default"/>
    <w:sig w:usb0="00000000" w:usb1="00000000" w:usb2="00000000" w:usb3="00000000" w:csb0="0004009F" w:csb1="DFD70000"/>
  </w:font>
  <w:font w:name="华文中宋">
    <w:altName w:val="宋体"/>
    <w:panose1 w:val="00000000000000000000"/>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A0E5D">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14</w:t>
    </w:r>
    <w:r>
      <w:rPr>
        <w:rStyle w:val="11"/>
      </w:rPr>
      <w:fldChar w:fldCharType="end"/>
    </w:r>
  </w:p>
  <w:p w14:paraId="4F75775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AB7BB">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53C21BA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8F4E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FE0A1">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05D2D">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mNjlkZTI2ZmNlNDgyYjNlMmQ5MWE1OGQ3ZGUzZGIifQ=="/>
  </w:docVars>
  <w:rsids>
    <w:rsidRoot w:val="00AB15A5"/>
    <w:rsid w:val="00001D1B"/>
    <w:rsid w:val="00004863"/>
    <w:rsid w:val="000252CD"/>
    <w:rsid w:val="000262A5"/>
    <w:rsid w:val="00027BFA"/>
    <w:rsid w:val="000330A8"/>
    <w:rsid w:val="0004199C"/>
    <w:rsid w:val="00052D29"/>
    <w:rsid w:val="00056AB9"/>
    <w:rsid w:val="000616A9"/>
    <w:rsid w:val="00087FBA"/>
    <w:rsid w:val="00092A3F"/>
    <w:rsid w:val="000A7D4D"/>
    <w:rsid w:val="000B14E0"/>
    <w:rsid w:val="000C5353"/>
    <w:rsid w:val="000D483E"/>
    <w:rsid w:val="000E38B7"/>
    <w:rsid w:val="000F4B08"/>
    <w:rsid w:val="00113033"/>
    <w:rsid w:val="0012521A"/>
    <w:rsid w:val="001339D1"/>
    <w:rsid w:val="00156477"/>
    <w:rsid w:val="00164239"/>
    <w:rsid w:val="001951A1"/>
    <w:rsid w:val="001D2AB1"/>
    <w:rsid w:val="001D3E0B"/>
    <w:rsid w:val="001D7519"/>
    <w:rsid w:val="001F2611"/>
    <w:rsid w:val="001F537F"/>
    <w:rsid w:val="00217A0B"/>
    <w:rsid w:val="00231733"/>
    <w:rsid w:val="00237227"/>
    <w:rsid w:val="00243F74"/>
    <w:rsid w:val="0024501A"/>
    <w:rsid w:val="00246D90"/>
    <w:rsid w:val="00250304"/>
    <w:rsid w:val="00257881"/>
    <w:rsid w:val="002644F6"/>
    <w:rsid w:val="00275A27"/>
    <w:rsid w:val="002774CC"/>
    <w:rsid w:val="00292C5C"/>
    <w:rsid w:val="00295B4E"/>
    <w:rsid w:val="00296704"/>
    <w:rsid w:val="002A5CA0"/>
    <w:rsid w:val="002C2EC8"/>
    <w:rsid w:val="002D0DF9"/>
    <w:rsid w:val="002D54E7"/>
    <w:rsid w:val="002E4AA3"/>
    <w:rsid w:val="002F42CB"/>
    <w:rsid w:val="002F712F"/>
    <w:rsid w:val="0031066D"/>
    <w:rsid w:val="00327F72"/>
    <w:rsid w:val="003423E1"/>
    <w:rsid w:val="003756A9"/>
    <w:rsid w:val="003A4532"/>
    <w:rsid w:val="003B118F"/>
    <w:rsid w:val="003B7519"/>
    <w:rsid w:val="003C197D"/>
    <w:rsid w:val="003D0404"/>
    <w:rsid w:val="003D3258"/>
    <w:rsid w:val="003D7AC0"/>
    <w:rsid w:val="003E1328"/>
    <w:rsid w:val="003E2405"/>
    <w:rsid w:val="003E47C1"/>
    <w:rsid w:val="003F7337"/>
    <w:rsid w:val="00400EC0"/>
    <w:rsid w:val="0040221C"/>
    <w:rsid w:val="00415717"/>
    <w:rsid w:val="00416122"/>
    <w:rsid w:val="00416AFE"/>
    <w:rsid w:val="00435F86"/>
    <w:rsid w:val="0046455D"/>
    <w:rsid w:val="00464742"/>
    <w:rsid w:val="004766AD"/>
    <w:rsid w:val="004A06DD"/>
    <w:rsid w:val="004A29DB"/>
    <w:rsid w:val="004A46C7"/>
    <w:rsid w:val="004C35A5"/>
    <w:rsid w:val="004C5639"/>
    <w:rsid w:val="004C7942"/>
    <w:rsid w:val="004F3136"/>
    <w:rsid w:val="00504F17"/>
    <w:rsid w:val="0050721C"/>
    <w:rsid w:val="00512BC4"/>
    <w:rsid w:val="0053374C"/>
    <w:rsid w:val="00535E49"/>
    <w:rsid w:val="00540AE3"/>
    <w:rsid w:val="00552083"/>
    <w:rsid w:val="00572EDF"/>
    <w:rsid w:val="00582EEB"/>
    <w:rsid w:val="00596AB9"/>
    <w:rsid w:val="005B4336"/>
    <w:rsid w:val="005B4646"/>
    <w:rsid w:val="005B61EB"/>
    <w:rsid w:val="005C3DDE"/>
    <w:rsid w:val="005D1815"/>
    <w:rsid w:val="005D7805"/>
    <w:rsid w:val="005E3A75"/>
    <w:rsid w:val="005E46EB"/>
    <w:rsid w:val="005F0ED4"/>
    <w:rsid w:val="005F6ED9"/>
    <w:rsid w:val="0061570C"/>
    <w:rsid w:val="00615CE9"/>
    <w:rsid w:val="00621E6E"/>
    <w:rsid w:val="00625277"/>
    <w:rsid w:val="0063239B"/>
    <w:rsid w:val="00634437"/>
    <w:rsid w:val="006543D1"/>
    <w:rsid w:val="006A0FD5"/>
    <w:rsid w:val="006A6E8B"/>
    <w:rsid w:val="006A7265"/>
    <w:rsid w:val="006B2ECB"/>
    <w:rsid w:val="006D2400"/>
    <w:rsid w:val="006D603F"/>
    <w:rsid w:val="006D69AD"/>
    <w:rsid w:val="006F2595"/>
    <w:rsid w:val="006F7125"/>
    <w:rsid w:val="00732061"/>
    <w:rsid w:val="00737D0A"/>
    <w:rsid w:val="00743EDF"/>
    <w:rsid w:val="00752714"/>
    <w:rsid w:val="0075649C"/>
    <w:rsid w:val="007669B7"/>
    <w:rsid w:val="00770AA7"/>
    <w:rsid w:val="00781ED8"/>
    <w:rsid w:val="00794A95"/>
    <w:rsid w:val="007971E3"/>
    <w:rsid w:val="007A2F21"/>
    <w:rsid w:val="007A6DD0"/>
    <w:rsid w:val="007A6FC8"/>
    <w:rsid w:val="007A7C16"/>
    <w:rsid w:val="007B1C0E"/>
    <w:rsid w:val="007C2568"/>
    <w:rsid w:val="007C5EEF"/>
    <w:rsid w:val="007D1307"/>
    <w:rsid w:val="007D4F4C"/>
    <w:rsid w:val="007D5258"/>
    <w:rsid w:val="007E0034"/>
    <w:rsid w:val="007F1038"/>
    <w:rsid w:val="007F18F7"/>
    <w:rsid w:val="007F3B00"/>
    <w:rsid w:val="0080770E"/>
    <w:rsid w:val="00816A71"/>
    <w:rsid w:val="00816D03"/>
    <w:rsid w:val="00821504"/>
    <w:rsid w:val="00841AAA"/>
    <w:rsid w:val="00843024"/>
    <w:rsid w:val="00862FF5"/>
    <w:rsid w:val="00865A3E"/>
    <w:rsid w:val="008744CF"/>
    <w:rsid w:val="008A2C71"/>
    <w:rsid w:val="008B56CE"/>
    <w:rsid w:val="008C79C6"/>
    <w:rsid w:val="008D3F64"/>
    <w:rsid w:val="008E0771"/>
    <w:rsid w:val="008E3D38"/>
    <w:rsid w:val="008E41A8"/>
    <w:rsid w:val="008F06E2"/>
    <w:rsid w:val="00901D6A"/>
    <w:rsid w:val="00904138"/>
    <w:rsid w:val="00911665"/>
    <w:rsid w:val="0091427F"/>
    <w:rsid w:val="00917E61"/>
    <w:rsid w:val="00930B29"/>
    <w:rsid w:val="00942754"/>
    <w:rsid w:val="00943973"/>
    <w:rsid w:val="0096542E"/>
    <w:rsid w:val="00972F5B"/>
    <w:rsid w:val="00976FE4"/>
    <w:rsid w:val="0098733B"/>
    <w:rsid w:val="009903EC"/>
    <w:rsid w:val="009A064B"/>
    <w:rsid w:val="009A3DF1"/>
    <w:rsid w:val="009B315B"/>
    <w:rsid w:val="009C60E8"/>
    <w:rsid w:val="009C6444"/>
    <w:rsid w:val="009D367C"/>
    <w:rsid w:val="009E258B"/>
    <w:rsid w:val="009E50F3"/>
    <w:rsid w:val="009F3524"/>
    <w:rsid w:val="00A032E1"/>
    <w:rsid w:val="00A03A9D"/>
    <w:rsid w:val="00A1009F"/>
    <w:rsid w:val="00A131FD"/>
    <w:rsid w:val="00A36F62"/>
    <w:rsid w:val="00A54AB0"/>
    <w:rsid w:val="00A64568"/>
    <w:rsid w:val="00A64CBF"/>
    <w:rsid w:val="00A663A4"/>
    <w:rsid w:val="00A8754E"/>
    <w:rsid w:val="00AA4B4F"/>
    <w:rsid w:val="00AB15A5"/>
    <w:rsid w:val="00AB41E1"/>
    <w:rsid w:val="00AB69ED"/>
    <w:rsid w:val="00AD55A1"/>
    <w:rsid w:val="00AE0634"/>
    <w:rsid w:val="00AE6027"/>
    <w:rsid w:val="00B04AF9"/>
    <w:rsid w:val="00B223EF"/>
    <w:rsid w:val="00B37E13"/>
    <w:rsid w:val="00B471E9"/>
    <w:rsid w:val="00B51106"/>
    <w:rsid w:val="00B51902"/>
    <w:rsid w:val="00B53CCD"/>
    <w:rsid w:val="00B53E17"/>
    <w:rsid w:val="00B74C15"/>
    <w:rsid w:val="00BA2B82"/>
    <w:rsid w:val="00BB6040"/>
    <w:rsid w:val="00BE2B62"/>
    <w:rsid w:val="00BF403D"/>
    <w:rsid w:val="00BF6A81"/>
    <w:rsid w:val="00C06846"/>
    <w:rsid w:val="00C118C9"/>
    <w:rsid w:val="00C2577E"/>
    <w:rsid w:val="00C2761F"/>
    <w:rsid w:val="00C34247"/>
    <w:rsid w:val="00C404D5"/>
    <w:rsid w:val="00C447A5"/>
    <w:rsid w:val="00C556C3"/>
    <w:rsid w:val="00C669F5"/>
    <w:rsid w:val="00C73D4A"/>
    <w:rsid w:val="00C9106D"/>
    <w:rsid w:val="00C93C92"/>
    <w:rsid w:val="00C94602"/>
    <w:rsid w:val="00C95664"/>
    <w:rsid w:val="00CA0EFC"/>
    <w:rsid w:val="00CB057C"/>
    <w:rsid w:val="00CB1CB0"/>
    <w:rsid w:val="00CC13F0"/>
    <w:rsid w:val="00CC5E63"/>
    <w:rsid w:val="00CD3092"/>
    <w:rsid w:val="00CF4D2B"/>
    <w:rsid w:val="00D72800"/>
    <w:rsid w:val="00D90A36"/>
    <w:rsid w:val="00DA7FD2"/>
    <w:rsid w:val="00DB61C0"/>
    <w:rsid w:val="00DB66CD"/>
    <w:rsid w:val="00DF2869"/>
    <w:rsid w:val="00DF4B6B"/>
    <w:rsid w:val="00E0458C"/>
    <w:rsid w:val="00E11728"/>
    <w:rsid w:val="00E17FB9"/>
    <w:rsid w:val="00E26800"/>
    <w:rsid w:val="00E27F35"/>
    <w:rsid w:val="00E37A1B"/>
    <w:rsid w:val="00E43474"/>
    <w:rsid w:val="00E4354B"/>
    <w:rsid w:val="00E54606"/>
    <w:rsid w:val="00E5745C"/>
    <w:rsid w:val="00E57805"/>
    <w:rsid w:val="00E75C21"/>
    <w:rsid w:val="00E76456"/>
    <w:rsid w:val="00E7751D"/>
    <w:rsid w:val="00E9188C"/>
    <w:rsid w:val="00E9628F"/>
    <w:rsid w:val="00EA10C1"/>
    <w:rsid w:val="00EA1316"/>
    <w:rsid w:val="00EA3252"/>
    <w:rsid w:val="00EB1E0A"/>
    <w:rsid w:val="00EC5461"/>
    <w:rsid w:val="00EC7692"/>
    <w:rsid w:val="00ED41CF"/>
    <w:rsid w:val="00EF0DC6"/>
    <w:rsid w:val="00EF198A"/>
    <w:rsid w:val="00F01639"/>
    <w:rsid w:val="00F06218"/>
    <w:rsid w:val="00F1225F"/>
    <w:rsid w:val="00F222E3"/>
    <w:rsid w:val="00F226B6"/>
    <w:rsid w:val="00F57B61"/>
    <w:rsid w:val="00F90AB4"/>
    <w:rsid w:val="00F937C4"/>
    <w:rsid w:val="00F95589"/>
    <w:rsid w:val="00FC7FC3"/>
    <w:rsid w:val="00FD1B2C"/>
    <w:rsid w:val="00FE3CDD"/>
    <w:rsid w:val="01A00C4B"/>
    <w:rsid w:val="04B0496F"/>
    <w:rsid w:val="050E66C0"/>
    <w:rsid w:val="05B66C8F"/>
    <w:rsid w:val="06E23AB3"/>
    <w:rsid w:val="07873723"/>
    <w:rsid w:val="07D95D21"/>
    <w:rsid w:val="07F27D26"/>
    <w:rsid w:val="086E55FF"/>
    <w:rsid w:val="08AF79C5"/>
    <w:rsid w:val="094D790A"/>
    <w:rsid w:val="0ABF17DD"/>
    <w:rsid w:val="0B036D83"/>
    <w:rsid w:val="0B73433A"/>
    <w:rsid w:val="0BFB1A2F"/>
    <w:rsid w:val="0C0B7609"/>
    <w:rsid w:val="0D064E5E"/>
    <w:rsid w:val="0D9F5624"/>
    <w:rsid w:val="0DAB10A3"/>
    <w:rsid w:val="0DB77A48"/>
    <w:rsid w:val="0EFD435B"/>
    <w:rsid w:val="108A31F2"/>
    <w:rsid w:val="10C61D50"/>
    <w:rsid w:val="11587097"/>
    <w:rsid w:val="120A5DA9"/>
    <w:rsid w:val="12901BA3"/>
    <w:rsid w:val="12A06CFD"/>
    <w:rsid w:val="12E069F1"/>
    <w:rsid w:val="13C31F2F"/>
    <w:rsid w:val="13CE1D1B"/>
    <w:rsid w:val="14524026"/>
    <w:rsid w:val="15520056"/>
    <w:rsid w:val="15EC2259"/>
    <w:rsid w:val="16866209"/>
    <w:rsid w:val="16E11692"/>
    <w:rsid w:val="16F07B27"/>
    <w:rsid w:val="171C091C"/>
    <w:rsid w:val="17FA36C0"/>
    <w:rsid w:val="182255F2"/>
    <w:rsid w:val="19622F5E"/>
    <w:rsid w:val="19995F54"/>
    <w:rsid w:val="1A753EF5"/>
    <w:rsid w:val="1B5E7755"/>
    <w:rsid w:val="1C6C7C4F"/>
    <w:rsid w:val="1CE75528"/>
    <w:rsid w:val="1DC67833"/>
    <w:rsid w:val="1DFD14A7"/>
    <w:rsid w:val="1FBC2C9C"/>
    <w:rsid w:val="203E07CD"/>
    <w:rsid w:val="21352D06"/>
    <w:rsid w:val="23126D34"/>
    <w:rsid w:val="241A2687"/>
    <w:rsid w:val="24253C3D"/>
    <w:rsid w:val="259049AF"/>
    <w:rsid w:val="25E44CFA"/>
    <w:rsid w:val="26A821CC"/>
    <w:rsid w:val="26E01966"/>
    <w:rsid w:val="27182EAE"/>
    <w:rsid w:val="289B1FE8"/>
    <w:rsid w:val="29634188"/>
    <w:rsid w:val="2A872C04"/>
    <w:rsid w:val="2AC05D36"/>
    <w:rsid w:val="2B141BDE"/>
    <w:rsid w:val="2B9B5E5B"/>
    <w:rsid w:val="2CBD0053"/>
    <w:rsid w:val="2D256324"/>
    <w:rsid w:val="2E76670C"/>
    <w:rsid w:val="2F2B74F6"/>
    <w:rsid w:val="303074BA"/>
    <w:rsid w:val="303845C1"/>
    <w:rsid w:val="3049057C"/>
    <w:rsid w:val="328D7F33"/>
    <w:rsid w:val="355C665B"/>
    <w:rsid w:val="36E7289C"/>
    <w:rsid w:val="3769305E"/>
    <w:rsid w:val="3AB24F6F"/>
    <w:rsid w:val="3BAA3A7D"/>
    <w:rsid w:val="3BFA2C9F"/>
    <w:rsid w:val="3C29300F"/>
    <w:rsid w:val="3E720C9E"/>
    <w:rsid w:val="3EB33917"/>
    <w:rsid w:val="3EB412B6"/>
    <w:rsid w:val="3EEB0A50"/>
    <w:rsid w:val="3F0044FB"/>
    <w:rsid w:val="3F1735F3"/>
    <w:rsid w:val="3F1F14AC"/>
    <w:rsid w:val="400F7F20"/>
    <w:rsid w:val="41432DC5"/>
    <w:rsid w:val="42116A20"/>
    <w:rsid w:val="425C5EED"/>
    <w:rsid w:val="433724B6"/>
    <w:rsid w:val="44054362"/>
    <w:rsid w:val="4440651E"/>
    <w:rsid w:val="453E7B2C"/>
    <w:rsid w:val="460A3EB2"/>
    <w:rsid w:val="46C71DA3"/>
    <w:rsid w:val="47834136"/>
    <w:rsid w:val="47B0504B"/>
    <w:rsid w:val="48D10CB7"/>
    <w:rsid w:val="4BA6642B"/>
    <w:rsid w:val="4E832A53"/>
    <w:rsid w:val="50B12FCF"/>
    <w:rsid w:val="51A0391C"/>
    <w:rsid w:val="52E37F64"/>
    <w:rsid w:val="548117E3"/>
    <w:rsid w:val="54A97900"/>
    <w:rsid w:val="54D51B2F"/>
    <w:rsid w:val="54E104D3"/>
    <w:rsid w:val="56660C90"/>
    <w:rsid w:val="566B704D"/>
    <w:rsid w:val="56F903A3"/>
    <w:rsid w:val="58354DBE"/>
    <w:rsid w:val="58A345CB"/>
    <w:rsid w:val="58C41043"/>
    <w:rsid w:val="5B74751A"/>
    <w:rsid w:val="5DE90C38"/>
    <w:rsid w:val="5E7E6D93"/>
    <w:rsid w:val="5EB05E66"/>
    <w:rsid w:val="5EBD748E"/>
    <w:rsid w:val="5FFC08B7"/>
    <w:rsid w:val="609D79A4"/>
    <w:rsid w:val="60E66F95"/>
    <w:rsid w:val="60EF4C1A"/>
    <w:rsid w:val="61CB73F0"/>
    <w:rsid w:val="61E12E4A"/>
    <w:rsid w:val="64A07A63"/>
    <w:rsid w:val="64B945B0"/>
    <w:rsid w:val="652609B9"/>
    <w:rsid w:val="65BD63F3"/>
    <w:rsid w:val="65DA0D53"/>
    <w:rsid w:val="66274C9E"/>
    <w:rsid w:val="66732D9F"/>
    <w:rsid w:val="668016D1"/>
    <w:rsid w:val="66903B07"/>
    <w:rsid w:val="680D76C2"/>
    <w:rsid w:val="6897117D"/>
    <w:rsid w:val="695568C1"/>
    <w:rsid w:val="6B460C38"/>
    <w:rsid w:val="6D151E2E"/>
    <w:rsid w:val="6D9739CD"/>
    <w:rsid w:val="6E875380"/>
    <w:rsid w:val="6F152DFC"/>
    <w:rsid w:val="6F3C65DA"/>
    <w:rsid w:val="6F806E0F"/>
    <w:rsid w:val="6FD44A65"/>
    <w:rsid w:val="703B6CD7"/>
    <w:rsid w:val="70744886"/>
    <w:rsid w:val="70744899"/>
    <w:rsid w:val="71466E88"/>
    <w:rsid w:val="73BE4E07"/>
    <w:rsid w:val="74277859"/>
    <w:rsid w:val="751678CE"/>
    <w:rsid w:val="753D12FE"/>
    <w:rsid w:val="75495E5E"/>
    <w:rsid w:val="756C2C1F"/>
    <w:rsid w:val="758D193E"/>
    <w:rsid w:val="76085468"/>
    <w:rsid w:val="761E2EDE"/>
    <w:rsid w:val="767F53BF"/>
    <w:rsid w:val="770E6AAE"/>
    <w:rsid w:val="79A25548"/>
    <w:rsid w:val="79AE184D"/>
    <w:rsid w:val="7A546ECE"/>
    <w:rsid w:val="7ACB4CB6"/>
    <w:rsid w:val="7BE44282"/>
    <w:rsid w:val="7CA57EB5"/>
    <w:rsid w:val="7CF7298B"/>
    <w:rsid w:val="7D595DEB"/>
    <w:rsid w:val="7EB22415"/>
    <w:rsid w:val="7ED56104"/>
    <w:rsid w:val="7F1B01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Plain Text"/>
    <w:basedOn w:val="1"/>
    <w:link w:val="13"/>
    <w:qFormat/>
    <w:uiPriority w:val="0"/>
    <w:rPr>
      <w:rFonts w:ascii="宋体" w:hAnsi="Courier New" w:eastAsia="宋体" w:cs="Courier New"/>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styleId="11">
    <w:name w:val="page number"/>
    <w:basedOn w:val="9"/>
    <w:qFormat/>
    <w:uiPriority w:val="0"/>
  </w:style>
  <w:style w:type="character" w:customStyle="1" w:styleId="12">
    <w:name w:val="页脚 Char"/>
    <w:basedOn w:val="9"/>
    <w:link w:val="5"/>
    <w:qFormat/>
    <w:uiPriority w:val="0"/>
    <w:rPr>
      <w:rFonts w:ascii="Calibri" w:hAnsi="Calibri" w:eastAsia="宋体" w:cs="Times New Roman"/>
      <w:sz w:val="18"/>
      <w:szCs w:val="18"/>
    </w:rPr>
  </w:style>
  <w:style w:type="character" w:customStyle="1" w:styleId="13">
    <w:name w:val="纯文本 Char"/>
    <w:basedOn w:val="9"/>
    <w:link w:val="3"/>
    <w:qFormat/>
    <w:uiPriority w:val="0"/>
    <w:rPr>
      <w:rFonts w:ascii="宋体" w:hAnsi="Courier New" w:eastAsia="宋体" w:cs="Courier New"/>
      <w:szCs w:val="21"/>
    </w:rPr>
  </w:style>
  <w:style w:type="character" w:customStyle="1" w:styleId="14">
    <w:name w:val="批注框文本 Char"/>
    <w:basedOn w:val="9"/>
    <w:link w:val="4"/>
    <w:semiHidden/>
    <w:qFormat/>
    <w:uiPriority w:val="99"/>
    <w:rPr>
      <w:sz w:val="18"/>
      <w:szCs w:val="18"/>
    </w:rPr>
  </w:style>
  <w:style w:type="paragraph" w:customStyle="1" w:styleId="15">
    <w:name w:val="默认段落字体 Para Char Char Char Char Char Char Char"/>
    <w:basedOn w:val="1"/>
    <w:qFormat/>
    <w:uiPriority w:val="0"/>
    <w:rPr>
      <w:rFonts w:ascii="Times New Roman" w:hAnsi="Times New Roman" w:eastAsia="宋体" w:cs="Times New Roman"/>
    </w:rPr>
  </w:style>
  <w:style w:type="paragraph" w:styleId="16">
    <w:name w:val="List Paragraph"/>
    <w:basedOn w:val="1"/>
    <w:qFormat/>
    <w:uiPriority w:val="34"/>
    <w:pPr>
      <w:ind w:firstLine="420" w:firstLineChars="200"/>
    </w:pPr>
  </w:style>
  <w:style w:type="character" w:customStyle="1" w:styleId="17">
    <w:name w:val="页眉 Char"/>
    <w:basedOn w:val="9"/>
    <w:link w:val="6"/>
    <w:semiHidden/>
    <w:qFormat/>
    <w:uiPriority w:val="99"/>
    <w:rPr>
      <w:sz w:val="18"/>
      <w:szCs w:val="18"/>
    </w:rPr>
  </w:style>
  <w:style w:type="paragraph" w:customStyle="1" w:styleId="18">
    <w:name w:val="p0"/>
    <w:basedOn w:val="1"/>
    <w:qFormat/>
    <w:uiPriority w:val="0"/>
    <w:pPr>
      <w:widowControl/>
    </w:pPr>
    <w:rPr>
      <w:rFonts w:ascii="Times New Roman" w:hAnsi="Times New Roman" w:eastAsia="宋体" w:cs="Times New Roman"/>
      <w:kern w:val="0"/>
      <w:szCs w:val="21"/>
    </w:rPr>
  </w:style>
  <w:style w:type="paragraph" w:customStyle="1" w:styleId="19">
    <w:name w:val="正文 New"/>
    <w:qFormat/>
    <w:uiPriority w:val="0"/>
    <w:pPr>
      <w:widowControl w:val="0"/>
      <w:jc w:val="both"/>
    </w:pPr>
    <w:rPr>
      <w:rFonts w:ascii="仿宋_GB2312" w:hAnsi="Times New Roman" w:eastAsia="仿宋_GB2312" w:cs="Times New Roman"/>
      <w:kern w:val="2"/>
      <w:sz w:val="32"/>
      <w:szCs w:val="32"/>
      <w:lang w:val="en-US" w:eastAsia="zh-CN" w:bidi="ar-SA"/>
    </w:rPr>
  </w:style>
  <w:style w:type="paragraph" w:customStyle="1" w:styleId="20">
    <w:name w:val="Char Char Char Char"/>
    <w:basedOn w:val="1"/>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4742</Words>
  <Characters>4979</Characters>
  <Lines>160</Lines>
  <Paragraphs>45</Paragraphs>
  <TotalTime>1</TotalTime>
  <ScaleCrop>false</ScaleCrop>
  <LinksUpToDate>false</LinksUpToDate>
  <CharactersWithSpaces>6671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2019-03-07T12:52:00Z</dcterms:created>
  <dc:creator>Windows 用户</dc:creator>
  <cp:lastModifiedBy>方</cp:lastModifiedBy>
  <cp:lastPrinted>2019-03-15T01:12:00Z</cp:lastPrinted>
  <dcterms:modified xsi:type="dcterms:W3CDTF">2025-08-22T09:03:19Z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0B75A9490C164377911E3C321F751CE5_13</vt:lpwstr>
  </property>
  <property fmtid="{D5CDD505-2E9C-101B-9397-08002B2CF9AE}" pid="4" name="KSOTemplateDocerSaveRecord">
    <vt:lpwstr>eyJoZGlkIjoiYWM4OTdjYmM5OTc1ZTExMjliOThhNWZiOGFiODE3Y2QiLCJ1c2VySWQiOiIxMTIxMzIwNzkyIn0=</vt:lpwstr>
  </property>
</Properties>
</file>