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B58A6A">
      <w:pPr>
        <w:spacing w:line="240" w:lineRule="auto"/>
        <w:ind w:firstLine="0" w:firstLineChars="0"/>
        <w:rPr>
          <w:rFonts w:hint="eastAsia" w:ascii="仿宋_GB2312" w:hAnsi="仿宋_GB2312" w:eastAsia="仿宋_GB2312" w:cs="仿宋_GB2312"/>
          <w:sz w:val="36"/>
          <w:szCs w:val="36"/>
          <w:lang w:eastAsia="zh-CN"/>
        </w:rPr>
      </w:pPr>
    </w:p>
    <w:p w14:paraId="1BB488E4">
      <w:pPr>
        <w:spacing w:line="240" w:lineRule="auto"/>
        <w:ind w:firstLine="0" w:firstLineChars="0"/>
        <w:rPr>
          <w:rFonts w:ascii="仿宋_GB2312" w:hAnsi="仿宋_GB2312" w:eastAsia="仿宋_GB2312" w:cs="仿宋_GB2312"/>
          <w:sz w:val="36"/>
          <w:szCs w:val="36"/>
        </w:rPr>
      </w:pPr>
    </w:p>
    <w:p w14:paraId="42417406">
      <w:pPr>
        <w:spacing w:line="240" w:lineRule="auto"/>
        <w:ind w:firstLine="0" w:firstLineChars="0"/>
        <w:rPr>
          <w:rFonts w:ascii="仿宋_GB2312" w:hAnsi="仿宋_GB2312" w:eastAsia="仿宋_GB2312" w:cs="仿宋_GB2312"/>
          <w:sz w:val="36"/>
          <w:szCs w:val="36"/>
        </w:rPr>
      </w:pPr>
    </w:p>
    <w:p w14:paraId="0B7CA178">
      <w:pPr>
        <w:spacing w:line="240" w:lineRule="auto"/>
        <w:ind w:firstLine="0" w:firstLineChars="0"/>
        <w:rPr>
          <w:rFonts w:ascii="仿宋_GB2312" w:hAnsi="仿宋_GB2312" w:eastAsia="仿宋_GB2312" w:cs="仿宋_GB2312"/>
          <w:sz w:val="36"/>
          <w:szCs w:val="36"/>
        </w:rPr>
      </w:pPr>
    </w:p>
    <w:p w14:paraId="123B5A25">
      <w:pPr>
        <w:spacing w:line="240" w:lineRule="auto"/>
        <w:ind w:firstLine="0" w:firstLineChars="0"/>
        <w:rPr>
          <w:rFonts w:hint="eastAsia" w:ascii="仿宋_GB2312" w:hAnsi="仿宋_GB2312" w:eastAsia="仿宋_GB2312" w:cs="仿宋_GB2312"/>
          <w:sz w:val="36"/>
          <w:szCs w:val="36"/>
        </w:rPr>
      </w:pPr>
    </w:p>
    <w:p w14:paraId="593BAC0F">
      <w:pPr>
        <w:adjustRightInd w:val="0"/>
        <w:snapToGrid w:val="0"/>
        <w:spacing w:line="240" w:lineRule="auto"/>
        <w:ind w:firstLine="0" w:firstLineChars="0"/>
        <w:jc w:val="center"/>
        <w:outlineLvl w:val="0"/>
        <w:rPr>
          <w:rFonts w:hint="eastAsia" w:ascii="方正小标宋_GBK" w:eastAsia="方正小标宋_GBK"/>
          <w:b w:val="0"/>
          <w:bCs/>
          <w:sz w:val="72"/>
          <w:szCs w:val="72"/>
        </w:rPr>
      </w:pPr>
      <w:bookmarkStart w:id="0" w:name="_Toc24024"/>
      <w:r>
        <w:rPr>
          <w:rFonts w:hint="eastAsia" w:ascii="方正小标宋_GBK" w:eastAsia="方正小标宋_GBK"/>
          <w:b w:val="0"/>
          <w:bCs/>
          <w:sz w:val="72"/>
          <w:szCs w:val="72"/>
        </w:rPr>
        <w:t>建设项目环境影响报告表</w:t>
      </w:r>
      <w:bookmarkEnd w:id="0"/>
    </w:p>
    <w:p w14:paraId="771A5EEA">
      <w:pPr>
        <w:adjustRightInd w:val="0"/>
        <w:snapToGrid w:val="0"/>
        <w:spacing w:before="192" w:beforeLines="80" w:line="240" w:lineRule="auto"/>
        <w:ind w:firstLine="0" w:firstLineChars="0"/>
        <w:jc w:val="center"/>
        <w:rPr>
          <w:rFonts w:hint="eastAsia" w:ascii="楷体_GB2312" w:eastAsia="楷体_GB2312"/>
          <w:bCs/>
          <w:sz w:val="48"/>
          <w:szCs w:val="48"/>
        </w:rPr>
      </w:pPr>
      <w:r>
        <w:rPr>
          <w:rFonts w:hint="eastAsia" w:ascii="楷体_GB2312" w:eastAsia="楷体_GB2312"/>
          <w:bCs/>
          <w:sz w:val="48"/>
          <w:szCs w:val="48"/>
        </w:rPr>
        <w:t>（污染影响类）</w:t>
      </w:r>
    </w:p>
    <w:p w14:paraId="1F3B786C">
      <w:pPr>
        <w:adjustRightInd w:val="0"/>
        <w:snapToGrid w:val="0"/>
        <w:spacing w:line="288" w:lineRule="auto"/>
        <w:ind w:firstLine="0" w:firstLineChars="0"/>
        <w:jc w:val="center"/>
        <w:rPr>
          <w:rFonts w:ascii="华文仿宋" w:hAnsi="华文仿宋" w:eastAsia="华文仿宋" w:cs="华文仿宋"/>
          <w:color w:val="000000"/>
          <w:kern w:val="44"/>
          <w:sz w:val="44"/>
          <w:szCs w:val="44"/>
        </w:rPr>
      </w:pPr>
    </w:p>
    <w:p w14:paraId="26CB8B76">
      <w:pPr>
        <w:adjustRightInd w:val="0"/>
        <w:snapToGrid w:val="0"/>
        <w:spacing w:line="288" w:lineRule="auto"/>
        <w:ind w:firstLine="0" w:firstLineChars="0"/>
        <w:jc w:val="center"/>
        <w:rPr>
          <w:rFonts w:ascii="华文仿宋" w:hAnsi="华文仿宋" w:eastAsia="华文仿宋" w:cs="华文仿宋"/>
          <w:color w:val="000000"/>
          <w:kern w:val="44"/>
          <w:sz w:val="44"/>
          <w:szCs w:val="44"/>
        </w:rPr>
      </w:pPr>
    </w:p>
    <w:p w14:paraId="03BA30EC">
      <w:pPr>
        <w:adjustRightInd w:val="0"/>
        <w:snapToGrid w:val="0"/>
        <w:spacing w:line="288" w:lineRule="auto"/>
        <w:ind w:firstLine="0" w:firstLineChars="0"/>
        <w:jc w:val="center"/>
        <w:rPr>
          <w:rFonts w:ascii="华文仿宋" w:hAnsi="华文仿宋" w:eastAsia="华文仿宋" w:cs="华文仿宋"/>
          <w:color w:val="000000"/>
          <w:kern w:val="44"/>
          <w:sz w:val="44"/>
          <w:szCs w:val="44"/>
        </w:rPr>
      </w:pPr>
    </w:p>
    <w:p w14:paraId="68D2D13A">
      <w:pPr>
        <w:adjustRightInd w:val="0"/>
        <w:snapToGrid w:val="0"/>
        <w:spacing w:line="288" w:lineRule="auto"/>
        <w:ind w:firstLine="0" w:firstLineChars="0"/>
        <w:jc w:val="center"/>
        <w:rPr>
          <w:rFonts w:ascii="华文仿宋" w:hAnsi="华文仿宋" w:eastAsia="华文仿宋" w:cs="华文仿宋"/>
          <w:color w:val="000000"/>
          <w:kern w:val="44"/>
          <w:sz w:val="44"/>
          <w:szCs w:val="44"/>
        </w:rPr>
      </w:pPr>
    </w:p>
    <w:p w14:paraId="74E29C00">
      <w:pPr>
        <w:adjustRightInd w:val="0"/>
        <w:snapToGrid w:val="0"/>
        <w:spacing w:line="288" w:lineRule="auto"/>
        <w:ind w:firstLine="0" w:firstLineChars="0"/>
        <w:jc w:val="center"/>
        <w:rPr>
          <w:rFonts w:ascii="华文仿宋" w:hAnsi="华文仿宋" w:eastAsia="华文仿宋" w:cs="华文仿宋"/>
          <w:color w:val="000000"/>
          <w:kern w:val="44"/>
          <w:sz w:val="44"/>
          <w:szCs w:val="44"/>
        </w:rPr>
      </w:pPr>
    </w:p>
    <w:p w14:paraId="2210AD6A">
      <w:pPr>
        <w:keepNext w:val="0"/>
        <w:keepLines w:val="0"/>
        <w:pageBreakBefore w:val="0"/>
        <w:widowControl w:val="0"/>
        <w:kinsoku/>
        <w:wordWrap/>
        <w:overflowPunct/>
        <w:topLinePunct w:val="0"/>
        <w:autoSpaceDE/>
        <w:autoSpaceDN/>
        <w:bidi w:val="0"/>
        <w:adjustRightInd w:val="0"/>
        <w:snapToGrid w:val="0"/>
        <w:spacing w:line="360" w:lineRule="auto"/>
        <w:ind w:left="2160" w:leftChars="150" w:hanging="1800" w:hangingChars="500"/>
        <w:jc w:val="both"/>
        <w:textAlignment w:val="auto"/>
        <w:rPr>
          <w:rFonts w:hint="eastAsia" w:ascii="仿宋_GB2312" w:eastAsia="仿宋_GB2312"/>
          <w:sz w:val="30"/>
          <w:szCs w:val="30"/>
          <w:u w:val="none"/>
          <w:lang w:val="en-US" w:eastAsia="zh-CN"/>
        </w:rPr>
      </w:pPr>
      <w:r>
        <w:rPr>
          <w:sz w:val="36"/>
        </w:rPr>
        <mc:AlternateContent>
          <mc:Choice Requires="wps">
            <w:drawing>
              <wp:anchor distT="0" distB="0" distL="114300" distR="114300" simplePos="0" relativeHeight="251661312" behindDoc="0" locked="0" layoutInCell="1" allowOverlap="1">
                <wp:simplePos x="0" y="0"/>
                <wp:positionH relativeFrom="column">
                  <wp:posOffset>1372235</wp:posOffset>
                </wp:positionH>
                <wp:positionV relativeFrom="paragraph">
                  <wp:posOffset>326390</wp:posOffset>
                </wp:positionV>
                <wp:extent cx="3633470" cy="21590"/>
                <wp:effectExtent l="0" t="6350" r="5080" b="10160"/>
                <wp:wrapNone/>
                <wp:docPr id="43" name="直接连接符 43"/>
                <wp:cNvGraphicFramePr/>
                <a:graphic xmlns:a="http://schemas.openxmlformats.org/drawingml/2006/main">
                  <a:graphicData uri="http://schemas.microsoft.com/office/word/2010/wordprocessingShape">
                    <wps:wsp>
                      <wps:cNvCnPr/>
                      <wps:spPr>
                        <a:xfrm flipV="1">
                          <a:off x="0" y="0"/>
                          <a:ext cx="3633470" cy="2159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08.05pt;margin-top:25.7pt;height:1.7pt;width:286.1pt;z-index:251661312;mso-width-relative:page;mso-height-relative:page;" filled="f" stroked="t" coordsize="21600,21600" o:gfxdata="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M22Y7XAAAACQEAAA8AAAAAAAAAAQAgAAAAIgAAAGRycy9kb3ducmV2LnhtbFBLAQIUABQA&#10;AAAIAIdO4kBDYq0G8QEAAMIDAAAOAAAAAAAAAAEAIAAAACYBAABkcnMvZTJvRG9jLnhtbFBLBQYA&#10;AAAABgAGAFkBAACJBQAAAAA=&#10;">
                <v:fill on="f" focussize="0,0"/>
                <v:stroke weight="1pt" color="#000000 [3213]" miterlimit="8" joinstyle="miter"/>
                <v:imagedata o:title=""/>
                <o:lock v:ext="edit" aspectratio="f"/>
              </v:line>
            </w:pict>
          </mc:Fallback>
        </mc:AlternateContent>
      </w:r>
      <w:r>
        <w:rPr>
          <w:rFonts w:hint="eastAsia" w:ascii="仿宋_GB2312" w:eastAsia="仿宋_GB2312"/>
          <w:sz w:val="36"/>
          <w:szCs w:val="36"/>
        </w:rPr>
        <w:t>项目名称：</w:t>
      </w:r>
      <w:r>
        <w:rPr>
          <w:rFonts w:hint="eastAsia" w:ascii="仿宋_GB2312" w:eastAsia="仿宋_GB2312"/>
          <w:sz w:val="30"/>
          <w:szCs w:val="30"/>
          <w:u w:val="none"/>
          <w:lang w:val="en-US" w:eastAsia="zh-CN"/>
        </w:rPr>
        <w:t>寻甸锦晟源商贸有限公司年处理10万吨褐煤</w:t>
      </w:r>
    </w:p>
    <w:p w14:paraId="4D2A1969">
      <w:pPr>
        <w:keepNext w:val="0"/>
        <w:keepLines w:val="0"/>
        <w:pageBreakBefore w:val="0"/>
        <w:widowControl w:val="0"/>
        <w:kinsoku/>
        <w:wordWrap/>
        <w:overflowPunct/>
        <w:topLinePunct w:val="0"/>
        <w:autoSpaceDE/>
        <w:autoSpaceDN/>
        <w:bidi w:val="0"/>
        <w:adjustRightInd w:val="0"/>
        <w:snapToGrid w:val="0"/>
        <w:spacing w:line="360" w:lineRule="auto"/>
        <w:ind w:left="1860" w:leftChars="775" w:firstLine="360" w:firstLineChars="100"/>
        <w:jc w:val="both"/>
        <w:textAlignment w:val="auto"/>
        <w:rPr>
          <w:rFonts w:hint="eastAsia" w:ascii="仿宋_GB2312" w:eastAsia="仿宋_GB2312"/>
          <w:sz w:val="30"/>
          <w:szCs w:val="30"/>
        </w:rPr>
      </w:pPr>
      <w:r>
        <w:rPr>
          <w:sz w:val="36"/>
        </w:rPr>
        <mc:AlternateContent>
          <mc:Choice Requires="wps">
            <w:drawing>
              <wp:anchor distT="0" distB="0" distL="114300" distR="114300" simplePos="0" relativeHeight="251662336" behindDoc="0" locked="0" layoutInCell="1" allowOverlap="1">
                <wp:simplePos x="0" y="0"/>
                <wp:positionH relativeFrom="column">
                  <wp:posOffset>1391285</wp:posOffset>
                </wp:positionH>
                <wp:positionV relativeFrom="paragraph">
                  <wp:posOffset>262890</wp:posOffset>
                </wp:positionV>
                <wp:extent cx="3633470" cy="21590"/>
                <wp:effectExtent l="0" t="6350" r="5080" b="10160"/>
                <wp:wrapNone/>
                <wp:docPr id="8" name="直接连接符 8"/>
                <wp:cNvGraphicFramePr/>
                <a:graphic xmlns:a="http://schemas.openxmlformats.org/drawingml/2006/main">
                  <a:graphicData uri="http://schemas.microsoft.com/office/word/2010/wordprocessingShape">
                    <wps:wsp>
                      <wps:cNvCnPr/>
                      <wps:spPr>
                        <a:xfrm flipV="1">
                          <a:off x="0" y="0"/>
                          <a:ext cx="3633470" cy="2159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09.55pt;margin-top:20.7pt;height:1.7pt;width:286.1pt;z-index:251662336;mso-width-relative:page;mso-height-relative:page;" filled="f" stroked="t" coordsize="21600,21600" o:gfxdata="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AHAz1wAAAAkBAAAPAAAAAAAAAAEAIAAAACIAAABkcnMvZG93bnJldi54bWxQSwECFAAUAAAA&#10;CACHTuJAE9y7ku8BAADAAwAADgAAAAAAAAABACAAAAAmAQAAZHJzL2Uyb0RvYy54bWxQSwUGAAAA&#10;AAYABgBZAQAAhwUAAAAA&#10;">
                <v:fill on="f" focussize="0,0"/>
                <v:stroke weight="1pt" color="#000000 [3213]" miterlimit="8" joinstyle="miter"/>
                <v:imagedata o:title=""/>
                <o:lock v:ext="edit" aspectratio="f"/>
              </v:line>
            </w:pict>
          </mc:Fallback>
        </mc:AlternateContent>
      </w:r>
      <w:r>
        <w:rPr>
          <w:rFonts w:hint="eastAsia" w:ascii="仿宋_GB2312" w:eastAsia="仿宋_GB2312"/>
          <w:sz w:val="30"/>
          <w:szCs w:val="30"/>
          <w:u w:val="none"/>
          <w:lang w:val="en-US" w:eastAsia="zh-CN"/>
        </w:rPr>
        <w:t>提质项目</w:t>
      </w:r>
    </w:p>
    <w:p w14:paraId="74A4881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360" w:firstLineChars="100"/>
        <w:textAlignment w:val="auto"/>
        <w:rPr>
          <w:rFonts w:hint="eastAsia" w:ascii="仿宋_GB2312" w:eastAsia="仿宋_GB2312"/>
          <w:sz w:val="30"/>
          <w:szCs w:val="30"/>
          <w:u w:val="single"/>
          <w:lang w:val="en-US" w:eastAsia="zh-CN"/>
        </w:rPr>
      </w:pPr>
      <w:r>
        <w:rPr>
          <w:sz w:val="36"/>
        </w:rPr>
        <mc:AlternateContent>
          <mc:Choice Requires="wps">
            <w:drawing>
              <wp:anchor distT="0" distB="0" distL="114300" distR="114300" simplePos="0" relativeHeight="251660288" behindDoc="0" locked="0" layoutInCell="1" allowOverlap="1">
                <wp:simplePos x="0" y="0"/>
                <wp:positionH relativeFrom="column">
                  <wp:posOffset>2151380</wp:posOffset>
                </wp:positionH>
                <wp:positionV relativeFrom="paragraph">
                  <wp:posOffset>294005</wp:posOffset>
                </wp:positionV>
                <wp:extent cx="2863215" cy="24765"/>
                <wp:effectExtent l="0" t="6350" r="13335" b="6985"/>
                <wp:wrapNone/>
                <wp:docPr id="42" name="直接连接符 42"/>
                <wp:cNvGraphicFramePr/>
                <a:graphic xmlns:a="http://schemas.openxmlformats.org/drawingml/2006/main">
                  <a:graphicData uri="http://schemas.microsoft.com/office/word/2010/wordprocessingShape">
                    <wps:wsp>
                      <wps:cNvCnPr/>
                      <wps:spPr>
                        <a:xfrm flipV="1">
                          <a:off x="0" y="0"/>
                          <a:ext cx="2863215" cy="2476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69.4pt;margin-top:23.15pt;height:1.95pt;width:225.45pt;z-index:251660288;mso-width-relative:page;mso-height-relative:page;" filled="f" stroked="t" coordsize="21600,21600" o:gfxdata="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KXW3XAAAACQEAAA8AAAAAAAAAAQAgAAAAIgAAAGRycy9kb3ducmV2LnhtbFBLAQIUABQA&#10;AAAIAIdO4kDeDXV+8QEAAMIDAAAOAAAAAAAAAAEAIAAAACYBAABkcnMvZTJvRG9jLnhtbFBLBQYA&#10;AAAABgAGAFkBAACJBQAAAAA=&#10;">
                <v:fill on="f" focussize="0,0"/>
                <v:stroke weight="1pt" color="#000000 [3213]" miterlimit="8" joinstyle="miter"/>
                <v:imagedata o:title=""/>
                <o:lock v:ext="edit" aspectratio="f"/>
              </v:line>
            </w:pict>
          </mc:Fallback>
        </mc:AlternateContent>
      </w:r>
      <w:r>
        <w:rPr>
          <w:rFonts w:hint="eastAsia" w:ascii="仿宋_GB2312" w:eastAsia="仿宋_GB2312"/>
          <w:sz w:val="36"/>
          <w:szCs w:val="36"/>
        </w:rPr>
        <w:t>建设单位（盖章）</w:t>
      </w:r>
      <w:r>
        <w:rPr>
          <w:rFonts w:hint="eastAsia" w:ascii="仿宋_GB2312" w:eastAsia="仿宋_GB2312"/>
          <w:sz w:val="36"/>
          <w:szCs w:val="36"/>
          <w:lang w:eastAsia="zh-CN"/>
        </w:rPr>
        <w:t>：</w:t>
      </w:r>
      <w:r>
        <w:rPr>
          <w:rFonts w:hint="eastAsia" w:ascii="仿宋_GB2312" w:eastAsia="仿宋_GB2312"/>
          <w:sz w:val="36"/>
          <w:szCs w:val="36"/>
          <w:lang w:val="en-US" w:eastAsia="zh-CN"/>
        </w:rPr>
        <w:t xml:space="preserve">  </w:t>
      </w:r>
      <w:r>
        <w:rPr>
          <w:rFonts w:hint="eastAsia" w:ascii="仿宋_GB2312" w:eastAsia="仿宋_GB2312"/>
          <w:sz w:val="30"/>
          <w:szCs w:val="30"/>
          <w:u w:val="none"/>
          <w:lang w:val="en-US" w:eastAsia="zh-CN"/>
        </w:rPr>
        <w:t>寻甸锦晟源商贸有限公司</w:t>
      </w:r>
    </w:p>
    <w:p w14:paraId="47DE3F7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360" w:firstLineChars="100"/>
        <w:textAlignment w:val="auto"/>
        <w:rPr>
          <w:rFonts w:hint="eastAsia" w:ascii="仿宋_GB2312" w:eastAsia="仿宋_GB2312"/>
          <w:sz w:val="36"/>
          <w:szCs w:val="36"/>
          <w:u w:val="none"/>
          <w:lang w:val="en-US" w:eastAsia="zh-CN"/>
        </w:rPr>
      </w:pPr>
      <w:r>
        <w:rPr>
          <w:sz w:val="36"/>
        </w:rPr>
        <mc:AlternateContent>
          <mc:Choice Requires="wps">
            <w:drawing>
              <wp:anchor distT="0" distB="0" distL="114300" distR="114300" simplePos="0" relativeHeight="251659264" behindDoc="0" locked="0" layoutInCell="1" allowOverlap="1">
                <wp:simplePos x="0" y="0"/>
                <wp:positionH relativeFrom="column">
                  <wp:posOffset>1360170</wp:posOffset>
                </wp:positionH>
                <wp:positionV relativeFrom="paragraph">
                  <wp:posOffset>278130</wp:posOffset>
                </wp:positionV>
                <wp:extent cx="3653790" cy="25400"/>
                <wp:effectExtent l="0" t="6350" r="3810" b="6350"/>
                <wp:wrapNone/>
                <wp:docPr id="41" name="直接连接符 41"/>
                <wp:cNvGraphicFramePr/>
                <a:graphic xmlns:a="http://schemas.openxmlformats.org/drawingml/2006/main">
                  <a:graphicData uri="http://schemas.microsoft.com/office/word/2010/wordprocessingShape">
                    <wps:wsp>
                      <wps:cNvCnPr/>
                      <wps:spPr>
                        <a:xfrm flipV="1">
                          <a:off x="2899410" y="7981315"/>
                          <a:ext cx="3653790" cy="2540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07.1pt;margin-top:21.9pt;height:2pt;width:287.7pt;z-index:251659264;mso-width-relative:page;mso-height-relative:page;" filled="f" stroked="t" coordsize="21600,21600" o:gfxdata="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VXHk3XAAAACQEAAA8AAAAAAAAAAQAgAAAAIgAAAGRycy9kb3du&#10;cmV2LnhtbFBLAQIUABQAAAAIAIdO4kCbSfCdAAIAAM4DAAAOAAAAAAAAAAEAIAAAACYBAABkcnMv&#10;ZTJvRG9jLnhtbFBLBQYAAAAABgAGAFkBAACYBQAAAAA=&#10;">
                <v:fill on="f" focussize="0,0"/>
                <v:stroke weight="1pt" color="#000000 [3213]" miterlimit="8" joinstyle="miter"/>
                <v:imagedata o:title=""/>
                <o:lock v:ext="edit" aspectratio="f"/>
              </v:line>
            </w:pict>
          </mc:Fallback>
        </mc:AlternateContent>
      </w:r>
      <w:r>
        <w:rPr>
          <w:rFonts w:hint="eastAsia" w:ascii="仿宋_GB2312" w:eastAsia="仿宋_GB2312"/>
          <w:sz w:val="36"/>
          <w:szCs w:val="36"/>
        </w:rPr>
        <w:t>编制日期：</w:t>
      </w:r>
      <w:r>
        <w:rPr>
          <w:rFonts w:hint="eastAsia" w:ascii="仿宋_GB2312" w:eastAsia="仿宋_GB2312"/>
          <w:sz w:val="36"/>
          <w:szCs w:val="36"/>
          <w:lang w:val="en-US" w:eastAsia="zh-CN"/>
        </w:rPr>
        <w:t xml:space="preserve">           </w:t>
      </w:r>
      <w:r>
        <w:rPr>
          <w:rFonts w:hint="eastAsia" w:ascii="仿宋_GB2312" w:eastAsia="仿宋_GB2312"/>
          <w:sz w:val="30"/>
          <w:szCs w:val="30"/>
          <w:u w:val="none"/>
          <w:lang w:val="en-US" w:eastAsia="zh-CN"/>
        </w:rPr>
        <w:t>2025年7月</w:t>
      </w:r>
    </w:p>
    <w:p w14:paraId="4EF5827E">
      <w:pPr>
        <w:adjustRightInd w:val="0"/>
        <w:snapToGrid w:val="0"/>
        <w:spacing w:line="288" w:lineRule="auto"/>
        <w:ind w:left="0" w:leftChars="0" w:firstLine="0" w:firstLineChars="0"/>
        <w:rPr>
          <w:rFonts w:ascii="仿宋_GB2312" w:eastAsia="仿宋_GB2312"/>
          <w:sz w:val="36"/>
          <w:szCs w:val="36"/>
          <w:u w:val="single"/>
        </w:rPr>
      </w:pPr>
      <w:bookmarkStart w:id="1" w:name="_Hlk57884087"/>
    </w:p>
    <w:p w14:paraId="66BA4072">
      <w:pPr>
        <w:adjustRightInd w:val="0"/>
        <w:snapToGrid w:val="0"/>
        <w:spacing w:line="288" w:lineRule="auto"/>
        <w:ind w:firstLine="1040" w:firstLineChars="0"/>
        <w:rPr>
          <w:rFonts w:ascii="仿宋_GB2312" w:eastAsia="仿宋_GB2312"/>
          <w:sz w:val="36"/>
          <w:szCs w:val="36"/>
          <w:u w:val="single"/>
        </w:rPr>
      </w:pPr>
    </w:p>
    <w:p w14:paraId="266B5037">
      <w:pPr>
        <w:adjustRightInd w:val="0"/>
        <w:snapToGrid w:val="0"/>
        <w:spacing w:line="288" w:lineRule="auto"/>
        <w:ind w:firstLine="1040"/>
        <w:rPr>
          <w:rFonts w:hint="eastAsia" w:ascii="仿宋_GB2312" w:eastAsia="仿宋_GB2312"/>
          <w:sz w:val="36"/>
          <w:szCs w:val="36"/>
        </w:rPr>
      </w:pPr>
    </w:p>
    <w:bookmarkEnd w:id="1"/>
    <w:p w14:paraId="086ACED2">
      <w:pPr>
        <w:adjustRightInd w:val="0"/>
        <w:snapToGrid w:val="0"/>
        <w:spacing w:line="288" w:lineRule="auto"/>
        <w:ind w:firstLine="0" w:firstLineChars="0"/>
        <w:jc w:val="center"/>
        <w:rPr>
          <w:rFonts w:hint="eastAsia" w:ascii="楷体_GB2312" w:eastAsia="楷体_GB2312"/>
          <w:sz w:val="36"/>
          <w:szCs w:val="36"/>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楷体_GB2312" w:eastAsia="楷体_GB2312"/>
          <w:sz w:val="36"/>
          <w:szCs w:val="36"/>
        </w:rPr>
        <w:t>中华人民共和国生态环境部</w:t>
      </w:r>
    </w:p>
    <w:p w14:paraId="4A78ABEC">
      <w:pPr>
        <w:adjustRightInd w:val="0"/>
        <w:snapToGrid w:val="0"/>
        <w:spacing w:line="288" w:lineRule="auto"/>
        <w:ind w:firstLine="0" w:firstLineChars="0"/>
        <w:jc w:val="both"/>
        <w:rPr>
          <w:rFonts w:hint="eastAsia" w:ascii="宋体" w:hAnsi="宋体" w:eastAsia="宋体" w:cs="宋体"/>
          <w:b/>
          <w:bCs/>
          <w:sz w:val="30"/>
          <w:szCs w:val="30"/>
          <w:lang w:val="en-US" w:eastAsia="zh-CN"/>
        </w:rPr>
      </w:pPr>
    </w:p>
    <w:sdt>
      <w:sdtPr>
        <w:rPr>
          <w:rFonts w:hint="eastAsia" w:ascii="黑体" w:hAnsi="黑体" w:eastAsia="黑体" w:cs="黑体"/>
          <w:b/>
          <w:bCs/>
          <w:kern w:val="2"/>
          <w:sz w:val="30"/>
          <w:szCs w:val="30"/>
          <w:lang w:val="en-US" w:eastAsia="zh-CN" w:bidi="ar-SA"/>
        </w:rPr>
        <w:id w:val="147457274"/>
        <w15:color w:val="DBDBDB"/>
      </w:sdtPr>
      <w:sdtEndPr>
        <w:rPr>
          <w:rFonts w:hint="default" w:ascii="Times New Roman" w:hAnsi="Times New Roman" w:eastAsia="黑体" w:cs="Times New Roman"/>
          <w:b/>
          <w:bCs/>
          <w:kern w:val="2"/>
          <w:sz w:val="24"/>
          <w:szCs w:val="30"/>
          <w:lang w:val="en-US" w:eastAsia="zh-CN" w:bidi="ar-SA"/>
        </w:rPr>
      </w:sdtEndPr>
      <w:sdtContent>
        <w:p w14:paraId="78FC4410">
          <w:pPr>
            <w:spacing w:before="0" w:beforeLines="0" w:after="0" w:afterLines="0" w:line="240" w:lineRule="auto"/>
            <w:ind w:left="0" w:leftChars="0" w:right="0" w:rightChars="0" w:firstLine="0" w:firstLineChars="0"/>
            <w:jc w:val="center"/>
            <w:rPr>
              <w:rFonts w:hint="eastAsia" w:ascii="黑体" w:hAnsi="黑体" w:eastAsia="黑体" w:cs="黑体"/>
              <w:b/>
              <w:bCs/>
              <w:sz w:val="30"/>
              <w:szCs w:val="30"/>
            </w:rPr>
          </w:pPr>
          <w:bookmarkStart w:id="18" w:name="_GoBack"/>
          <w:bookmarkEnd w:id="18"/>
          <w:r>
            <w:rPr>
              <w:rFonts w:hint="eastAsia" w:ascii="黑体" w:hAnsi="黑体" w:eastAsia="黑体" w:cs="黑体"/>
              <w:b/>
              <w:bCs/>
              <w:sz w:val="30"/>
              <w:szCs w:val="30"/>
            </w:rPr>
            <w:t>目</w:t>
          </w:r>
          <w:r>
            <w:rPr>
              <w:rFonts w:hint="eastAsia" w:ascii="黑体" w:hAnsi="黑体" w:eastAsia="黑体" w:cs="黑体"/>
              <w:b/>
              <w:bCs/>
              <w:sz w:val="30"/>
              <w:szCs w:val="30"/>
              <w:lang w:val="en-US" w:eastAsia="zh-CN"/>
            </w:rPr>
            <w:t xml:space="preserve">  </w:t>
          </w:r>
          <w:r>
            <w:rPr>
              <w:rFonts w:hint="eastAsia" w:ascii="黑体" w:hAnsi="黑体" w:eastAsia="黑体" w:cs="黑体"/>
              <w:b/>
              <w:bCs/>
              <w:sz w:val="30"/>
              <w:szCs w:val="30"/>
            </w:rPr>
            <w:t>录</w:t>
          </w:r>
        </w:p>
        <w:p w14:paraId="1940EA20">
          <w:pPr>
            <w:pStyle w:val="47"/>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rPr>
              <w:rFonts w:ascii="Times New Roman" w:hAnsi="Times New Roman" w:eastAsia="宋体"/>
              <w:b/>
              <w:bCs/>
              <w:sz w:val="24"/>
            </w:rPr>
          </w:pPr>
          <w:r>
            <w:rPr>
              <w:rFonts w:hint="default" w:ascii="Times New Roman" w:hAnsi="Times New Roman" w:eastAsia="黑体" w:cs="Times New Roman"/>
              <w:b/>
              <w:bCs/>
              <w:sz w:val="30"/>
              <w:szCs w:val="30"/>
              <w:lang w:val="en-US" w:eastAsia="zh-CN"/>
            </w:rPr>
            <w:fldChar w:fldCharType="begin"/>
          </w:r>
          <w:r>
            <w:rPr>
              <w:rFonts w:hint="default" w:ascii="Times New Roman" w:hAnsi="Times New Roman" w:eastAsia="黑体" w:cs="Times New Roman"/>
              <w:b/>
              <w:bCs/>
              <w:sz w:val="30"/>
              <w:szCs w:val="30"/>
              <w:lang w:val="en-US" w:eastAsia="zh-CN"/>
            </w:rPr>
            <w:instrText xml:space="preserve">TOC \o "1-1" \h \u </w:instrText>
          </w:r>
          <w:r>
            <w:rPr>
              <w:rFonts w:hint="default" w:ascii="Times New Roman" w:hAnsi="Times New Roman" w:eastAsia="黑体" w:cs="Times New Roman"/>
              <w:b/>
              <w:bCs/>
              <w:sz w:val="30"/>
              <w:szCs w:val="30"/>
              <w:lang w:val="en-US" w:eastAsia="zh-CN"/>
            </w:rPr>
            <w:fldChar w:fldCharType="separate"/>
          </w:r>
          <w:r>
            <w:rPr>
              <w:rFonts w:hint="default" w:ascii="Times New Roman" w:hAnsi="Times New Roman" w:eastAsia="宋体" w:cs="Times New Roman"/>
              <w:b/>
              <w:bCs/>
              <w:sz w:val="24"/>
              <w:szCs w:val="30"/>
              <w:lang w:val="en-US" w:eastAsia="zh-CN"/>
            </w:rPr>
            <w:fldChar w:fldCharType="begin"/>
          </w:r>
          <w:r>
            <w:rPr>
              <w:rFonts w:hint="default" w:ascii="Times New Roman" w:hAnsi="Times New Roman" w:eastAsia="宋体" w:cs="Times New Roman"/>
              <w:b/>
              <w:bCs/>
              <w:sz w:val="24"/>
              <w:szCs w:val="30"/>
              <w:lang w:val="en-US" w:eastAsia="zh-CN"/>
            </w:rPr>
            <w:instrText xml:space="preserve"> HYPERLINK \l _Toc6348 </w:instrText>
          </w:r>
          <w:r>
            <w:rPr>
              <w:rFonts w:hint="default" w:ascii="Times New Roman" w:hAnsi="Times New Roman" w:eastAsia="宋体" w:cs="Times New Roman"/>
              <w:b/>
              <w:bCs/>
              <w:sz w:val="24"/>
              <w:szCs w:val="30"/>
              <w:lang w:val="en-US" w:eastAsia="zh-CN"/>
            </w:rPr>
            <w:fldChar w:fldCharType="separate"/>
          </w:r>
          <w:r>
            <w:rPr>
              <w:rFonts w:hint="eastAsia" w:ascii="Times New Roman" w:hAnsi="Times New Roman" w:eastAsia="宋体"/>
              <w:b/>
              <w:bCs/>
              <w:sz w:val="24"/>
              <w:lang w:val="en-US" w:eastAsia="zh-CN"/>
            </w:rPr>
            <w:t>一、建设项目基本情况</w:t>
          </w:r>
          <w:r>
            <w:rPr>
              <w:rFonts w:ascii="Times New Roman" w:hAnsi="Times New Roman" w:eastAsia="宋体"/>
              <w:b/>
              <w:bCs/>
              <w:sz w:val="24"/>
            </w:rPr>
            <w:tab/>
          </w:r>
          <w:r>
            <w:rPr>
              <w:rFonts w:ascii="Times New Roman" w:hAnsi="Times New Roman" w:eastAsia="宋体"/>
              <w:b/>
              <w:bCs/>
              <w:sz w:val="24"/>
            </w:rPr>
            <w:fldChar w:fldCharType="begin"/>
          </w:r>
          <w:r>
            <w:rPr>
              <w:rFonts w:ascii="Times New Roman" w:hAnsi="Times New Roman" w:eastAsia="宋体"/>
              <w:b/>
              <w:bCs/>
              <w:sz w:val="24"/>
            </w:rPr>
            <w:instrText xml:space="preserve"> PAGEREF _Toc6348 \h </w:instrText>
          </w:r>
          <w:r>
            <w:rPr>
              <w:rFonts w:ascii="Times New Roman" w:hAnsi="Times New Roman" w:eastAsia="宋体"/>
              <w:b/>
              <w:bCs/>
              <w:sz w:val="24"/>
            </w:rPr>
            <w:fldChar w:fldCharType="separate"/>
          </w:r>
          <w:r>
            <w:rPr>
              <w:rFonts w:ascii="Times New Roman" w:hAnsi="Times New Roman" w:eastAsia="宋体"/>
              <w:b/>
              <w:bCs/>
              <w:sz w:val="24"/>
            </w:rPr>
            <w:t>1</w:t>
          </w:r>
          <w:r>
            <w:rPr>
              <w:rFonts w:ascii="Times New Roman" w:hAnsi="Times New Roman" w:eastAsia="宋体"/>
              <w:b/>
              <w:bCs/>
              <w:sz w:val="24"/>
            </w:rPr>
            <w:fldChar w:fldCharType="end"/>
          </w:r>
          <w:r>
            <w:rPr>
              <w:rFonts w:hint="default" w:ascii="Times New Roman" w:hAnsi="Times New Roman" w:eastAsia="宋体" w:cs="Times New Roman"/>
              <w:b/>
              <w:bCs/>
              <w:sz w:val="24"/>
              <w:szCs w:val="30"/>
              <w:lang w:val="en-US" w:eastAsia="zh-CN"/>
            </w:rPr>
            <w:fldChar w:fldCharType="end"/>
          </w:r>
        </w:p>
        <w:p w14:paraId="3FC4B53F">
          <w:pPr>
            <w:pStyle w:val="47"/>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rPr>
              <w:rFonts w:ascii="Times New Roman" w:hAnsi="Times New Roman" w:eastAsia="宋体"/>
              <w:b/>
              <w:bCs/>
              <w:sz w:val="24"/>
            </w:rPr>
          </w:pPr>
          <w:r>
            <w:rPr>
              <w:rFonts w:hint="default" w:ascii="Times New Roman" w:hAnsi="Times New Roman" w:eastAsia="宋体" w:cs="Times New Roman"/>
              <w:b/>
              <w:bCs/>
              <w:sz w:val="24"/>
              <w:szCs w:val="30"/>
              <w:lang w:val="en-US" w:eastAsia="zh-CN"/>
            </w:rPr>
            <w:fldChar w:fldCharType="begin"/>
          </w:r>
          <w:r>
            <w:rPr>
              <w:rFonts w:hint="default" w:ascii="Times New Roman" w:hAnsi="Times New Roman" w:eastAsia="宋体" w:cs="Times New Roman"/>
              <w:b/>
              <w:bCs/>
              <w:sz w:val="24"/>
              <w:szCs w:val="30"/>
              <w:lang w:val="en-US" w:eastAsia="zh-CN"/>
            </w:rPr>
            <w:instrText xml:space="preserve"> HYPERLINK \l _Toc19462 </w:instrText>
          </w:r>
          <w:r>
            <w:rPr>
              <w:rFonts w:hint="default" w:ascii="Times New Roman" w:hAnsi="Times New Roman" w:eastAsia="宋体" w:cs="Times New Roman"/>
              <w:b/>
              <w:bCs/>
              <w:sz w:val="24"/>
              <w:szCs w:val="30"/>
              <w:lang w:val="en-US" w:eastAsia="zh-CN"/>
            </w:rPr>
            <w:fldChar w:fldCharType="separate"/>
          </w:r>
          <w:r>
            <w:rPr>
              <w:rFonts w:hint="eastAsia" w:ascii="Times New Roman" w:hAnsi="Times New Roman" w:eastAsia="宋体"/>
              <w:b/>
              <w:bCs/>
              <w:sz w:val="24"/>
              <w:lang w:val="en-US" w:eastAsia="zh-CN"/>
            </w:rPr>
            <w:t>二、建设项目工程分析</w:t>
          </w:r>
          <w:r>
            <w:rPr>
              <w:rFonts w:ascii="Times New Roman" w:hAnsi="Times New Roman" w:eastAsia="宋体"/>
              <w:b/>
              <w:bCs/>
              <w:sz w:val="24"/>
            </w:rPr>
            <w:tab/>
          </w:r>
          <w:r>
            <w:rPr>
              <w:rFonts w:ascii="Times New Roman" w:hAnsi="Times New Roman" w:eastAsia="宋体"/>
              <w:b/>
              <w:bCs/>
              <w:sz w:val="24"/>
            </w:rPr>
            <w:fldChar w:fldCharType="begin"/>
          </w:r>
          <w:r>
            <w:rPr>
              <w:rFonts w:ascii="Times New Roman" w:hAnsi="Times New Roman" w:eastAsia="宋体"/>
              <w:b/>
              <w:bCs/>
              <w:sz w:val="24"/>
            </w:rPr>
            <w:instrText xml:space="preserve"> PAGEREF _Toc19462 \h </w:instrText>
          </w:r>
          <w:r>
            <w:rPr>
              <w:rFonts w:ascii="Times New Roman" w:hAnsi="Times New Roman" w:eastAsia="宋体"/>
              <w:b/>
              <w:bCs/>
              <w:sz w:val="24"/>
            </w:rPr>
            <w:fldChar w:fldCharType="separate"/>
          </w:r>
          <w:r>
            <w:rPr>
              <w:rFonts w:ascii="Times New Roman" w:hAnsi="Times New Roman" w:eastAsia="宋体"/>
              <w:b/>
              <w:bCs/>
              <w:sz w:val="24"/>
            </w:rPr>
            <w:t>15</w:t>
          </w:r>
          <w:r>
            <w:rPr>
              <w:rFonts w:ascii="Times New Roman" w:hAnsi="Times New Roman" w:eastAsia="宋体"/>
              <w:b/>
              <w:bCs/>
              <w:sz w:val="24"/>
            </w:rPr>
            <w:fldChar w:fldCharType="end"/>
          </w:r>
          <w:r>
            <w:rPr>
              <w:rFonts w:hint="default" w:ascii="Times New Roman" w:hAnsi="Times New Roman" w:eastAsia="宋体" w:cs="Times New Roman"/>
              <w:b/>
              <w:bCs/>
              <w:sz w:val="24"/>
              <w:szCs w:val="30"/>
              <w:lang w:val="en-US" w:eastAsia="zh-CN"/>
            </w:rPr>
            <w:fldChar w:fldCharType="end"/>
          </w:r>
        </w:p>
        <w:p w14:paraId="3D1AE7EE">
          <w:pPr>
            <w:pStyle w:val="47"/>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rPr>
              <w:rFonts w:ascii="Times New Roman" w:hAnsi="Times New Roman" w:eastAsia="宋体"/>
              <w:b/>
              <w:bCs/>
              <w:sz w:val="24"/>
            </w:rPr>
          </w:pPr>
          <w:r>
            <w:rPr>
              <w:rFonts w:hint="default" w:ascii="Times New Roman" w:hAnsi="Times New Roman" w:eastAsia="宋体" w:cs="Times New Roman"/>
              <w:b/>
              <w:bCs/>
              <w:sz w:val="24"/>
              <w:szCs w:val="30"/>
              <w:lang w:val="en-US" w:eastAsia="zh-CN"/>
            </w:rPr>
            <w:fldChar w:fldCharType="begin"/>
          </w:r>
          <w:r>
            <w:rPr>
              <w:rFonts w:hint="default" w:ascii="Times New Roman" w:hAnsi="Times New Roman" w:eastAsia="宋体" w:cs="Times New Roman"/>
              <w:b/>
              <w:bCs/>
              <w:sz w:val="24"/>
              <w:szCs w:val="30"/>
              <w:lang w:val="en-US" w:eastAsia="zh-CN"/>
            </w:rPr>
            <w:instrText xml:space="preserve"> HYPERLINK \l _Toc14025 </w:instrText>
          </w:r>
          <w:r>
            <w:rPr>
              <w:rFonts w:hint="default" w:ascii="Times New Roman" w:hAnsi="Times New Roman" w:eastAsia="宋体" w:cs="Times New Roman"/>
              <w:b/>
              <w:bCs/>
              <w:sz w:val="24"/>
              <w:szCs w:val="30"/>
              <w:lang w:val="en-US" w:eastAsia="zh-CN"/>
            </w:rPr>
            <w:fldChar w:fldCharType="separate"/>
          </w:r>
          <w:r>
            <w:rPr>
              <w:rFonts w:hint="eastAsia" w:ascii="Times New Roman" w:hAnsi="Times New Roman" w:eastAsia="宋体"/>
              <w:b/>
              <w:bCs/>
              <w:sz w:val="24"/>
              <w:lang w:val="en-US" w:eastAsia="zh-CN"/>
            </w:rPr>
            <w:t>三、区域环境质量现状、环境保护目标及评价标准</w:t>
          </w:r>
          <w:r>
            <w:rPr>
              <w:rFonts w:ascii="Times New Roman" w:hAnsi="Times New Roman" w:eastAsia="宋体"/>
              <w:b/>
              <w:bCs/>
              <w:sz w:val="24"/>
            </w:rPr>
            <w:tab/>
          </w:r>
          <w:r>
            <w:rPr>
              <w:rFonts w:ascii="Times New Roman" w:hAnsi="Times New Roman" w:eastAsia="宋体"/>
              <w:b/>
              <w:bCs/>
              <w:sz w:val="24"/>
            </w:rPr>
            <w:fldChar w:fldCharType="begin"/>
          </w:r>
          <w:r>
            <w:rPr>
              <w:rFonts w:ascii="Times New Roman" w:hAnsi="Times New Roman" w:eastAsia="宋体"/>
              <w:b/>
              <w:bCs/>
              <w:sz w:val="24"/>
            </w:rPr>
            <w:instrText xml:space="preserve"> PAGEREF _Toc14025 \h </w:instrText>
          </w:r>
          <w:r>
            <w:rPr>
              <w:rFonts w:ascii="Times New Roman" w:hAnsi="Times New Roman" w:eastAsia="宋体"/>
              <w:b/>
              <w:bCs/>
              <w:sz w:val="24"/>
            </w:rPr>
            <w:fldChar w:fldCharType="separate"/>
          </w:r>
          <w:r>
            <w:rPr>
              <w:rFonts w:ascii="Times New Roman" w:hAnsi="Times New Roman" w:eastAsia="宋体"/>
              <w:b/>
              <w:bCs/>
              <w:sz w:val="24"/>
            </w:rPr>
            <w:t>28</w:t>
          </w:r>
          <w:r>
            <w:rPr>
              <w:rFonts w:ascii="Times New Roman" w:hAnsi="Times New Roman" w:eastAsia="宋体"/>
              <w:b/>
              <w:bCs/>
              <w:sz w:val="24"/>
            </w:rPr>
            <w:fldChar w:fldCharType="end"/>
          </w:r>
          <w:r>
            <w:rPr>
              <w:rFonts w:hint="default" w:ascii="Times New Roman" w:hAnsi="Times New Roman" w:eastAsia="宋体" w:cs="Times New Roman"/>
              <w:b/>
              <w:bCs/>
              <w:sz w:val="24"/>
              <w:szCs w:val="30"/>
              <w:lang w:val="en-US" w:eastAsia="zh-CN"/>
            </w:rPr>
            <w:fldChar w:fldCharType="end"/>
          </w:r>
        </w:p>
        <w:p w14:paraId="282891F5">
          <w:pPr>
            <w:pStyle w:val="47"/>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rPr>
              <w:rFonts w:ascii="Times New Roman" w:hAnsi="Times New Roman" w:eastAsia="宋体"/>
              <w:b/>
              <w:bCs/>
              <w:sz w:val="24"/>
            </w:rPr>
          </w:pPr>
          <w:r>
            <w:rPr>
              <w:rFonts w:hint="default" w:ascii="Times New Roman" w:hAnsi="Times New Roman" w:eastAsia="宋体" w:cs="Times New Roman"/>
              <w:b/>
              <w:bCs/>
              <w:sz w:val="24"/>
              <w:szCs w:val="30"/>
              <w:lang w:val="en-US" w:eastAsia="zh-CN"/>
            </w:rPr>
            <w:fldChar w:fldCharType="begin"/>
          </w:r>
          <w:r>
            <w:rPr>
              <w:rFonts w:hint="default" w:ascii="Times New Roman" w:hAnsi="Times New Roman" w:eastAsia="宋体" w:cs="Times New Roman"/>
              <w:b/>
              <w:bCs/>
              <w:sz w:val="24"/>
              <w:szCs w:val="30"/>
              <w:lang w:val="en-US" w:eastAsia="zh-CN"/>
            </w:rPr>
            <w:instrText xml:space="preserve"> HYPERLINK \l _Toc5912 </w:instrText>
          </w:r>
          <w:r>
            <w:rPr>
              <w:rFonts w:hint="default" w:ascii="Times New Roman" w:hAnsi="Times New Roman" w:eastAsia="宋体" w:cs="Times New Roman"/>
              <w:b/>
              <w:bCs/>
              <w:sz w:val="24"/>
              <w:szCs w:val="30"/>
              <w:lang w:val="en-US" w:eastAsia="zh-CN"/>
            </w:rPr>
            <w:fldChar w:fldCharType="separate"/>
          </w:r>
          <w:r>
            <w:rPr>
              <w:rFonts w:hint="eastAsia" w:ascii="Times New Roman" w:hAnsi="Times New Roman" w:eastAsia="宋体"/>
              <w:b/>
              <w:bCs/>
              <w:sz w:val="24"/>
              <w:lang w:val="en-US" w:eastAsia="zh-CN"/>
            </w:rPr>
            <w:t>四、主要环境影响和保护措施</w:t>
          </w:r>
          <w:r>
            <w:rPr>
              <w:rFonts w:ascii="Times New Roman" w:hAnsi="Times New Roman" w:eastAsia="宋体"/>
              <w:b/>
              <w:bCs/>
              <w:sz w:val="24"/>
            </w:rPr>
            <w:tab/>
          </w:r>
          <w:r>
            <w:rPr>
              <w:rFonts w:ascii="Times New Roman" w:hAnsi="Times New Roman" w:eastAsia="宋体"/>
              <w:b/>
              <w:bCs/>
              <w:sz w:val="24"/>
            </w:rPr>
            <w:fldChar w:fldCharType="begin"/>
          </w:r>
          <w:r>
            <w:rPr>
              <w:rFonts w:ascii="Times New Roman" w:hAnsi="Times New Roman" w:eastAsia="宋体"/>
              <w:b/>
              <w:bCs/>
              <w:sz w:val="24"/>
            </w:rPr>
            <w:instrText xml:space="preserve"> PAGEREF _Toc5912 \h </w:instrText>
          </w:r>
          <w:r>
            <w:rPr>
              <w:rFonts w:ascii="Times New Roman" w:hAnsi="Times New Roman" w:eastAsia="宋体"/>
              <w:b/>
              <w:bCs/>
              <w:sz w:val="24"/>
            </w:rPr>
            <w:fldChar w:fldCharType="separate"/>
          </w:r>
          <w:r>
            <w:rPr>
              <w:rFonts w:ascii="Times New Roman" w:hAnsi="Times New Roman" w:eastAsia="宋体"/>
              <w:b/>
              <w:bCs/>
              <w:sz w:val="24"/>
            </w:rPr>
            <w:t>36</w:t>
          </w:r>
          <w:r>
            <w:rPr>
              <w:rFonts w:ascii="Times New Roman" w:hAnsi="Times New Roman" w:eastAsia="宋体"/>
              <w:b/>
              <w:bCs/>
              <w:sz w:val="24"/>
            </w:rPr>
            <w:fldChar w:fldCharType="end"/>
          </w:r>
          <w:r>
            <w:rPr>
              <w:rFonts w:hint="default" w:ascii="Times New Roman" w:hAnsi="Times New Roman" w:eastAsia="宋体" w:cs="Times New Roman"/>
              <w:b/>
              <w:bCs/>
              <w:sz w:val="24"/>
              <w:szCs w:val="30"/>
              <w:lang w:val="en-US" w:eastAsia="zh-CN"/>
            </w:rPr>
            <w:fldChar w:fldCharType="end"/>
          </w:r>
        </w:p>
        <w:p w14:paraId="099EE297">
          <w:pPr>
            <w:pStyle w:val="47"/>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rPr>
              <w:rFonts w:ascii="Times New Roman" w:hAnsi="Times New Roman" w:eastAsia="宋体"/>
              <w:b/>
              <w:bCs/>
              <w:sz w:val="24"/>
            </w:rPr>
          </w:pPr>
          <w:r>
            <w:rPr>
              <w:rFonts w:hint="default" w:ascii="Times New Roman" w:hAnsi="Times New Roman" w:eastAsia="宋体" w:cs="Times New Roman"/>
              <w:b/>
              <w:bCs/>
              <w:sz w:val="24"/>
              <w:szCs w:val="30"/>
              <w:lang w:val="en-US" w:eastAsia="zh-CN"/>
            </w:rPr>
            <w:fldChar w:fldCharType="begin"/>
          </w:r>
          <w:r>
            <w:rPr>
              <w:rFonts w:hint="default" w:ascii="Times New Roman" w:hAnsi="Times New Roman" w:eastAsia="宋体" w:cs="Times New Roman"/>
              <w:b/>
              <w:bCs/>
              <w:sz w:val="24"/>
              <w:szCs w:val="30"/>
              <w:lang w:val="en-US" w:eastAsia="zh-CN"/>
            </w:rPr>
            <w:instrText xml:space="preserve"> HYPERLINK \l _Toc19091 </w:instrText>
          </w:r>
          <w:r>
            <w:rPr>
              <w:rFonts w:hint="default" w:ascii="Times New Roman" w:hAnsi="Times New Roman" w:eastAsia="宋体" w:cs="Times New Roman"/>
              <w:b/>
              <w:bCs/>
              <w:sz w:val="24"/>
              <w:szCs w:val="30"/>
              <w:lang w:val="en-US" w:eastAsia="zh-CN"/>
            </w:rPr>
            <w:fldChar w:fldCharType="separate"/>
          </w:r>
          <w:r>
            <w:rPr>
              <w:rFonts w:hint="default" w:ascii="Times New Roman" w:hAnsi="Times New Roman" w:eastAsia="宋体"/>
              <w:b/>
              <w:bCs/>
              <w:sz w:val="24"/>
              <w:lang w:val="en-US" w:eastAsia="zh-CN"/>
            </w:rPr>
            <w:t>五、环境保护措施监督检查清单</w:t>
          </w:r>
          <w:r>
            <w:rPr>
              <w:rFonts w:ascii="Times New Roman" w:hAnsi="Times New Roman" w:eastAsia="宋体"/>
              <w:b/>
              <w:bCs/>
              <w:sz w:val="24"/>
            </w:rPr>
            <w:tab/>
          </w:r>
          <w:r>
            <w:rPr>
              <w:rFonts w:ascii="Times New Roman" w:hAnsi="Times New Roman" w:eastAsia="宋体"/>
              <w:b/>
              <w:bCs/>
              <w:sz w:val="24"/>
            </w:rPr>
            <w:fldChar w:fldCharType="begin"/>
          </w:r>
          <w:r>
            <w:rPr>
              <w:rFonts w:ascii="Times New Roman" w:hAnsi="Times New Roman" w:eastAsia="宋体"/>
              <w:b/>
              <w:bCs/>
              <w:sz w:val="24"/>
            </w:rPr>
            <w:instrText xml:space="preserve"> PAGEREF _Toc19091 \h </w:instrText>
          </w:r>
          <w:r>
            <w:rPr>
              <w:rFonts w:ascii="Times New Roman" w:hAnsi="Times New Roman" w:eastAsia="宋体"/>
              <w:b/>
              <w:bCs/>
              <w:sz w:val="24"/>
            </w:rPr>
            <w:fldChar w:fldCharType="separate"/>
          </w:r>
          <w:r>
            <w:rPr>
              <w:rFonts w:ascii="Times New Roman" w:hAnsi="Times New Roman" w:eastAsia="宋体"/>
              <w:b/>
              <w:bCs/>
              <w:sz w:val="24"/>
            </w:rPr>
            <w:t>62</w:t>
          </w:r>
          <w:r>
            <w:rPr>
              <w:rFonts w:ascii="Times New Roman" w:hAnsi="Times New Roman" w:eastAsia="宋体"/>
              <w:b/>
              <w:bCs/>
              <w:sz w:val="24"/>
            </w:rPr>
            <w:fldChar w:fldCharType="end"/>
          </w:r>
          <w:r>
            <w:rPr>
              <w:rFonts w:hint="default" w:ascii="Times New Roman" w:hAnsi="Times New Roman" w:eastAsia="宋体" w:cs="Times New Roman"/>
              <w:b/>
              <w:bCs/>
              <w:sz w:val="24"/>
              <w:szCs w:val="30"/>
              <w:lang w:val="en-US" w:eastAsia="zh-CN"/>
            </w:rPr>
            <w:fldChar w:fldCharType="end"/>
          </w:r>
        </w:p>
        <w:p w14:paraId="73F700FE">
          <w:pPr>
            <w:pStyle w:val="47"/>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rPr>
              <w:rFonts w:ascii="Times New Roman" w:hAnsi="Times New Roman" w:eastAsia="宋体"/>
              <w:b/>
              <w:bCs/>
              <w:sz w:val="24"/>
            </w:rPr>
          </w:pPr>
          <w:r>
            <w:rPr>
              <w:rFonts w:hint="default" w:ascii="Times New Roman" w:hAnsi="Times New Roman" w:eastAsia="宋体" w:cs="Times New Roman"/>
              <w:b/>
              <w:bCs/>
              <w:sz w:val="24"/>
              <w:szCs w:val="30"/>
              <w:lang w:val="en-US" w:eastAsia="zh-CN"/>
            </w:rPr>
            <w:fldChar w:fldCharType="begin"/>
          </w:r>
          <w:r>
            <w:rPr>
              <w:rFonts w:hint="default" w:ascii="Times New Roman" w:hAnsi="Times New Roman" w:eastAsia="宋体" w:cs="Times New Roman"/>
              <w:b/>
              <w:bCs/>
              <w:sz w:val="24"/>
              <w:szCs w:val="30"/>
              <w:lang w:val="en-US" w:eastAsia="zh-CN"/>
            </w:rPr>
            <w:instrText xml:space="preserve"> HYPERLINK \l _Toc20570 </w:instrText>
          </w:r>
          <w:r>
            <w:rPr>
              <w:rFonts w:hint="default" w:ascii="Times New Roman" w:hAnsi="Times New Roman" w:eastAsia="宋体" w:cs="Times New Roman"/>
              <w:b/>
              <w:bCs/>
              <w:sz w:val="24"/>
              <w:szCs w:val="30"/>
              <w:lang w:val="en-US" w:eastAsia="zh-CN"/>
            </w:rPr>
            <w:fldChar w:fldCharType="separate"/>
          </w:r>
          <w:r>
            <w:rPr>
              <w:rFonts w:hint="eastAsia" w:ascii="Times New Roman" w:hAnsi="Times New Roman" w:eastAsia="宋体"/>
              <w:b/>
              <w:bCs/>
              <w:sz w:val="24"/>
              <w:lang w:val="en-US" w:eastAsia="zh-CN"/>
            </w:rPr>
            <w:t>六、结论</w:t>
          </w:r>
          <w:r>
            <w:rPr>
              <w:rFonts w:ascii="Times New Roman" w:hAnsi="Times New Roman" w:eastAsia="宋体"/>
              <w:b/>
              <w:bCs/>
              <w:sz w:val="24"/>
            </w:rPr>
            <w:tab/>
          </w:r>
          <w:r>
            <w:rPr>
              <w:rFonts w:ascii="Times New Roman" w:hAnsi="Times New Roman" w:eastAsia="宋体"/>
              <w:b/>
              <w:bCs/>
              <w:sz w:val="24"/>
            </w:rPr>
            <w:fldChar w:fldCharType="begin"/>
          </w:r>
          <w:r>
            <w:rPr>
              <w:rFonts w:ascii="Times New Roman" w:hAnsi="Times New Roman" w:eastAsia="宋体"/>
              <w:b/>
              <w:bCs/>
              <w:sz w:val="24"/>
            </w:rPr>
            <w:instrText xml:space="preserve"> PAGEREF _Toc20570 \h </w:instrText>
          </w:r>
          <w:r>
            <w:rPr>
              <w:rFonts w:ascii="Times New Roman" w:hAnsi="Times New Roman" w:eastAsia="宋体"/>
              <w:b/>
              <w:bCs/>
              <w:sz w:val="24"/>
            </w:rPr>
            <w:fldChar w:fldCharType="separate"/>
          </w:r>
          <w:r>
            <w:rPr>
              <w:rFonts w:ascii="Times New Roman" w:hAnsi="Times New Roman" w:eastAsia="宋体"/>
              <w:b/>
              <w:bCs/>
              <w:sz w:val="24"/>
            </w:rPr>
            <w:t>64</w:t>
          </w:r>
          <w:r>
            <w:rPr>
              <w:rFonts w:ascii="Times New Roman" w:hAnsi="Times New Roman" w:eastAsia="宋体"/>
              <w:b/>
              <w:bCs/>
              <w:sz w:val="24"/>
            </w:rPr>
            <w:fldChar w:fldCharType="end"/>
          </w:r>
          <w:r>
            <w:rPr>
              <w:rFonts w:hint="default" w:ascii="Times New Roman" w:hAnsi="Times New Roman" w:eastAsia="宋体" w:cs="Times New Roman"/>
              <w:b/>
              <w:bCs/>
              <w:sz w:val="24"/>
              <w:szCs w:val="30"/>
              <w:lang w:val="en-US" w:eastAsia="zh-CN"/>
            </w:rPr>
            <w:fldChar w:fldCharType="end"/>
          </w:r>
        </w:p>
        <w:p w14:paraId="3CC279CD">
          <w:pPr>
            <w:pStyle w:val="47"/>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pPr>
          <w:r>
            <w:rPr>
              <w:rFonts w:hint="default" w:ascii="Times New Roman" w:hAnsi="Times New Roman" w:eastAsia="宋体" w:cs="Times New Roman"/>
              <w:b/>
              <w:bCs/>
              <w:sz w:val="24"/>
              <w:szCs w:val="30"/>
              <w:lang w:val="en-US" w:eastAsia="zh-CN"/>
            </w:rPr>
            <w:fldChar w:fldCharType="begin"/>
          </w:r>
          <w:r>
            <w:rPr>
              <w:rFonts w:hint="default" w:ascii="Times New Roman" w:hAnsi="Times New Roman" w:eastAsia="宋体" w:cs="Times New Roman"/>
              <w:b/>
              <w:bCs/>
              <w:sz w:val="24"/>
              <w:szCs w:val="30"/>
              <w:lang w:val="en-US" w:eastAsia="zh-CN"/>
            </w:rPr>
            <w:instrText xml:space="preserve"> HYPERLINK \l _Toc17938 </w:instrText>
          </w:r>
          <w:r>
            <w:rPr>
              <w:rFonts w:hint="default" w:ascii="Times New Roman" w:hAnsi="Times New Roman" w:eastAsia="宋体" w:cs="Times New Roman"/>
              <w:b/>
              <w:bCs/>
              <w:sz w:val="24"/>
              <w:szCs w:val="30"/>
              <w:lang w:val="en-US" w:eastAsia="zh-CN"/>
            </w:rPr>
            <w:fldChar w:fldCharType="separate"/>
          </w:r>
          <w:r>
            <w:rPr>
              <w:rFonts w:hint="eastAsia" w:ascii="Times New Roman" w:hAnsi="Times New Roman" w:eastAsia="宋体"/>
              <w:b/>
              <w:bCs/>
              <w:sz w:val="24"/>
              <w:lang w:val="en-US" w:eastAsia="zh-CN"/>
            </w:rPr>
            <w:t>建设项目污染物排放量汇总表</w:t>
          </w:r>
          <w:r>
            <w:rPr>
              <w:rFonts w:ascii="Times New Roman" w:hAnsi="Times New Roman" w:eastAsia="宋体"/>
              <w:b/>
              <w:bCs/>
              <w:sz w:val="24"/>
            </w:rPr>
            <w:tab/>
          </w:r>
          <w:r>
            <w:rPr>
              <w:rFonts w:ascii="Times New Roman" w:hAnsi="Times New Roman" w:eastAsia="宋体"/>
              <w:b/>
              <w:bCs/>
              <w:sz w:val="24"/>
            </w:rPr>
            <w:fldChar w:fldCharType="begin"/>
          </w:r>
          <w:r>
            <w:rPr>
              <w:rFonts w:ascii="Times New Roman" w:hAnsi="Times New Roman" w:eastAsia="宋体"/>
              <w:b/>
              <w:bCs/>
              <w:sz w:val="24"/>
            </w:rPr>
            <w:instrText xml:space="preserve"> PAGEREF _Toc17938 \h </w:instrText>
          </w:r>
          <w:r>
            <w:rPr>
              <w:rFonts w:ascii="Times New Roman" w:hAnsi="Times New Roman" w:eastAsia="宋体"/>
              <w:b/>
              <w:bCs/>
              <w:sz w:val="24"/>
            </w:rPr>
            <w:fldChar w:fldCharType="separate"/>
          </w:r>
          <w:r>
            <w:rPr>
              <w:rFonts w:ascii="Times New Roman" w:hAnsi="Times New Roman" w:eastAsia="宋体"/>
              <w:b/>
              <w:bCs/>
              <w:sz w:val="24"/>
            </w:rPr>
            <w:t>65</w:t>
          </w:r>
          <w:r>
            <w:rPr>
              <w:rFonts w:ascii="Times New Roman" w:hAnsi="Times New Roman" w:eastAsia="宋体"/>
              <w:b/>
              <w:bCs/>
              <w:sz w:val="24"/>
            </w:rPr>
            <w:fldChar w:fldCharType="end"/>
          </w:r>
          <w:r>
            <w:rPr>
              <w:rFonts w:hint="default" w:ascii="Times New Roman" w:hAnsi="Times New Roman" w:eastAsia="宋体" w:cs="Times New Roman"/>
              <w:b/>
              <w:bCs/>
              <w:sz w:val="24"/>
              <w:szCs w:val="30"/>
              <w:lang w:val="en-US" w:eastAsia="zh-CN"/>
            </w:rPr>
            <w:fldChar w:fldCharType="end"/>
          </w:r>
        </w:p>
        <w:p w14:paraId="7AB1E142">
          <w:pPr>
            <w:spacing w:line="360" w:lineRule="auto"/>
            <w:ind w:firstLine="0" w:firstLineChars="0"/>
            <w:rPr>
              <w:rFonts w:hint="default" w:ascii="Times New Roman" w:hAnsi="Times New Roman" w:eastAsia="黑体" w:cs="Times New Roman"/>
              <w:bCs/>
              <w:szCs w:val="30"/>
              <w:lang w:val="en-US" w:eastAsia="zh-CN"/>
            </w:rPr>
          </w:pPr>
          <w:r>
            <w:rPr>
              <w:rFonts w:hint="default" w:ascii="Times New Roman" w:hAnsi="Times New Roman" w:eastAsia="黑体" w:cs="Times New Roman"/>
              <w:bCs/>
              <w:szCs w:val="30"/>
              <w:lang w:val="en-US" w:eastAsia="zh-CN"/>
            </w:rPr>
            <w:fldChar w:fldCharType="end"/>
          </w:r>
        </w:p>
        <w:p w14:paraId="06A1690A">
          <w:pPr>
            <w:keepNext w:val="0"/>
            <w:keepLines w:val="0"/>
            <w:pageBreakBefore w:val="0"/>
            <w:kinsoku/>
            <w:wordWrap/>
            <w:overflowPunct/>
            <w:topLinePunct w:val="0"/>
            <w:autoSpaceDE/>
            <w:autoSpaceDN/>
            <w:bidi w:val="0"/>
            <w:adjustRightInd/>
            <w:snapToGrid/>
            <w:spacing w:line="360" w:lineRule="auto"/>
            <w:ind w:firstLine="0" w:firstLineChars="0"/>
            <w:textAlignment w:val="auto"/>
            <w:rPr>
              <w:b/>
              <w:color w:val="0000FF"/>
              <w:kern w:val="0"/>
              <w:sz w:val="24"/>
            </w:rPr>
          </w:pPr>
          <w:r>
            <w:rPr>
              <w:rFonts w:hAnsi="宋体"/>
              <w:b/>
              <w:color w:val="0000FF"/>
              <w:kern w:val="0"/>
              <w:sz w:val="24"/>
            </w:rPr>
            <w:t>附图：</w:t>
          </w:r>
        </w:p>
        <w:p w14:paraId="3C5E5515">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color w:val="0000FF"/>
              <w:kern w:val="0"/>
              <w:sz w:val="24"/>
            </w:rPr>
          </w:pPr>
          <w:r>
            <w:rPr>
              <w:rFonts w:hint="eastAsia"/>
              <w:color w:val="0000FF"/>
              <w:kern w:val="0"/>
              <w:sz w:val="24"/>
            </w:rPr>
            <w:t>附图</w:t>
          </w:r>
          <w:r>
            <w:rPr>
              <w:rFonts w:hint="eastAsia"/>
              <w:color w:val="0000FF"/>
              <w:kern w:val="0"/>
              <w:sz w:val="24"/>
              <w:lang w:val="en-US" w:eastAsia="zh-CN"/>
            </w:rPr>
            <w:t>1</w:t>
          </w:r>
          <w:r>
            <w:rPr>
              <w:rFonts w:hint="eastAsia"/>
              <w:color w:val="0000FF"/>
              <w:kern w:val="0"/>
              <w:sz w:val="24"/>
            </w:rPr>
            <w:t xml:space="preserve"> 项目地理位置图</w:t>
          </w:r>
        </w:p>
        <w:p w14:paraId="775B3881">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eastAsia="宋体"/>
              <w:color w:val="0000FF"/>
              <w:kern w:val="0"/>
              <w:sz w:val="24"/>
              <w:lang w:eastAsia="zh-CN"/>
            </w:rPr>
          </w:pPr>
          <w:r>
            <w:rPr>
              <w:rFonts w:hint="eastAsia"/>
              <w:color w:val="0000FF"/>
              <w:kern w:val="0"/>
              <w:sz w:val="24"/>
            </w:rPr>
            <w:t>附图</w:t>
          </w:r>
          <w:r>
            <w:rPr>
              <w:rFonts w:hint="eastAsia"/>
              <w:color w:val="0000FF"/>
              <w:kern w:val="0"/>
              <w:sz w:val="24"/>
              <w:lang w:val="en-US" w:eastAsia="zh-CN"/>
            </w:rPr>
            <w:t>2</w:t>
          </w:r>
          <w:r>
            <w:rPr>
              <w:rFonts w:hint="eastAsia"/>
              <w:color w:val="0000FF"/>
              <w:kern w:val="0"/>
              <w:sz w:val="24"/>
            </w:rPr>
            <w:t xml:space="preserve"> 项目</w:t>
          </w:r>
          <w:r>
            <w:rPr>
              <w:rFonts w:hint="eastAsia"/>
              <w:color w:val="0000FF"/>
              <w:kern w:val="0"/>
              <w:sz w:val="24"/>
              <w:lang w:val="en-US" w:eastAsia="zh-CN"/>
            </w:rPr>
            <w:t>区域水系图</w:t>
          </w:r>
        </w:p>
        <w:p w14:paraId="4C6BB689">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color w:val="0000FF"/>
              <w:lang w:val="en-US" w:eastAsia="zh-CN"/>
            </w:rPr>
          </w:pPr>
          <w:r>
            <w:rPr>
              <w:rFonts w:hint="eastAsia"/>
              <w:color w:val="0000FF"/>
              <w:kern w:val="0"/>
              <w:sz w:val="24"/>
            </w:rPr>
            <w:t>附图</w:t>
          </w:r>
          <w:r>
            <w:rPr>
              <w:rFonts w:hint="eastAsia"/>
              <w:color w:val="0000FF"/>
              <w:kern w:val="0"/>
              <w:sz w:val="24"/>
              <w:lang w:val="en-US" w:eastAsia="zh-CN"/>
            </w:rPr>
            <w:t>3</w:t>
          </w:r>
          <w:r>
            <w:rPr>
              <w:rFonts w:hint="eastAsia"/>
              <w:color w:val="0000FF"/>
              <w:kern w:val="0"/>
              <w:sz w:val="24"/>
            </w:rPr>
            <w:t xml:space="preserve"> </w:t>
          </w:r>
          <w:r>
            <w:rPr>
              <w:rFonts w:hint="eastAsia"/>
              <w:color w:val="0000FF"/>
              <w:lang w:val="en-US" w:eastAsia="zh-CN"/>
            </w:rPr>
            <w:t>项目周边位置关系图</w:t>
          </w:r>
        </w:p>
        <w:p w14:paraId="35E8684C">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color w:val="0000FF"/>
              <w:lang w:val="en-US" w:eastAsia="zh-CN"/>
            </w:rPr>
          </w:pPr>
          <w:r>
            <w:rPr>
              <w:rFonts w:hint="eastAsia"/>
              <w:color w:val="0000FF"/>
              <w:kern w:val="0"/>
              <w:sz w:val="24"/>
            </w:rPr>
            <w:t>附图</w:t>
          </w:r>
          <w:r>
            <w:rPr>
              <w:rFonts w:hint="eastAsia"/>
              <w:color w:val="0000FF"/>
              <w:kern w:val="0"/>
              <w:sz w:val="24"/>
              <w:lang w:val="en-US" w:eastAsia="zh-CN"/>
            </w:rPr>
            <w:t>4</w:t>
          </w:r>
          <w:r>
            <w:rPr>
              <w:rFonts w:hint="eastAsia"/>
              <w:color w:val="0000FF"/>
              <w:kern w:val="0"/>
              <w:sz w:val="24"/>
            </w:rPr>
            <w:t xml:space="preserve"> </w:t>
          </w:r>
          <w:r>
            <w:rPr>
              <w:rFonts w:hint="eastAsia"/>
              <w:color w:val="0000FF"/>
              <w:lang w:val="en-US" w:eastAsia="zh-CN"/>
            </w:rPr>
            <w:t>项目平面布置图</w:t>
          </w:r>
        </w:p>
        <w:p w14:paraId="49A23F9F">
          <w:pPr>
            <w:pStyle w:val="12"/>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olor w:val="0000FF"/>
              <w:lang w:val="en-US" w:eastAsia="zh-CN"/>
            </w:rPr>
          </w:pPr>
          <w:r>
            <w:rPr>
              <w:rFonts w:hint="eastAsia" w:ascii="Times New Roman" w:hAnsi="Times New Roman"/>
              <w:color w:val="0000FF"/>
              <w:lang w:val="en-US" w:eastAsia="zh-CN"/>
            </w:rPr>
            <w:t>附图5 项目与昆明市分区管控单元位置关系图</w:t>
          </w:r>
        </w:p>
        <w:p w14:paraId="59CAA310">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olor w:val="0000FF"/>
              <w:lang w:val="en-US" w:eastAsia="zh-CN"/>
            </w:rPr>
          </w:pPr>
          <w:r>
            <w:rPr>
              <w:rFonts w:hint="eastAsia" w:ascii="Times New Roman" w:hAnsi="Times New Roman"/>
              <w:color w:val="0000FF"/>
              <w:lang w:val="en-US" w:eastAsia="zh-CN"/>
            </w:rPr>
            <w:t>附图6 项目区域牛栏江水环境保护分区位置关系图</w:t>
          </w:r>
        </w:p>
        <w:p w14:paraId="7C021173">
          <w:pPr>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b/>
              <w:color w:val="0000FF"/>
              <w:kern w:val="0"/>
              <w:sz w:val="24"/>
            </w:rPr>
          </w:pPr>
          <w:r>
            <w:rPr>
              <w:rFonts w:hint="eastAsia"/>
              <w:b/>
              <w:color w:val="0000FF"/>
              <w:kern w:val="0"/>
              <w:sz w:val="24"/>
            </w:rPr>
            <w:t>附件：</w:t>
          </w:r>
        </w:p>
        <w:p w14:paraId="1C4894ED">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default"/>
              <w:b w:val="0"/>
              <w:bCs/>
              <w:color w:val="0000FF"/>
              <w:kern w:val="0"/>
              <w:sz w:val="24"/>
              <w:highlight w:val="none"/>
              <w:lang w:val="en-US" w:eastAsia="zh-CN"/>
            </w:rPr>
          </w:pPr>
          <w:r>
            <w:rPr>
              <w:rFonts w:hint="eastAsia"/>
              <w:b w:val="0"/>
              <w:bCs/>
              <w:color w:val="0000FF"/>
              <w:kern w:val="0"/>
              <w:sz w:val="24"/>
              <w:highlight w:val="none"/>
              <w:lang w:val="en-US" w:eastAsia="zh-CN"/>
            </w:rPr>
            <w:t>附件1 项目委托书</w:t>
          </w:r>
        </w:p>
        <w:p w14:paraId="27156223">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default"/>
              <w:b w:val="0"/>
              <w:bCs/>
              <w:color w:val="0000FF"/>
              <w:kern w:val="0"/>
              <w:sz w:val="24"/>
              <w:lang w:val="en-US" w:eastAsia="zh-CN"/>
            </w:rPr>
          </w:pPr>
          <w:r>
            <w:rPr>
              <w:rFonts w:hint="eastAsia"/>
              <w:b w:val="0"/>
              <w:bCs/>
              <w:color w:val="0000FF"/>
              <w:kern w:val="0"/>
              <w:sz w:val="24"/>
              <w:lang w:val="en-US" w:eastAsia="zh-CN"/>
            </w:rPr>
            <w:t>附件2 营业执照</w:t>
          </w:r>
        </w:p>
        <w:p w14:paraId="4712E77D">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default"/>
              <w:b w:val="0"/>
              <w:bCs/>
              <w:color w:val="0000FF"/>
              <w:kern w:val="0"/>
              <w:sz w:val="24"/>
              <w:lang w:val="en-US" w:eastAsia="zh-CN"/>
            </w:rPr>
          </w:pPr>
          <w:r>
            <w:rPr>
              <w:rFonts w:hint="eastAsia"/>
              <w:b w:val="0"/>
              <w:bCs/>
              <w:color w:val="0000FF"/>
              <w:kern w:val="0"/>
              <w:sz w:val="24"/>
              <w:lang w:val="en-US" w:eastAsia="zh-CN"/>
            </w:rPr>
            <w:t>附件3 项目投资备案证</w:t>
          </w:r>
        </w:p>
        <w:p w14:paraId="0CD5A484">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default"/>
              <w:b w:val="0"/>
              <w:bCs/>
              <w:color w:val="0000FF"/>
              <w:kern w:val="0"/>
              <w:sz w:val="24"/>
              <w:lang w:val="en-US" w:eastAsia="zh-CN"/>
            </w:rPr>
          </w:pPr>
          <w:r>
            <w:rPr>
              <w:rFonts w:hint="eastAsia"/>
              <w:b w:val="0"/>
              <w:bCs/>
              <w:color w:val="0000FF"/>
              <w:kern w:val="0"/>
              <w:sz w:val="24"/>
              <w:lang w:val="en-US" w:eastAsia="zh-CN"/>
            </w:rPr>
            <w:t>附件4 用地租赁合同</w:t>
          </w:r>
        </w:p>
        <w:p w14:paraId="3464FC8E">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default"/>
              <w:b w:val="0"/>
              <w:bCs/>
              <w:color w:val="0000FF"/>
              <w:kern w:val="0"/>
              <w:sz w:val="24"/>
              <w:lang w:val="en-US" w:eastAsia="zh-CN"/>
            </w:rPr>
          </w:pPr>
          <w:r>
            <w:rPr>
              <w:rFonts w:hint="eastAsia"/>
              <w:b w:val="0"/>
              <w:bCs/>
              <w:color w:val="0000FF"/>
              <w:kern w:val="0"/>
              <w:sz w:val="24"/>
              <w:lang w:val="en-US" w:eastAsia="zh-CN"/>
            </w:rPr>
            <w:t>附件5 土地使用证</w:t>
          </w:r>
        </w:p>
        <w:p w14:paraId="0DA76B86">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default"/>
              <w:b w:val="0"/>
              <w:bCs/>
              <w:color w:val="0000FF"/>
              <w:kern w:val="0"/>
              <w:sz w:val="24"/>
              <w:highlight w:val="none"/>
              <w:lang w:val="en-US" w:eastAsia="zh-CN"/>
            </w:rPr>
          </w:pPr>
          <w:r>
            <w:rPr>
              <w:rFonts w:hint="eastAsia"/>
              <w:b w:val="0"/>
              <w:bCs/>
              <w:color w:val="0000FF"/>
              <w:kern w:val="0"/>
              <w:sz w:val="24"/>
              <w:highlight w:val="none"/>
              <w:lang w:val="en-US" w:eastAsia="zh-CN"/>
            </w:rPr>
            <w:t>附件6 三区三线查询结果</w:t>
          </w:r>
        </w:p>
        <w:p w14:paraId="6CF5799B">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default"/>
              <w:b w:val="0"/>
              <w:bCs/>
              <w:color w:val="0000FF"/>
              <w:kern w:val="0"/>
              <w:sz w:val="24"/>
              <w:highlight w:val="none"/>
              <w:lang w:val="en-US" w:eastAsia="zh-CN"/>
            </w:rPr>
          </w:pPr>
          <w:r>
            <w:rPr>
              <w:rFonts w:hint="eastAsia"/>
              <w:b w:val="0"/>
              <w:bCs/>
              <w:color w:val="0000FF"/>
              <w:kern w:val="0"/>
              <w:sz w:val="24"/>
              <w:highlight w:val="none"/>
              <w:lang w:val="en-US" w:eastAsia="zh-CN"/>
            </w:rPr>
            <w:t>附件7 现状监测报告</w:t>
          </w:r>
        </w:p>
        <w:p w14:paraId="40C1B5FE">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b w:val="0"/>
              <w:bCs/>
              <w:color w:val="0000FF"/>
              <w:kern w:val="0"/>
              <w:sz w:val="24"/>
              <w:highlight w:val="none"/>
              <w:lang w:val="en-US" w:eastAsia="zh-CN"/>
            </w:rPr>
          </w:pPr>
          <w:r>
            <w:rPr>
              <w:rFonts w:hint="eastAsia"/>
              <w:b w:val="0"/>
              <w:bCs/>
              <w:color w:val="0000FF"/>
              <w:kern w:val="0"/>
              <w:sz w:val="24"/>
              <w:highlight w:val="none"/>
              <w:lang w:val="en-US" w:eastAsia="zh-CN"/>
            </w:rPr>
            <w:t>附件8 环评报告表编制技术服务合同</w:t>
          </w:r>
        </w:p>
        <w:p w14:paraId="530C71D9">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黑体" w:cs="Times New Roman"/>
              <w:b/>
              <w:bCs/>
              <w:sz w:val="30"/>
              <w:szCs w:val="30"/>
              <w:lang w:val="en-US"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Content>
    </w:sdt>
    <w:p w14:paraId="02E635A2">
      <w:pPr>
        <w:pStyle w:val="2"/>
        <w:bidi w:val="0"/>
        <w:rPr>
          <w:rFonts w:hint="eastAsia"/>
          <w:lang w:val="en-US" w:eastAsia="zh-CN"/>
        </w:rPr>
      </w:pPr>
      <w:bookmarkStart w:id="2" w:name="_Toc6348"/>
      <w:r>
        <w:rPr>
          <w:rFonts w:hint="eastAsia"/>
          <w:lang w:val="en-US" w:eastAsia="zh-CN"/>
        </w:rPr>
        <w:t>一、建设项目基本情况</w:t>
      </w:r>
      <w:bookmarkEnd w:id="2"/>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272"/>
        <w:gridCol w:w="539"/>
        <w:gridCol w:w="1604"/>
        <w:gridCol w:w="1725"/>
        <w:gridCol w:w="2926"/>
      </w:tblGrid>
      <w:tr w14:paraId="31F98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28" w:type="dxa"/>
            <w:gridSpan w:val="2"/>
            <w:vAlign w:val="center"/>
          </w:tcPr>
          <w:p w14:paraId="0463414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建设项目名称</w:t>
            </w:r>
          </w:p>
        </w:tc>
        <w:tc>
          <w:tcPr>
            <w:tcW w:w="6794" w:type="dxa"/>
            <w:gridSpan w:val="4"/>
            <w:vAlign w:val="center"/>
          </w:tcPr>
          <w:p w14:paraId="3A49852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cs="Times New Roman"/>
                <w:sz w:val="24"/>
                <w:szCs w:val="21"/>
                <w:vertAlign w:val="baseline"/>
                <w:lang w:val="en-US" w:eastAsia="zh-CN"/>
              </w:rPr>
              <w:t>寻甸锦晟源商贸有限公司年处理10万吨褐煤提质项目</w:t>
            </w:r>
          </w:p>
        </w:tc>
      </w:tr>
      <w:tr w14:paraId="69AB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28" w:type="dxa"/>
            <w:gridSpan w:val="2"/>
            <w:vAlign w:val="center"/>
          </w:tcPr>
          <w:p w14:paraId="71953AC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项目代码</w:t>
            </w:r>
          </w:p>
        </w:tc>
        <w:tc>
          <w:tcPr>
            <w:tcW w:w="6794" w:type="dxa"/>
            <w:gridSpan w:val="4"/>
            <w:vAlign w:val="center"/>
          </w:tcPr>
          <w:p w14:paraId="39D1989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4"/>
                <w:vertAlign w:val="baseline"/>
                <w:lang w:val="en-US" w:eastAsia="zh-CN"/>
              </w:rPr>
              <w:t>2</w:t>
            </w:r>
            <w:r>
              <w:rPr>
                <w:rFonts w:hint="default" w:ascii="Times New Roman" w:hAnsi="Times New Roman" w:cs="Times New Roman"/>
                <w:sz w:val="24"/>
                <w:szCs w:val="24"/>
                <w:vertAlign w:val="baseline"/>
                <w:lang w:val="en-US" w:eastAsia="zh-CN"/>
              </w:rPr>
              <w:t>403</w:t>
            </w:r>
            <w:r>
              <w:rPr>
                <w:rFonts w:hint="default" w:ascii="Times New Roman" w:hAnsi="Times New Roman" w:eastAsia="宋体" w:cs="Times New Roman"/>
                <w:sz w:val="24"/>
                <w:szCs w:val="24"/>
                <w:vertAlign w:val="baseline"/>
                <w:lang w:val="en-US" w:eastAsia="zh-CN"/>
              </w:rPr>
              <w:t>-530129-04-</w:t>
            </w:r>
            <w:r>
              <w:rPr>
                <w:rFonts w:hint="default" w:ascii="Times New Roman" w:hAnsi="Times New Roman" w:cs="Times New Roman"/>
                <w:sz w:val="24"/>
                <w:szCs w:val="24"/>
                <w:vertAlign w:val="baseline"/>
                <w:lang w:val="en-US" w:eastAsia="zh-CN"/>
              </w:rPr>
              <w:t>05</w:t>
            </w:r>
            <w:r>
              <w:rPr>
                <w:rFonts w:hint="default" w:ascii="Times New Roman" w:hAnsi="Times New Roman" w:eastAsia="宋体" w:cs="Times New Roman"/>
                <w:sz w:val="24"/>
                <w:szCs w:val="24"/>
                <w:vertAlign w:val="baseline"/>
                <w:lang w:val="en-US" w:eastAsia="zh-CN"/>
              </w:rPr>
              <w:t>-</w:t>
            </w:r>
            <w:r>
              <w:rPr>
                <w:rFonts w:hint="default" w:ascii="Times New Roman" w:hAnsi="Times New Roman" w:cs="Times New Roman"/>
                <w:sz w:val="24"/>
                <w:szCs w:val="24"/>
                <w:vertAlign w:val="baseline"/>
                <w:lang w:val="en-US" w:eastAsia="zh-CN"/>
              </w:rPr>
              <w:t>241929</w:t>
            </w:r>
          </w:p>
        </w:tc>
      </w:tr>
      <w:tr w14:paraId="3B7F7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28" w:type="dxa"/>
            <w:gridSpan w:val="2"/>
            <w:vAlign w:val="center"/>
          </w:tcPr>
          <w:p w14:paraId="652D49F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建设单位联系人</w:t>
            </w:r>
          </w:p>
        </w:tc>
        <w:tc>
          <w:tcPr>
            <w:tcW w:w="2143" w:type="dxa"/>
            <w:gridSpan w:val="2"/>
            <w:vAlign w:val="center"/>
          </w:tcPr>
          <w:p w14:paraId="58A7F2E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p>
        </w:tc>
        <w:tc>
          <w:tcPr>
            <w:tcW w:w="1725" w:type="dxa"/>
            <w:vAlign w:val="center"/>
          </w:tcPr>
          <w:p w14:paraId="4AA2BCB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联系方式</w:t>
            </w:r>
          </w:p>
        </w:tc>
        <w:tc>
          <w:tcPr>
            <w:tcW w:w="2926" w:type="dxa"/>
            <w:vAlign w:val="center"/>
          </w:tcPr>
          <w:p w14:paraId="5A30455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vertAlign w:val="baseline"/>
                <w:lang w:val="en-US" w:eastAsia="zh-CN"/>
              </w:rPr>
            </w:pPr>
          </w:p>
        </w:tc>
      </w:tr>
      <w:tr w14:paraId="40D49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28" w:type="dxa"/>
            <w:gridSpan w:val="2"/>
            <w:vAlign w:val="center"/>
          </w:tcPr>
          <w:p w14:paraId="132D431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建设地点</w:t>
            </w:r>
          </w:p>
        </w:tc>
        <w:tc>
          <w:tcPr>
            <w:tcW w:w="6794" w:type="dxa"/>
            <w:gridSpan w:val="4"/>
            <w:vAlign w:val="center"/>
          </w:tcPr>
          <w:p w14:paraId="62598DB9">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t>云南省</w:t>
            </w:r>
            <w:r>
              <w:rPr>
                <w:rFonts w:hint="default" w:ascii="Times New Roman" w:hAnsi="Times New Roman" w:cs="Times New Roman"/>
                <w:sz w:val="24"/>
                <w:szCs w:val="21"/>
                <w:u w:val="none"/>
                <w:vertAlign w:val="baseline"/>
                <w:lang w:val="en-US" w:eastAsia="zh-CN"/>
              </w:rPr>
              <w:t>昆明市</w:t>
            </w:r>
            <w:r>
              <w:rPr>
                <w:rFonts w:hint="default" w:ascii="Times New Roman" w:hAnsi="Times New Roman" w:eastAsia="宋体" w:cs="Times New Roman"/>
                <w:sz w:val="24"/>
                <w:szCs w:val="21"/>
                <w:u w:val="none"/>
                <w:vertAlign w:val="baseline"/>
                <w:lang w:val="en-US" w:eastAsia="zh-CN"/>
              </w:rPr>
              <w:t>寻甸县</w:t>
            </w:r>
            <w:r>
              <w:rPr>
                <w:rFonts w:hint="default" w:ascii="Times New Roman" w:hAnsi="Times New Roman" w:cs="Times New Roman"/>
                <w:b w:val="0"/>
                <w:bCs w:val="0"/>
                <w:sz w:val="24"/>
                <w:szCs w:val="24"/>
                <w:lang w:val="en-US" w:eastAsia="zh-CN"/>
              </w:rPr>
              <w:t>金所街道三月三路中段</w:t>
            </w:r>
          </w:p>
        </w:tc>
      </w:tr>
      <w:tr w14:paraId="17AC2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28" w:type="dxa"/>
            <w:gridSpan w:val="2"/>
            <w:vAlign w:val="center"/>
          </w:tcPr>
          <w:p w14:paraId="5D56DAB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地理坐标</w:t>
            </w:r>
          </w:p>
        </w:tc>
        <w:tc>
          <w:tcPr>
            <w:tcW w:w="6794" w:type="dxa"/>
            <w:gridSpan w:val="4"/>
            <w:vAlign w:val="center"/>
          </w:tcPr>
          <w:p w14:paraId="3865A72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t>（</w:t>
            </w:r>
            <w:r>
              <w:rPr>
                <w:rFonts w:hint="default" w:ascii="Times New Roman" w:hAnsi="Times New Roman" w:cs="Times New Roman"/>
                <w:sz w:val="24"/>
                <w:szCs w:val="21"/>
                <w:u w:val="single"/>
                <w:vertAlign w:val="baseline"/>
                <w:lang w:val="en-US" w:eastAsia="zh-CN"/>
              </w:rPr>
              <w:t>103</w:t>
            </w:r>
            <w:r>
              <w:rPr>
                <w:rFonts w:hint="default" w:ascii="Times New Roman" w:hAnsi="Times New Roman" w:eastAsia="宋体" w:cs="Times New Roman"/>
                <w:sz w:val="24"/>
                <w:szCs w:val="21"/>
                <w:u w:val="none"/>
                <w:vertAlign w:val="baseline"/>
                <w:lang w:val="en-US" w:eastAsia="zh-CN"/>
              </w:rPr>
              <w:t>度</w:t>
            </w:r>
            <w:r>
              <w:rPr>
                <w:rFonts w:hint="default" w:ascii="Times New Roman" w:hAnsi="Times New Roman" w:cs="Times New Roman"/>
                <w:sz w:val="24"/>
                <w:szCs w:val="21"/>
                <w:u w:val="single"/>
                <w:vertAlign w:val="baseline"/>
                <w:lang w:val="en-US" w:eastAsia="zh-CN"/>
              </w:rPr>
              <w:t>13</w:t>
            </w:r>
            <w:r>
              <w:rPr>
                <w:rFonts w:hint="default" w:ascii="Times New Roman" w:hAnsi="Times New Roman" w:eastAsia="宋体" w:cs="Times New Roman"/>
                <w:sz w:val="24"/>
                <w:szCs w:val="21"/>
                <w:u w:val="none"/>
                <w:vertAlign w:val="baseline"/>
                <w:lang w:val="en-US" w:eastAsia="zh-CN"/>
              </w:rPr>
              <w:t>分</w:t>
            </w:r>
            <w:r>
              <w:rPr>
                <w:rFonts w:hint="default" w:ascii="Times New Roman" w:hAnsi="Times New Roman" w:cs="Times New Roman"/>
                <w:sz w:val="24"/>
                <w:szCs w:val="21"/>
                <w:u w:val="single"/>
                <w:vertAlign w:val="baseline"/>
                <w:lang w:val="en-US" w:eastAsia="zh-CN"/>
              </w:rPr>
              <w:t>16.662</w:t>
            </w:r>
            <w:r>
              <w:rPr>
                <w:rFonts w:hint="default" w:ascii="Times New Roman" w:hAnsi="Times New Roman" w:eastAsia="宋体" w:cs="Times New Roman"/>
                <w:sz w:val="24"/>
                <w:szCs w:val="21"/>
                <w:u w:val="none"/>
                <w:vertAlign w:val="baseline"/>
                <w:lang w:val="en-US" w:eastAsia="zh-CN"/>
              </w:rPr>
              <w:t>秒，</w:t>
            </w:r>
            <w:r>
              <w:rPr>
                <w:rFonts w:hint="default" w:ascii="Times New Roman" w:hAnsi="Times New Roman" w:cs="Times New Roman"/>
                <w:sz w:val="24"/>
                <w:szCs w:val="21"/>
                <w:u w:val="single"/>
                <w:vertAlign w:val="baseline"/>
                <w:lang w:val="en-US" w:eastAsia="zh-CN"/>
              </w:rPr>
              <w:t>25</w:t>
            </w:r>
            <w:r>
              <w:rPr>
                <w:rFonts w:hint="default" w:ascii="Times New Roman" w:hAnsi="Times New Roman" w:eastAsia="宋体" w:cs="Times New Roman"/>
                <w:sz w:val="24"/>
                <w:szCs w:val="21"/>
                <w:u w:val="none"/>
                <w:vertAlign w:val="baseline"/>
                <w:lang w:val="en-US" w:eastAsia="zh-CN"/>
              </w:rPr>
              <w:t>度</w:t>
            </w:r>
            <w:r>
              <w:rPr>
                <w:rFonts w:hint="default" w:ascii="Times New Roman" w:hAnsi="Times New Roman" w:cs="Times New Roman"/>
                <w:sz w:val="24"/>
                <w:szCs w:val="21"/>
                <w:u w:val="single"/>
                <w:vertAlign w:val="baseline"/>
                <w:lang w:val="en-US" w:eastAsia="zh-CN"/>
              </w:rPr>
              <w:t>32</w:t>
            </w:r>
            <w:r>
              <w:rPr>
                <w:rFonts w:hint="default" w:ascii="Times New Roman" w:hAnsi="Times New Roman" w:eastAsia="宋体" w:cs="Times New Roman"/>
                <w:sz w:val="24"/>
                <w:szCs w:val="21"/>
                <w:u w:val="none"/>
                <w:vertAlign w:val="baseline"/>
                <w:lang w:val="en-US" w:eastAsia="zh-CN"/>
              </w:rPr>
              <w:t>分</w:t>
            </w:r>
            <w:r>
              <w:rPr>
                <w:rFonts w:hint="default" w:ascii="Times New Roman" w:hAnsi="Times New Roman" w:cs="Times New Roman"/>
                <w:sz w:val="24"/>
                <w:szCs w:val="21"/>
                <w:u w:val="single"/>
                <w:vertAlign w:val="baseline"/>
                <w:lang w:val="en-US" w:eastAsia="zh-CN"/>
              </w:rPr>
              <w:t>39.689</w:t>
            </w:r>
            <w:r>
              <w:rPr>
                <w:rFonts w:hint="default" w:ascii="Times New Roman" w:hAnsi="Times New Roman" w:eastAsia="宋体" w:cs="Times New Roman"/>
                <w:sz w:val="24"/>
                <w:szCs w:val="21"/>
                <w:u w:val="none"/>
                <w:vertAlign w:val="baseline"/>
                <w:lang w:val="en-US" w:eastAsia="zh-CN"/>
              </w:rPr>
              <w:t>秒）</w:t>
            </w:r>
          </w:p>
        </w:tc>
      </w:tr>
      <w:tr w14:paraId="480C3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28" w:type="dxa"/>
            <w:gridSpan w:val="2"/>
            <w:vAlign w:val="center"/>
          </w:tcPr>
          <w:p w14:paraId="6B81084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国民经济</w:t>
            </w:r>
          </w:p>
          <w:p w14:paraId="4E9A96F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行业类别</w:t>
            </w:r>
          </w:p>
        </w:tc>
        <w:tc>
          <w:tcPr>
            <w:tcW w:w="2143" w:type="dxa"/>
            <w:gridSpan w:val="2"/>
            <w:vAlign w:val="center"/>
          </w:tcPr>
          <w:p w14:paraId="2A49C66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1"/>
                <w:u w:val="none"/>
                <w:vertAlign w:val="baseline"/>
                <w:lang w:val="en-US" w:eastAsia="zh-CN"/>
              </w:rPr>
            </w:pPr>
            <w:r>
              <w:rPr>
                <w:rFonts w:hint="eastAsia" w:cs="Times New Roman"/>
                <w:color w:val="0000FF"/>
                <w:sz w:val="24"/>
                <w:szCs w:val="21"/>
                <w:u w:val="none"/>
                <w:vertAlign w:val="baseline"/>
                <w:lang w:val="en-US" w:eastAsia="zh-CN"/>
              </w:rPr>
              <w:t>B0620褐煤开采洗选</w:t>
            </w:r>
          </w:p>
        </w:tc>
        <w:tc>
          <w:tcPr>
            <w:tcW w:w="1725" w:type="dxa"/>
            <w:vAlign w:val="center"/>
          </w:tcPr>
          <w:p w14:paraId="5183453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u w:val="none"/>
                <w:vertAlign w:val="baseline"/>
                <w:lang w:val="en-US" w:eastAsia="zh-CN"/>
              </w:rPr>
            </w:pPr>
            <w:bookmarkStart w:id="3" w:name="_Hlk49843745"/>
            <w:r>
              <w:rPr>
                <w:rFonts w:hint="default" w:ascii="Times New Roman" w:hAnsi="Times New Roman" w:eastAsia="宋体" w:cs="Times New Roman"/>
                <w:sz w:val="24"/>
                <w:szCs w:val="21"/>
                <w:u w:val="none"/>
                <w:vertAlign w:val="baseline"/>
                <w:lang w:val="en-US" w:eastAsia="zh-CN"/>
              </w:rPr>
              <w:t>建设项目</w:t>
            </w:r>
          </w:p>
          <w:p w14:paraId="331B216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t>行业类别</w:t>
            </w:r>
            <w:bookmarkEnd w:id="3"/>
          </w:p>
        </w:tc>
        <w:tc>
          <w:tcPr>
            <w:tcW w:w="2926" w:type="dxa"/>
            <w:vAlign w:val="center"/>
          </w:tcPr>
          <w:p w14:paraId="77768967">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sz w:val="24"/>
                <w:u w:val="none"/>
                <w:vertAlign w:val="baseline"/>
                <w:lang w:val="en-US" w:eastAsia="zh-CN"/>
              </w:rPr>
            </w:pPr>
            <w:r>
              <w:rPr>
                <w:rFonts w:hint="default" w:ascii="Times New Roman" w:hAnsi="Times New Roman" w:eastAsia="宋体" w:cs="Times New Roman"/>
                <w:kern w:val="2"/>
                <w:sz w:val="24"/>
                <w:szCs w:val="24"/>
                <w:vertAlign w:val="baseline"/>
                <w:lang w:val="en-US" w:eastAsia="zh-CN" w:bidi="ar-SA"/>
              </w:rPr>
              <w:t>四、</w:t>
            </w:r>
            <w:r>
              <w:rPr>
                <w:rFonts w:hint="default" w:ascii="Times New Roman" w:hAnsi="Times New Roman" w:cs="Times New Roman"/>
                <w:sz w:val="24"/>
                <w:u w:val="none"/>
                <w:vertAlign w:val="baseline"/>
                <w:lang w:val="en-US" w:eastAsia="zh-CN"/>
              </w:rPr>
              <w:t>煤炭开采和洗选业06-褐煤开采洗选062 煤炭储存、集运</w:t>
            </w:r>
          </w:p>
        </w:tc>
      </w:tr>
      <w:tr w14:paraId="14EE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28" w:type="dxa"/>
            <w:gridSpan w:val="2"/>
            <w:vAlign w:val="center"/>
          </w:tcPr>
          <w:p w14:paraId="2316171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建设性质</w:t>
            </w:r>
          </w:p>
        </w:tc>
        <w:tc>
          <w:tcPr>
            <w:tcW w:w="2143" w:type="dxa"/>
            <w:gridSpan w:val="2"/>
            <w:vAlign w:val="center"/>
          </w:tcPr>
          <w:p w14:paraId="76B78EC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sym w:font="Wingdings 2" w:char="0052"/>
            </w:r>
            <w:r>
              <w:rPr>
                <w:rFonts w:hint="default" w:ascii="Times New Roman" w:hAnsi="Times New Roman" w:eastAsia="宋体" w:cs="Times New Roman"/>
                <w:sz w:val="24"/>
                <w:szCs w:val="21"/>
                <w:u w:val="none"/>
                <w:vertAlign w:val="baseline"/>
                <w:lang w:val="en-US" w:eastAsia="zh-CN"/>
              </w:rPr>
              <w:t>新建（迁建）</w:t>
            </w:r>
          </w:p>
          <w:p w14:paraId="4A830D8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sym w:font="Wingdings 2" w:char="00A3"/>
            </w:r>
            <w:r>
              <w:rPr>
                <w:rFonts w:hint="default" w:ascii="Times New Roman" w:hAnsi="Times New Roman" w:eastAsia="宋体" w:cs="Times New Roman"/>
                <w:sz w:val="24"/>
                <w:szCs w:val="21"/>
                <w:u w:val="none"/>
                <w:vertAlign w:val="baseline"/>
                <w:lang w:val="en-US" w:eastAsia="zh-CN"/>
              </w:rPr>
              <w:t>改建</w:t>
            </w:r>
          </w:p>
          <w:p w14:paraId="7A05F76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sym w:font="Wingdings 2" w:char="00A3"/>
            </w:r>
            <w:r>
              <w:rPr>
                <w:rFonts w:hint="default" w:ascii="Times New Roman" w:hAnsi="Times New Roman" w:eastAsia="宋体" w:cs="Times New Roman"/>
                <w:sz w:val="24"/>
                <w:szCs w:val="21"/>
                <w:u w:val="none"/>
                <w:vertAlign w:val="baseline"/>
                <w:lang w:val="en-US" w:eastAsia="zh-CN"/>
              </w:rPr>
              <w:t>扩建</w:t>
            </w:r>
          </w:p>
          <w:p w14:paraId="154AD23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sym w:font="Wingdings 2" w:char="00A3"/>
            </w:r>
            <w:r>
              <w:rPr>
                <w:rFonts w:hint="default" w:ascii="Times New Roman" w:hAnsi="Times New Roman" w:eastAsia="宋体" w:cs="Times New Roman"/>
                <w:sz w:val="24"/>
                <w:szCs w:val="21"/>
                <w:u w:val="none"/>
                <w:vertAlign w:val="baseline"/>
                <w:lang w:val="en-US" w:eastAsia="zh-CN"/>
              </w:rPr>
              <w:t>技术改造</w:t>
            </w:r>
          </w:p>
        </w:tc>
        <w:tc>
          <w:tcPr>
            <w:tcW w:w="1725" w:type="dxa"/>
            <w:vAlign w:val="center"/>
          </w:tcPr>
          <w:p w14:paraId="7CAC7A6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t>建设项目</w:t>
            </w:r>
          </w:p>
          <w:p w14:paraId="3827D1B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t>申报情形</w:t>
            </w:r>
          </w:p>
        </w:tc>
        <w:tc>
          <w:tcPr>
            <w:tcW w:w="2926" w:type="dxa"/>
            <w:vAlign w:val="center"/>
          </w:tcPr>
          <w:p w14:paraId="0EF4952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sym w:font="Wingdings 2" w:char="0052"/>
            </w:r>
            <w:r>
              <w:rPr>
                <w:rFonts w:hint="default" w:ascii="Times New Roman" w:hAnsi="Times New Roman" w:eastAsia="宋体" w:cs="Times New Roman"/>
                <w:sz w:val="24"/>
                <w:szCs w:val="21"/>
                <w:u w:val="none"/>
                <w:vertAlign w:val="baseline"/>
                <w:lang w:val="en-US" w:eastAsia="zh-CN"/>
              </w:rPr>
              <w:t>首次申报项目</w:t>
            </w:r>
          </w:p>
          <w:p w14:paraId="29198BC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sym w:font="Wingdings 2" w:char="00A3"/>
            </w:r>
            <w:r>
              <w:rPr>
                <w:rFonts w:hint="default" w:ascii="Times New Roman" w:hAnsi="Times New Roman" w:eastAsia="宋体" w:cs="Times New Roman"/>
                <w:sz w:val="24"/>
                <w:szCs w:val="21"/>
                <w:u w:val="none"/>
                <w:vertAlign w:val="baseline"/>
                <w:lang w:val="en-US" w:eastAsia="zh-CN"/>
              </w:rPr>
              <w:t>不予批准后再次申报项目</w:t>
            </w:r>
          </w:p>
          <w:p w14:paraId="218A90E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sym w:font="Wingdings 2" w:char="00A3"/>
            </w:r>
            <w:r>
              <w:rPr>
                <w:rFonts w:hint="default" w:ascii="Times New Roman" w:hAnsi="Times New Roman" w:eastAsia="宋体" w:cs="Times New Roman"/>
                <w:sz w:val="24"/>
                <w:szCs w:val="21"/>
                <w:u w:val="none"/>
                <w:vertAlign w:val="baseline"/>
                <w:lang w:val="en-US" w:eastAsia="zh-CN"/>
              </w:rPr>
              <w:t>超五年重新审核项目</w:t>
            </w:r>
          </w:p>
          <w:p w14:paraId="03B88DB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sym w:font="Wingdings 2" w:char="00A3"/>
            </w:r>
            <w:r>
              <w:rPr>
                <w:rFonts w:hint="default" w:ascii="Times New Roman" w:hAnsi="Times New Roman" w:eastAsia="宋体" w:cs="Times New Roman"/>
                <w:sz w:val="24"/>
                <w:szCs w:val="21"/>
                <w:u w:val="none"/>
                <w:vertAlign w:val="baseline"/>
                <w:lang w:val="en-US" w:eastAsia="zh-CN"/>
              </w:rPr>
              <w:t>重大变动重新报批项目</w:t>
            </w:r>
          </w:p>
        </w:tc>
      </w:tr>
      <w:tr w14:paraId="5AC8F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28" w:type="dxa"/>
            <w:gridSpan w:val="2"/>
            <w:vAlign w:val="center"/>
          </w:tcPr>
          <w:p w14:paraId="01DC056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项目审批（核准/备案）部门（选填）</w:t>
            </w:r>
          </w:p>
        </w:tc>
        <w:tc>
          <w:tcPr>
            <w:tcW w:w="2143" w:type="dxa"/>
            <w:gridSpan w:val="2"/>
            <w:vAlign w:val="center"/>
          </w:tcPr>
          <w:p w14:paraId="208C55C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cs="Times New Roman"/>
                <w:sz w:val="24"/>
                <w:szCs w:val="21"/>
                <w:u w:val="none"/>
                <w:vertAlign w:val="baseline"/>
                <w:lang w:val="en-US" w:eastAsia="zh-CN"/>
              </w:rPr>
              <w:t>寻甸回族彝族自治县发展和改革局</w:t>
            </w:r>
          </w:p>
        </w:tc>
        <w:tc>
          <w:tcPr>
            <w:tcW w:w="1725" w:type="dxa"/>
            <w:vAlign w:val="center"/>
          </w:tcPr>
          <w:p w14:paraId="5123C27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t>项目审批（核准/备案）文号（选填</w:t>
            </w:r>
          </w:p>
        </w:tc>
        <w:tc>
          <w:tcPr>
            <w:tcW w:w="2926" w:type="dxa"/>
            <w:vAlign w:val="center"/>
          </w:tcPr>
          <w:p w14:paraId="37311B2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4"/>
                <w:vertAlign w:val="baseline"/>
                <w:lang w:val="en-US" w:eastAsia="zh-CN"/>
              </w:rPr>
              <w:t>2</w:t>
            </w:r>
            <w:r>
              <w:rPr>
                <w:rFonts w:hint="default" w:ascii="Times New Roman" w:hAnsi="Times New Roman" w:cs="Times New Roman"/>
                <w:sz w:val="24"/>
                <w:szCs w:val="24"/>
                <w:vertAlign w:val="baseline"/>
                <w:lang w:val="en-US" w:eastAsia="zh-CN"/>
              </w:rPr>
              <w:t>403</w:t>
            </w:r>
            <w:r>
              <w:rPr>
                <w:rFonts w:hint="default" w:ascii="Times New Roman" w:hAnsi="Times New Roman" w:eastAsia="宋体" w:cs="Times New Roman"/>
                <w:sz w:val="24"/>
                <w:szCs w:val="24"/>
                <w:vertAlign w:val="baseline"/>
                <w:lang w:val="en-US" w:eastAsia="zh-CN"/>
              </w:rPr>
              <w:t>-530129-04-</w:t>
            </w:r>
            <w:r>
              <w:rPr>
                <w:rFonts w:hint="default" w:ascii="Times New Roman" w:hAnsi="Times New Roman" w:cs="Times New Roman"/>
                <w:sz w:val="24"/>
                <w:szCs w:val="24"/>
                <w:vertAlign w:val="baseline"/>
                <w:lang w:val="en-US" w:eastAsia="zh-CN"/>
              </w:rPr>
              <w:t>05</w:t>
            </w:r>
            <w:r>
              <w:rPr>
                <w:rFonts w:hint="default" w:ascii="Times New Roman" w:hAnsi="Times New Roman" w:eastAsia="宋体" w:cs="Times New Roman"/>
                <w:sz w:val="24"/>
                <w:szCs w:val="24"/>
                <w:vertAlign w:val="baseline"/>
                <w:lang w:val="en-US" w:eastAsia="zh-CN"/>
              </w:rPr>
              <w:t>-</w:t>
            </w:r>
            <w:r>
              <w:rPr>
                <w:rFonts w:hint="default" w:ascii="Times New Roman" w:hAnsi="Times New Roman" w:cs="Times New Roman"/>
                <w:sz w:val="24"/>
                <w:szCs w:val="24"/>
                <w:vertAlign w:val="baseline"/>
                <w:lang w:val="en-US" w:eastAsia="zh-CN"/>
              </w:rPr>
              <w:t>241929</w:t>
            </w:r>
          </w:p>
        </w:tc>
      </w:tr>
      <w:tr w14:paraId="7EC22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28" w:type="dxa"/>
            <w:gridSpan w:val="2"/>
            <w:vAlign w:val="center"/>
          </w:tcPr>
          <w:p w14:paraId="5E4A570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总投资（万元）</w:t>
            </w:r>
          </w:p>
        </w:tc>
        <w:tc>
          <w:tcPr>
            <w:tcW w:w="2143" w:type="dxa"/>
            <w:gridSpan w:val="2"/>
            <w:vAlign w:val="center"/>
          </w:tcPr>
          <w:p w14:paraId="6B303B9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highlight w:val="none"/>
                <w:u w:val="none"/>
                <w:vertAlign w:val="baseline"/>
                <w:lang w:val="en-US" w:eastAsia="zh-CN"/>
              </w:rPr>
            </w:pPr>
            <w:r>
              <w:rPr>
                <w:rFonts w:hint="default" w:ascii="Times New Roman" w:hAnsi="Times New Roman" w:cs="Times New Roman"/>
                <w:sz w:val="24"/>
                <w:szCs w:val="21"/>
                <w:highlight w:val="none"/>
                <w:u w:val="none"/>
                <w:vertAlign w:val="baseline"/>
                <w:lang w:val="en-US" w:eastAsia="zh-CN"/>
              </w:rPr>
              <w:t>1200</w:t>
            </w:r>
          </w:p>
        </w:tc>
        <w:tc>
          <w:tcPr>
            <w:tcW w:w="1725" w:type="dxa"/>
            <w:vAlign w:val="center"/>
          </w:tcPr>
          <w:p w14:paraId="5831FF4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highlight w:val="none"/>
                <w:u w:val="none"/>
                <w:vertAlign w:val="baseline"/>
                <w:lang w:val="en-US" w:eastAsia="zh-CN"/>
              </w:rPr>
            </w:pPr>
            <w:r>
              <w:rPr>
                <w:rFonts w:hint="default" w:ascii="Times New Roman" w:hAnsi="Times New Roman" w:eastAsia="宋体" w:cs="Times New Roman"/>
                <w:sz w:val="24"/>
                <w:szCs w:val="21"/>
                <w:highlight w:val="none"/>
                <w:u w:val="none"/>
                <w:vertAlign w:val="baseline"/>
                <w:lang w:val="en-US" w:eastAsia="zh-CN"/>
              </w:rPr>
              <w:t>环保投资（万元）</w:t>
            </w:r>
          </w:p>
        </w:tc>
        <w:tc>
          <w:tcPr>
            <w:tcW w:w="2926" w:type="dxa"/>
            <w:vAlign w:val="center"/>
          </w:tcPr>
          <w:p w14:paraId="22E262E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highlight w:val="none"/>
                <w:u w:val="none"/>
                <w:vertAlign w:val="baseline"/>
                <w:lang w:val="en-US" w:eastAsia="zh-CN"/>
              </w:rPr>
            </w:pPr>
            <w:r>
              <w:rPr>
                <w:rFonts w:hint="eastAsia" w:cs="Times New Roman"/>
                <w:sz w:val="24"/>
                <w:szCs w:val="21"/>
                <w:highlight w:val="none"/>
                <w:u w:val="none"/>
                <w:vertAlign w:val="baseline"/>
                <w:lang w:val="en-US" w:eastAsia="zh-CN"/>
              </w:rPr>
              <w:t>69</w:t>
            </w:r>
          </w:p>
        </w:tc>
      </w:tr>
      <w:tr w14:paraId="58F61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28" w:type="dxa"/>
            <w:gridSpan w:val="2"/>
            <w:vAlign w:val="center"/>
          </w:tcPr>
          <w:p w14:paraId="32F21AE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环保投资占比（%）</w:t>
            </w:r>
          </w:p>
        </w:tc>
        <w:tc>
          <w:tcPr>
            <w:tcW w:w="2143" w:type="dxa"/>
            <w:gridSpan w:val="2"/>
            <w:vAlign w:val="center"/>
          </w:tcPr>
          <w:p w14:paraId="54F313E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highlight w:val="none"/>
                <w:u w:val="none"/>
                <w:vertAlign w:val="baseline"/>
                <w:lang w:val="en-US" w:eastAsia="zh-CN"/>
              </w:rPr>
            </w:pPr>
            <w:r>
              <w:rPr>
                <w:rFonts w:hint="eastAsia" w:cs="Times New Roman"/>
                <w:sz w:val="24"/>
                <w:szCs w:val="21"/>
                <w:highlight w:val="none"/>
                <w:u w:val="none"/>
                <w:vertAlign w:val="baseline"/>
                <w:lang w:val="en-US" w:eastAsia="zh-CN"/>
              </w:rPr>
              <w:t>5.75</w:t>
            </w:r>
          </w:p>
        </w:tc>
        <w:tc>
          <w:tcPr>
            <w:tcW w:w="1725" w:type="dxa"/>
            <w:vAlign w:val="center"/>
          </w:tcPr>
          <w:p w14:paraId="191E752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highlight w:val="none"/>
                <w:u w:val="none"/>
                <w:vertAlign w:val="baseline"/>
                <w:lang w:val="en-US" w:eastAsia="zh-CN"/>
              </w:rPr>
            </w:pPr>
            <w:r>
              <w:rPr>
                <w:rFonts w:hint="default" w:ascii="Times New Roman" w:hAnsi="Times New Roman" w:eastAsia="宋体" w:cs="Times New Roman"/>
                <w:sz w:val="24"/>
                <w:szCs w:val="21"/>
                <w:highlight w:val="none"/>
                <w:u w:val="none"/>
                <w:vertAlign w:val="baseline"/>
                <w:lang w:val="en-US" w:eastAsia="zh-CN"/>
              </w:rPr>
              <w:t>施工工期</w:t>
            </w:r>
          </w:p>
        </w:tc>
        <w:tc>
          <w:tcPr>
            <w:tcW w:w="2926" w:type="dxa"/>
            <w:vAlign w:val="center"/>
          </w:tcPr>
          <w:p w14:paraId="06E96C3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highlight w:val="none"/>
                <w:u w:val="none"/>
                <w:vertAlign w:val="baseline"/>
                <w:lang w:val="en-US" w:eastAsia="zh-CN"/>
              </w:rPr>
            </w:pPr>
            <w:r>
              <w:rPr>
                <w:rFonts w:hint="eastAsia" w:cs="Times New Roman"/>
                <w:sz w:val="24"/>
                <w:szCs w:val="21"/>
                <w:highlight w:val="none"/>
                <w:u w:val="none"/>
                <w:vertAlign w:val="baseline"/>
                <w:lang w:val="en-US" w:eastAsia="zh-CN"/>
              </w:rPr>
              <w:t>6</w:t>
            </w:r>
            <w:r>
              <w:rPr>
                <w:rFonts w:hint="default" w:ascii="Times New Roman" w:hAnsi="Times New Roman" w:cs="Times New Roman"/>
                <w:sz w:val="24"/>
                <w:szCs w:val="21"/>
                <w:highlight w:val="none"/>
                <w:u w:val="none"/>
                <w:vertAlign w:val="baseline"/>
                <w:lang w:val="en-US" w:eastAsia="zh-CN"/>
              </w:rPr>
              <w:t>个月</w:t>
            </w:r>
          </w:p>
        </w:tc>
      </w:tr>
      <w:tr w14:paraId="33846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56" w:type="dxa"/>
            <w:vAlign w:val="center"/>
          </w:tcPr>
          <w:p w14:paraId="4CF1014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是否开工建设</w:t>
            </w:r>
          </w:p>
        </w:tc>
        <w:tc>
          <w:tcPr>
            <w:tcW w:w="3415" w:type="dxa"/>
            <w:gridSpan w:val="3"/>
            <w:vAlign w:val="center"/>
          </w:tcPr>
          <w:p w14:paraId="0D594BA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sym w:font="Wingdings 2" w:char="0052"/>
            </w:r>
            <w:r>
              <w:rPr>
                <w:rFonts w:hint="default" w:ascii="Times New Roman" w:hAnsi="Times New Roman" w:eastAsia="宋体" w:cs="Times New Roman"/>
                <w:sz w:val="24"/>
                <w:szCs w:val="21"/>
                <w:u w:val="none"/>
                <w:vertAlign w:val="baseline"/>
                <w:lang w:val="en-US" w:eastAsia="zh-CN"/>
              </w:rPr>
              <w:t>否</w:t>
            </w:r>
          </w:p>
          <w:p w14:paraId="5D2AEDE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sz w:val="24"/>
                <w:szCs w:val="21"/>
                <w:u w:val="single"/>
                <w:vertAlign w:val="baseline"/>
                <w:lang w:val="en-US" w:eastAsia="zh-CN"/>
              </w:rPr>
            </w:pPr>
            <w:r>
              <w:rPr>
                <w:rFonts w:hint="default" w:ascii="Times New Roman" w:hAnsi="Times New Roman" w:eastAsia="宋体" w:cs="Times New Roman"/>
                <w:sz w:val="24"/>
                <w:szCs w:val="21"/>
                <w:u w:val="none"/>
                <w:vertAlign w:val="baseline"/>
                <w:lang w:val="en-US" w:eastAsia="zh-CN"/>
              </w:rPr>
              <w:sym w:font="Wingdings 2" w:char="00A3"/>
            </w:r>
            <w:r>
              <w:rPr>
                <w:rFonts w:hint="default" w:ascii="Times New Roman" w:hAnsi="Times New Roman" w:eastAsia="宋体" w:cs="Times New Roman"/>
                <w:sz w:val="24"/>
                <w:szCs w:val="21"/>
                <w:u w:val="none"/>
                <w:vertAlign w:val="baseline"/>
                <w:lang w:val="en-US" w:eastAsia="zh-CN"/>
              </w:rPr>
              <w:t>是：</w:t>
            </w:r>
            <w:r>
              <w:rPr>
                <w:rFonts w:hint="default" w:ascii="Times New Roman" w:hAnsi="Times New Roman" w:cs="Times New Roman"/>
                <w:sz w:val="24"/>
                <w:szCs w:val="21"/>
                <w:u w:val="single"/>
                <w:vertAlign w:val="baseline"/>
                <w:lang w:val="en-US" w:eastAsia="zh-CN"/>
              </w:rPr>
              <w:t xml:space="preserve">         </w:t>
            </w:r>
          </w:p>
        </w:tc>
        <w:tc>
          <w:tcPr>
            <w:tcW w:w="1725" w:type="dxa"/>
            <w:vAlign w:val="center"/>
          </w:tcPr>
          <w:p w14:paraId="169A65D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t>用地（用海）</w:t>
            </w:r>
          </w:p>
          <w:p w14:paraId="3A83636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t>面积（m</w:t>
            </w:r>
            <w:r>
              <w:rPr>
                <w:rFonts w:hint="default" w:ascii="Times New Roman" w:hAnsi="Times New Roman" w:eastAsia="宋体" w:cs="Times New Roman"/>
                <w:sz w:val="24"/>
                <w:szCs w:val="21"/>
                <w:u w:val="none"/>
                <w:vertAlign w:val="superscript"/>
                <w:lang w:val="en-US" w:eastAsia="zh-CN"/>
              </w:rPr>
              <w:t>2</w:t>
            </w:r>
            <w:r>
              <w:rPr>
                <w:rFonts w:hint="default" w:ascii="Times New Roman" w:hAnsi="Times New Roman" w:eastAsia="宋体" w:cs="Times New Roman"/>
                <w:sz w:val="24"/>
                <w:szCs w:val="21"/>
                <w:u w:val="none"/>
                <w:vertAlign w:val="baseline"/>
                <w:lang w:val="en-US" w:eastAsia="zh-CN"/>
              </w:rPr>
              <w:t>）</w:t>
            </w:r>
          </w:p>
        </w:tc>
        <w:tc>
          <w:tcPr>
            <w:tcW w:w="2926" w:type="dxa"/>
            <w:vAlign w:val="center"/>
          </w:tcPr>
          <w:p w14:paraId="62BE38B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cs="Times New Roman"/>
                <w:sz w:val="24"/>
                <w:szCs w:val="21"/>
                <w:u w:val="none"/>
                <w:vertAlign w:val="baseline"/>
                <w:lang w:val="en-US" w:eastAsia="zh-CN"/>
              </w:rPr>
              <w:t>74228</w:t>
            </w:r>
          </w:p>
        </w:tc>
      </w:tr>
      <w:tr w14:paraId="17BAD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456" w:type="dxa"/>
            <w:vAlign w:val="center"/>
          </w:tcPr>
          <w:p w14:paraId="716A341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专项评价设置情况</w:t>
            </w:r>
          </w:p>
        </w:tc>
        <w:tc>
          <w:tcPr>
            <w:tcW w:w="8066" w:type="dxa"/>
            <w:gridSpan w:val="5"/>
            <w:vAlign w:val="center"/>
          </w:tcPr>
          <w:p w14:paraId="3F6256CC">
            <w:pPr>
              <w:pageBreakBefore w:val="0"/>
              <w:kinsoku/>
              <w:wordWrap w:val="0"/>
              <w:overflowPunct/>
              <w:autoSpaceDE w:val="0"/>
              <w:autoSpaceDN w:val="0"/>
              <w:bidi w:val="0"/>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建</w:t>
            </w:r>
            <w:r>
              <w:rPr>
                <w:rFonts w:hint="default" w:ascii="Times New Roman" w:hAnsi="Times New Roman" w:cs="Times New Roman"/>
                <w:color w:val="auto"/>
                <w:sz w:val="24"/>
              </w:rPr>
              <w:t>设项目环境影响报告表编制技术指南（污</w:t>
            </w:r>
            <w:r>
              <w:rPr>
                <w:rFonts w:hint="default" w:ascii="Times New Roman" w:hAnsi="Times New Roman" w:cs="Times New Roman"/>
                <w:color w:val="auto"/>
                <w:sz w:val="24"/>
                <w:lang w:eastAsia="zh-CN"/>
              </w:rPr>
              <w:t>染影</w:t>
            </w:r>
            <w:r>
              <w:rPr>
                <w:rFonts w:hint="default" w:ascii="Times New Roman" w:hAnsi="Times New Roman" w:cs="Times New Roman"/>
                <w:color w:val="auto"/>
                <w:sz w:val="24"/>
              </w:rPr>
              <w:t>响类）（试行）》，</w:t>
            </w:r>
            <w:r>
              <w:rPr>
                <w:rFonts w:hint="default" w:ascii="Times New Roman" w:hAnsi="Times New Roman" w:cs="Times New Roman"/>
                <w:color w:val="auto"/>
                <w:kern w:val="0"/>
                <w:sz w:val="24"/>
              </w:rPr>
              <w:t>建设项目产生的生态环境影响需要深入论证的，应按照环境影响评价相关技术导则开展专项评价工作。根据建设项目特点和涉及的环境敏感区类别，确定专项评价的类别。</w:t>
            </w:r>
          </w:p>
          <w:p w14:paraId="425F2059">
            <w:pPr>
              <w:pStyle w:val="29"/>
              <w:pageBreakBefore w:val="0"/>
              <w:kinsoku/>
              <w:wordWrap w:val="0"/>
              <w:overflowPunct/>
              <w:bidi w:val="0"/>
              <w:rPr>
                <w:rFonts w:hint="default" w:ascii="Times New Roman" w:hAnsi="Times New Roman" w:cs="Times New Roman"/>
              </w:rPr>
            </w:pPr>
            <w:r>
              <w:rPr>
                <w:rFonts w:hint="default" w:ascii="Times New Roman" w:hAnsi="Times New Roman" w:cs="Times New Roman"/>
              </w:rPr>
              <w:t>表1-1  本项目与专项评价设置原则对照表</w:t>
            </w:r>
          </w:p>
          <w:tbl>
            <w:tblPr>
              <w:tblStyle w:val="23"/>
              <w:tblW w:w="784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4155"/>
              <w:gridCol w:w="1694"/>
              <w:gridCol w:w="900"/>
            </w:tblGrid>
            <w:tr w14:paraId="2585D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14:paraId="2920E397">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专项类别</w:t>
                  </w:r>
                </w:p>
              </w:tc>
              <w:tc>
                <w:tcPr>
                  <w:tcW w:w="4155" w:type="dxa"/>
                  <w:vAlign w:val="center"/>
                </w:tcPr>
                <w:p w14:paraId="78085023">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涉及项目类别</w:t>
                  </w:r>
                </w:p>
              </w:tc>
              <w:tc>
                <w:tcPr>
                  <w:tcW w:w="1694" w:type="dxa"/>
                  <w:vAlign w:val="center"/>
                </w:tcPr>
                <w:p w14:paraId="7F61F7FE">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本项目</w:t>
                  </w:r>
                </w:p>
              </w:tc>
              <w:tc>
                <w:tcPr>
                  <w:tcW w:w="900" w:type="dxa"/>
                  <w:vAlign w:val="center"/>
                </w:tcPr>
                <w:p w14:paraId="48FDFEAA">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专题</w:t>
                  </w:r>
                </w:p>
                <w:p w14:paraId="4EB1AFB6">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设置</w:t>
                  </w:r>
                </w:p>
              </w:tc>
            </w:tr>
            <w:tr w14:paraId="42206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14:paraId="0CD3E4C6">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color w:val="auto"/>
                    </w:rPr>
                  </w:pPr>
                  <w:r>
                    <w:rPr>
                      <w:rFonts w:hint="default" w:ascii="Times New Roman" w:hAnsi="Times New Roman" w:cs="Times New Roman"/>
                      <w:color w:val="auto"/>
                    </w:rPr>
                    <w:t>大气</w:t>
                  </w:r>
                </w:p>
              </w:tc>
              <w:tc>
                <w:tcPr>
                  <w:tcW w:w="4155" w:type="dxa"/>
                  <w:vAlign w:val="center"/>
                </w:tcPr>
                <w:p w14:paraId="6AEFA48C">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排放废气含有毒有害污染物</w:t>
                  </w:r>
                  <w:r>
                    <w:rPr>
                      <w:rFonts w:hint="default" w:ascii="Times New Roman" w:hAnsi="Times New Roman" w:cs="Times New Roman"/>
                      <w:color w:val="auto"/>
                      <w:vertAlign w:val="superscript"/>
                    </w:rPr>
                    <w:t>1</w:t>
                  </w:r>
                  <w:r>
                    <w:rPr>
                      <w:rFonts w:hint="default" w:ascii="Times New Roman" w:hAnsi="Times New Roman" w:cs="Times New Roman"/>
                      <w:color w:val="auto"/>
                    </w:rPr>
                    <w:t>、二噁英、苯并[a]芘、氰化物、氯气且厂界外500米范围内有环境空气保护目标</w:t>
                  </w:r>
                  <w:r>
                    <w:rPr>
                      <w:rFonts w:hint="default" w:ascii="Times New Roman" w:hAnsi="Times New Roman" w:cs="Times New Roman"/>
                      <w:color w:val="auto"/>
                      <w:vertAlign w:val="superscript"/>
                    </w:rPr>
                    <w:t>2</w:t>
                  </w:r>
                  <w:r>
                    <w:rPr>
                      <w:rFonts w:hint="default" w:ascii="Times New Roman" w:hAnsi="Times New Roman" w:cs="Times New Roman"/>
                      <w:color w:val="auto"/>
                    </w:rPr>
                    <w:t>的建设项目</w:t>
                  </w:r>
                  <w:r>
                    <w:rPr>
                      <w:rFonts w:hint="default" w:ascii="Times New Roman" w:hAnsi="Times New Roman" w:cs="Times New Roman"/>
                      <w:color w:val="auto"/>
                      <w:lang w:eastAsia="zh-CN"/>
                    </w:rPr>
                    <w:t>。</w:t>
                  </w:r>
                </w:p>
              </w:tc>
              <w:tc>
                <w:tcPr>
                  <w:tcW w:w="1694" w:type="dxa"/>
                  <w:vAlign w:val="center"/>
                </w:tcPr>
                <w:p w14:paraId="7C824A91">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项目不排放有毒</w:t>
                  </w:r>
                  <w:r>
                    <w:rPr>
                      <w:rFonts w:hint="default" w:ascii="Times New Roman" w:hAnsi="Times New Roman" w:cs="Times New Roman"/>
                      <w:color w:val="auto"/>
                      <w:lang w:eastAsia="zh-CN"/>
                    </w:rPr>
                    <w:t>有</w:t>
                  </w:r>
                  <w:r>
                    <w:rPr>
                      <w:rFonts w:hint="default" w:ascii="Times New Roman" w:hAnsi="Times New Roman" w:cs="Times New Roman"/>
                      <w:color w:val="auto"/>
                    </w:rPr>
                    <w:t>害污染物、二噁英、苯并[a]芘、氰化物和氯气</w:t>
                  </w:r>
                  <w:r>
                    <w:rPr>
                      <w:rFonts w:hint="default" w:ascii="Times New Roman" w:hAnsi="Times New Roman" w:cs="Times New Roman"/>
                      <w:color w:val="auto"/>
                      <w:lang w:eastAsia="zh-CN"/>
                    </w:rPr>
                    <w:t>。</w:t>
                  </w:r>
                </w:p>
              </w:tc>
              <w:tc>
                <w:tcPr>
                  <w:tcW w:w="900" w:type="dxa"/>
                  <w:vAlign w:val="center"/>
                </w:tcPr>
                <w:p w14:paraId="388AFA4C">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color w:val="auto"/>
                    </w:rPr>
                  </w:pPr>
                  <w:r>
                    <w:rPr>
                      <w:rFonts w:hint="default" w:ascii="Times New Roman" w:hAnsi="Times New Roman" w:cs="Times New Roman"/>
                      <w:color w:val="auto"/>
                    </w:rPr>
                    <w:t>不设置</w:t>
                  </w:r>
                </w:p>
              </w:tc>
            </w:tr>
            <w:tr w14:paraId="5F482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14:paraId="2F8E513D">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color w:val="auto"/>
                    </w:rPr>
                  </w:pPr>
                  <w:r>
                    <w:rPr>
                      <w:rFonts w:hint="default" w:ascii="Times New Roman" w:hAnsi="Times New Roman" w:cs="Times New Roman"/>
                      <w:color w:val="auto"/>
                    </w:rPr>
                    <w:t>地表水</w:t>
                  </w:r>
                </w:p>
              </w:tc>
              <w:tc>
                <w:tcPr>
                  <w:tcW w:w="4155" w:type="dxa"/>
                  <w:vAlign w:val="center"/>
                </w:tcPr>
                <w:p w14:paraId="304D0381">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新增工业废水直排建设项目（槽罐车外送污水处理厂的除外）；新增废水直排的污水集中处理厂</w:t>
                  </w:r>
                  <w:r>
                    <w:rPr>
                      <w:rFonts w:hint="default" w:ascii="Times New Roman" w:hAnsi="Times New Roman" w:cs="Times New Roman"/>
                      <w:color w:val="auto"/>
                      <w:lang w:eastAsia="zh-CN"/>
                    </w:rPr>
                    <w:t>。</w:t>
                  </w:r>
                </w:p>
              </w:tc>
              <w:tc>
                <w:tcPr>
                  <w:tcW w:w="1694" w:type="dxa"/>
                  <w:vAlign w:val="center"/>
                </w:tcPr>
                <w:p w14:paraId="492F69E0">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w:t>
                  </w:r>
                  <w:r>
                    <w:rPr>
                      <w:rFonts w:hint="default" w:ascii="Times New Roman" w:hAnsi="Times New Roman" w:cs="Times New Roman"/>
                      <w:color w:val="auto"/>
                      <w:lang w:val="en-US" w:eastAsia="zh-CN"/>
                    </w:rPr>
                    <w:t>不涉及废水直排。</w:t>
                  </w:r>
                </w:p>
              </w:tc>
              <w:tc>
                <w:tcPr>
                  <w:tcW w:w="900" w:type="dxa"/>
                  <w:vAlign w:val="center"/>
                </w:tcPr>
                <w:p w14:paraId="40BAD91E">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color w:val="auto"/>
                    </w:rPr>
                  </w:pPr>
                  <w:r>
                    <w:rPr>
                      <w:rFonts w:hint="default" w:ascii="Times New Roman" w:hAnsi="Times New Roman" w:cs="Times New Roman"/>
                      <w:color w:val="auto"/>
                    </w:rPr>
                    <w:t>不设置</w:t>
                  </w:r>
                </w:p>
              </w:tc>
            </w:tr>
            <w:tr w14:paraId="45F91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14:paraId="30246DBB">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color w:val="auto"/>
                    </w:rPr>
                  </w:pPr>
                  <w:r>
                    <w:rPr>
                      <w:rFonts w:hint="default" w:ascii="Times New Roman" w:hAnsi="Times New Roman" w:cs="Times New Roman"/>
                      <w:color w:val="auto"/>
                    </w:rPr>
                    <w:t>环境风险</w:t>
                  </w:r>
                </w:p>
              </w:tc>
              <w:tc>
                <w:tcPr>
                  <w:tcW w:w="4155" w:type="dxa"/>
                  <w:vAlign w:val="center"/>
                </w:tcPr>
                <w:p w14:paraId="3EAE074E">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有毒有害和易燃易爆危险物质存储量超过临界量</w:t>
                  </w:r>
                  <w:r>
                    <w:rPr>
                      <w:rFonts w:hint="default" w:ascii="Times New Roman" w:hAnsi="Times New Roman" w:cs="Times New Roman"/>
                      <w:color w:val="auto"/>
                      <w:vertAlign w:val="superscript"/>
                    </w:rPr>
                    <w:t>3</w:t>
                  </w:r>
                  <w:r>
                    <w:rPr>
                      <w:rFonts w:hint="default" w:ascii="Times New Roman" w:hAnsi="Times New Roman" w:cs="Times New Roman"/>
                      <w:color w:val="auto"/>
                    </w:rPr>
                    <w:t>的建设项目</w:t>
                  </w:r>
                  <w:r>
                    <w:rPr>
                      <w:rFonts w:hint="default" w:ascii="Times New Roman" w:hAnsi="Times New Roman" w:cs="Times New Roman"/>
                      <w:color w:val="auto"/>
                      <w:lang w:eastAsia="zh-CN"/>
                    </w:rPr>
                    <w:t>。</w:t>
                  </w:r>
                </w:p>
              </w:tc>
              <w:tc>
                <w:tcPr>
                  <w:tcW w:w="1694" w:type="dxa"/>
                  <w:vAlign w:val="center"/>
                </w:tcPr>
                <w:p w14:paraId="6E95F136">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color w:val="auto"/>
                    </w:rPr>
                  </w:pPr>
                  <w:r>
                    <w:rPr>
                      <w:rFonts w:hint="default" w:ascii="Times New Roman" w:hAnsi="Times New Roman" w:cs="Times New Roman"/>
                      <w:color w:val="auto"/>
                    </w:rPr>
                    <w:t>本项目</w:t>
                  </w:r>
                  <w:r>
                    <w:rPr>
                      <w:rFonts w:hint="default" w:ascii="Times New Roman" w:hAnsi="Times New Roman" w:cs="Times New Roman"/>
                      <w:color w:val="auto"/>
                      <w:highlight w:val="none"/>
                      <w:lang w:val="en-US" w:eastAsia="zh-CN"/>
                    </w:rPr>
                    <w:t>不涉及。</w:t>
                  </w:r>
                </w:p>
              </w:tc>
              <w:tc>
                <w:tcPr>
                  <w:tcW w:w="900" w:type="dxa"/>
                  <w:vAlign w:val="center"/>
                </w:tcPr>
                <w:p w14:paraId="0554338A">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color w:val="auto"/>
                    </w:rPr>
                  </w:pPr>
                  <w:r>
                    <w:rPr>
                      <w:rFonts w:hint="default" w:ascii="Times New Roman" w:hAnsi="Times New Roman" w:cs="Times New Roman"/>
                      <w:color w:val="auto"/>
                    </w:rPr>
                    <w:t>不设置</w:t>
                  </w:r>
                </w:p>
              </w:tc>
            </w:tr>
            <w:tr w14:paraId="10BE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14:paraId="4A59B47B">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color w:val="auto"/>
                    </w:rPr>
                  </w:pPr>
                  <w:r>
                    <w:rPr>
                      <w:rFonts w:hint="default" w:ascii="Times New Roman" w:hAnsi="Times New Roman" w:cs="Times New Roman"/>
                      <w:color w:val="auto"/>
                    </w:rPr>
                    <w:t>生态</w:t>
                  </w:r>
                </w:p>
              </w:tc>
              <w:tc>
                <w:tcPr>
                  <w:tcW w:w="4155" w:type="dxa"/>
                  <w:vAlign w:val="center"/>
                </w:tcPr>
                <w:p w14:paraId="6C4601A1">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取水口下游500米范围内有重要水生生物的自然产卵场、索饵场、越冬场和洄游通道的新增河道取水的污染类建设项目</w:t>
                  </w:r>
                  <w:r>
                    <w:rPr>
                      <w:rFonts w:hint="default" w:ascii="Times New Roman" w:hAnsi="Times New Roman" w:cs="Times New Roman"/>
                      <w:color w:val="auto"/>
                      <w:lang w:eastAsia="zh-CN"/>
                    </w:rPr>
                    <w:t>。</w:t>
                  </w:r>
                </w:p>
              </w:tc>
              <w:tc>
                <w:tcPr>
                  <w:tcW w:w="1694" w:type="dxa"/>
                  <w:vAlign w:val="center"/>
                </w:tcPr>
                <w:p w14:paraId="7A3207F0">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不涉及</w:t>
                  </w:r>
                  <w:r>
                    <w:rPr>
                      <w:rFonts w:hint="default" w:ascii="Times New Roman" w:hAnsi="Times New Roman" w:cs="Times New Roman"/>
                      <w:color w:val="auto"/>
                      <w:lang w:eastAsia="zh-CN"/>
                    </w:rPr>
                    <w:t>。</w:t>
                  </w:r>
                </w:p>
              </w:tc>
              <w:tc>
                <w:tcPr>
                  <w:tcW w:w="900" w:type="dxa"/>
                  <w:vAlign w:val="center"/>
                </w:tcPr>
                <w:p w14:paraId="75BD9A7F">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color w:val="auto"/>
                    </w:rPr>
                  </w:pPr>
                  <w:r>
                    <w:rPr>
                      <w:rFonts w:hint="default" w:ascii="Times New Roman" w:hAnsi="Times New Roman" w:cs="Times New Roman"/>
                      <w:color w:val="auto"/>
                    </w:rPr>
                    <w:t>不设置</w:t>
                  </w:r>
                </w:p>
              </w:tc>
            </w:tr>
            <w:tr w14:paraId="40D2A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14:paraId="77D6F3B8">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color w:val="auto"/>
                    </w:rPr>
                  </w:pPr>
                  <w:r>
                    <w:rPr>
                      <w:rFonts w:hint="default" w:ascii="Times New Roman" w:hAnsi="Times New Roman" w:cs="Times New Roman"/>
                      <w:color w:val="auto"/>
                    </w:rPr>
                    <w:t>海洋</w:t>
                  </w:r>
                </w:p>
              </w:tc>
              <w:tc>
                <w:tcPr>
                  <w:tcW w:w="4155" w:type="dxa"/>
                  <w:vAlign w:val="center"/>
                </w:tcPr>
                <w:p w14:paraId="52C0A558">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直接向海排放污染物的海洋工程建设项目</w:t>
                  </w:r>
                  <w:r>
                    <w:rPr>
                      <w:rFonts w:hint="default" w:ascii="Times New Roman" w:hAnsi="Times New Roman" w:cs="Times New Roman"/>
                      <w:color w:val="auto"/>
                      <w:lang w:eastAsia="zh-CN"/>
                    </w:rPr>
                    <w:t>。</w:t>
                  </w:r>
                </w:p>
              </w:tc>
              <w:tc>
                <w:tcPr>
                  <w:tcW w:w="1694" w:type="dxa"/>
                  <w:vAlign w:val="center"/>
                </w:tcPr>
                <w:p w14:paraId="2943BDF7">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不涉及</w:t>
                  </w:r>
                  <w:r>
                    <w:rPr>
                      <w:rFonts w:hint="default" w:ascii="Times New Roman" w:hAnsi="Times New Roman" w:cs="Times New Roman"/>
                      <w:color w:val="auto"/>
                      <w:lang w:eastAsia="zh-CN"/>
                    </w:rPr>
                    <w:t>。</w:t>
                  </w:r>
                </w:p>
              </w:tc>
              <w:tc>
                <w:tcPr>
                  <w:tcW w:w="900" w:type="dxa"/>
                  <w:vAlign w:val="center"/>
                </w:tcPr>
                <w:p w14:paraId="767AA386">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color w:val="auto"/>
                    </w:rPr>
                  </w:pPr>
                  <w:r>
                    <w:rPr>
                      <w:rFonts w:hint="default" w:ascii="Times New Roman" w:hAnsi="Times New Roman" w:cs="Times New Roman"/>
                      <w:color w:val="auto"/>
                    </w:rPr>
                    <w:t>不设置</w:t>
                  </w:r>
                </w:p>
              </w:tc>
            </w:tr>
            <w:tr w14:paraId="3CC33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5" w:type="dxa"/>
                  <w:gridSpan w:val="4"/>
                  <w:vAlign w:val="center"/>
                </w:tcPr>
                <w:p w14:paraId="56862E7F">
                  <w:pPr>
                    <w:pStyle w:val="33"/>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cs="Times New Roman"/>
                      <w:color w:val="auto"/>
                    </w:rPr>
                  </w:pPr>
                  <w:r>
                    <w:rPr>
                      <w:rFonts w:hint="default" w:ascii="Times New Roman" w:hAnsi="Times New Roman" w:cs="Times New Roman"/>
                      <w:color w:val="auto"/>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 169）附录B、附录C。</w:t>
                  </w:r>
                </w:p>
              </w:tc>
            </w:tr>
          </w:tbl>
          <w:p w14:paraId="2DC8D05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4"/>
                <w:szCs w:val="21"/>
                <w:u w:val="none"/>
                <w:vertAlign w:val="baseline"/>
                <w:lang w:val="en-US" w:eastAsia="zh-CN"/>
              </w:rPr>
            </w:pPr>
            <w:bookmarkStart w:id="4" w:name="_Toc90742448"/>
            <w:bookmarkStart w:id="5" w:name="_Toc87621866"/>
            <w:r>
              <w:rPr>
                <w:rFonts w:hint="default" w:ascii="Times New Roman" w:hAnsi="Times New Roman" w:cs="Times New Roman"/>
                <w:bCs/>
                <w:color w:val="auto"/>
                <w:kern w:val="0"/>
              </w:rPr>
              <w:t>综上，</w:t>
            </w:r>
            <w:r>
              <w:rPr>
                <w:rFonts w:hint="default" w:ascii="Times New Roman" w:hAnsi="Times New Roman" w:cs="Times New Roman"/>
                <w:bCs/>
                <w:color w:val="auto"/>
                <w:kern w:val="0"/>
                <w:lang w:val="en-US" w:eastAsia="zh-CN"/>
              </w:rPr>
              <w:t>本</w:t>
            </w:r>
            <w:r>
              <w:rPr>
                <w:rFonts w:hint="default" w:ascii="Times New Roman" w:hAnsi="Times New Roman" w:cs="Times New Roman"/>
                <w:bCs/>
                <w:color w:val="auto"/>
                <w:kern w:val="0"/>
              </w:rPr>
              <w:t>项目不设置专项评价。</w:t>
            </w:r>
            <w:bookmarkEnd w:id="4"/>
            <w:bookmarkEnd w:id="5"/>
          </w:p>
        </w:tc>
      </w:tr>
      <w:tr w14:paraId="13940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267" w:type="dxa"/>
            <w:gridSpan w:val="3"/>
            <w:vAlign w:val="center"/>
          </w:tcPr>
          <w:p w14:paraId="704AA9E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规划情况</w:t>
            </w:r>
          </w:p>
        </w:tc>
        <w:tc>
          <w:tcPr>
            <w:tcW w:w="6255" w:type="dxa"/>
            <w:gridSpan w:val="3"/>
            <w:vAlign w:val="center"/>
          </w:tcPr>
          <w:p w14:paraId="6125518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cs="Times New Roman"/>
                <w:sz w:val="24"/>
                <w:szCs w:val="21"/>
                <w:u w:val="none"/>
                <w:vertAlign w:val="baseline"/>
                <w:lang w:val="en-US" w:eastAsia="zh-CN"/>
              </w:rPr>
              <w:t>无</w:t>
            </w:r>
          </w:p>
        </w:tc>
      </w:tr>
      <w:tr w14:paraId="5EA1E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2267" w:type="dxa"/>
            <w:gridSpan w:val="3"/>
            <w:vAlign w:val="center"/>
          </w:tcPr>
          <w:p w14:paraId="1B0BA3A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规划环境影响评价情况</w:t>
            </w:r>
          </w:p>
        </w:tc>
        <w:tc>
          <w:tcPr>
            <w:tcW w:w="6255" w:type="dxa"/>
            <w:gridSpan w:val="3"/>
            <w:vAlign w:val="center"/>
          </w:tcPr>
          <w:p w14:paraId="3360E6B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cs="Times New Roman"/>
                <w:sz w:val="24"/>
                <w:szCs w:val="21"/>
                <w:u w:val="none"/>
                <w:vertAlign w:val="baseline"/>
                <w:lang w:val="en-US" w:eastAsia="zh-CN"/>
              </w:rPr>
              <w:t>无</w:t>
            </w:r>
          </w:p>
        </w:tc>
      </w:tr>
      <w:tr w14:paraId="7B87C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2267" w:type="dxa"/>
            <w:gridSpan w:val="3"/>
            <w:vAlign w:val="center"/>
          </w:tcPr>
          <w:p w14:paraId="1677236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规划及规划环境影响评价符合性分析</w:t>
            </w:r>
          </w:p>
        </w:tc>
        <w:tc>
          <w:tcPr>
            <w:tcW w:w="6255" w:type="dxa"/>
            <w:gridSpan w:val="3"/>
            <w:vAlign w:val="center"/>
          </w:tcPr>
          <w:p w14:paraId="0947A7E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cs="Times New Roman"/>
                <w:sz w:val="24"/>
                <w:szCs w:val="21"/>
                <w:u w:val="none"/>
                <w:vertAlign w:val="baseline"/>
                <w:lang w:val="en-US" w:eastAsia="zh-CN"/>
              </w:rPr>
              <w:t>无</w:t>
            </w:r>
          </w:p>
        </w:tc>
      </w:tr>
      <w:tr w14:paraId="737B5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456" w:type="dxa"/>
            <w:vAlign w:val="center"/>
          </w:tcPr>
          <w:p w14:paraId="1B6CFE6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其他符合性分析</w:t>
            </w:r>
          </w:p>
        </w:tc>
        <w:tc>
          <w:tcPr>
            <w:tcW w:w="8066" w:type="dxa"/>
            <w:gridSpan w:val="5"/>
            <w:vAlign w:val="center"/>
          </w:tcPr>
          <w:p w14:paraId="7076C58F">
            <w:pPr>
              <w:pStyle w:val="34"/>
              <w:pageBreakBefore w:val="0"/>
              <w:kinsoku/>
              <w:wordWrap w:val="0"/>
              <w:overflowPunct/>
              <w:bidi w:val="0"/>
              <w:spacing w:before="0" w:beforeLines="0"/>
              <w:ind w:firstLine="482"/>
              <w:rPr>
                <w:rFonts w:hint="default" w:ascii="Times New Roman" w:hAnsi="Times New Roman" w:cs="Times New Roman"/>
                <w:b/>
                <w:bCs/>
              </w:rPr>
            </w:pPr>
            <w:r>
              <w:rPr>
                <w:rFonts w:hint="default" w:ascii="Times New Roman" w:hAnsi="Times New Roman" w:cs="Times New Roman"/>
                <w:b/>
                <w:bCs/>
              </w:rPr>
              <w:t>1、产业政策符合性</w:t>
            </w:r>
          </w:p>
          <w:p w14:paraId="23F9E506">
            <w:pPr>
              <w:pageBreakBefore w:val="0"/>
              <w:kinsoku/>
              <w:wordWrap w:val="0"/>
              <w:overflowPunct/>
              <w:bidi w:val="0"/>
              <w:ind w:firstLine="480" w:firstLineChars="200"/>
              <w:rPr>
                <w:rFonts w:hint="default" w:ascii="Times New Roman" w:hAnsi="Times New Roman" w:cs="Times New Roman"/>
                <w:lang w:val="en-US" w:eastAsia="zh-CN"/>
              </w:rPr>
            </w:pPr>
            <w:r>
              <w:rPr>
                <w:rFonts w:hint="default" w:ascii="Times New Roman" w:hAnsi="Times New Roman" w:cs="Times New Roman"/>
                <w:color w:val="0000FF"/>
                <w:highlight w:val="none"/>
                <w:u w:val="none"/>
                <w:lang w:val="en-US" w:eastAsia="zh-CN"/>
              </w:rPr>
              <w:t>根据《国民经济行业分类与代码》（GB/T4754-2017），本项目属于</w:t>
            </w:r>
            <w:r>
              <w:rPr>
                <w:rFonts w:hint="eastAsia" w:cs="Times New Roman"/>
                <w:color w:val="0000FF"/>
                <w:highlight w:val="none"/>
                <w:u w:val="none"/>
                <w:lang w:val="en-US" w:eastAsia="zh-CN"/>
              </w:rPr>
              <w:t>B0620褐煤开采洗选</w:t>
            </w:r>
            <w:r>
              <w:rPr>
                <w:rFonts w:hint="default" w:ascii="Times New Roman" w:hAnsi="Times New Roman" w:cs="Times New Roman"/>
                <w:color w:val="0000FF"/>
                <w:highlight w:val="none"/>
                <w:u w:val="none"/>
                <w:lang w:val="en-US" w:eastAsia="zh-CN"/>
              </w:rPr>
              <w:t>。</w:t>
            </w:r>
            <w:r>
              <w:rPr>
                <w:rFonts w:hint="default" w:ascii="Times New Roman" w:hAnsi="Times New Roman" w:cs="Times New Roman"/>
                <w:lang w:val="en-US" w:eastAsia="zh-CN"/>
              </w:rPr>
              <w:t>按照国家发展和改革委员会令第29号《产业结构调整指导目录》（2024年本</w:t>
            </w:r>
            <w:r>
              <w:rPr>
                <w:rFonts w:hint="default" w:ascii="Times New Roman" w:hAnsi="Times New Roman" w:cs="Times New Roman"/>
                <w:color w:val="auto"/>
                <w:highlight w:val="none"/>
                <w:u w:val="none"/>
                <w:lang w:val="en-US" w:eastAsia="zh-CN"/>
              </w:rPr>
              <w:t>），本项目不属于鼓励类、限制类、淘汰类，属于允许类。本项目于2024年3月21日取得了寻甸回族彝族自治县发展和改革局出具的《云南省固定资产投资项目备案证》（备案号：</w:t>
            </w:r>
            <w:r>
              <w:rPr>
                <w:rFonts w:hint="default" w:ascii="Times New Roman" w:hAnsi="Times New Roman" w:eastAsia="宋体" w:cs="Times New Roman"/>
                <w:sz w:val="24"/>
                <w:szCs w:val="24"/>
                <w:vertAlign w:val="baseline"/>
                <w:lang w:val="en-US" w:eastAsia="zh-CN"/>
              </w:rPr>
              <w:t>2</w:t>
            </w:r>
            <w:r>
              <w:rPr>
                <w:rFonts w:hint="default" w:ascii="Times New Roman" w:hAnsi="Times New Roman" w:cs="Times New Roman"/>
                <w:sz w:val="24"/>
                <w:szCs w:val="24"/>
                <w:vertAlign w:val="baseline"/>
                <w:lang w:val="en-US" w:eastAsia="zh-CN"/>
              </w:rPr>
              <w:t>403</w:t>
            </w:r>
            <w:r>
              <w:rPr>
                <w:rFonts w:hint="default" w:ascii="Times New Roman" w:hAnsi="Times New Roman" w:eastAsia="宋体" w:cs="Times New Roman"/>
                <w:sz w:val="24"/>
                <w:szCs w:val="24"/>
                <w:vertAlign w:val="baseline"/>
                <w:lang w:val="en-US" w:eastAsia="zh-CN"/>
              </w:rPr>
              <w:t>-530129-04-</w:t>
            </w:r>
            <w:r>
              <w:rPr>
                <w:rFonts w:hint="default" w:ascii="Times New Roman" w:hAnsi="Times New Roman" w:cs="Times New Roman"/>
                <w:sz w:val="24"/>
                <w:szCs w:val="24"/>
                <w:vertAlign w:val="baseline"/>
                <w:lang w:val="en-US" w:eastAsia="zh-CN"/>
              </w:rPr>
              <w:t>05</w:t>
            </w:r>
            <w:r>
              <w:rPr>
                <w:rFonts w:hint="default" w:ascii="Times New Roman" w:hAnsi="Times New Roman" w:eastAsia="宋体" w:cs="Times New Roman"/>
                <w:sz w:val="24"/>
                <w:szCs w:val="24"/>
                <w:vertAlign w:val="baseline"/>
                <w:lang w:val="en-US" w:eastAsia="zh-CN"/>
              </w:rPr>
              <w:t>-</w:t>
            </w:r>
            <w:r>
              <w:rPr>
                <w:rFonts w:hint="default" w:ascii="Times New Roman" w:hAnsi="Times New Roman" w:cs="Times New Roman"/>
                <w:sz w:val="24"/>
                <w:szCs w:val="24"/>
                <w:vertAlign w:val="baseline"/>
                <w:lang w:val="en-US" w:eastAsia="zh-CN"/>
              </w:rPr>
              <w:t>241929</w:t>
            </w:r>
            <w:r>
              <w:rPr>
                <w:rFonts w:hint="default" w:ascii="Times New Roman" w:hAnsi="Times New Roman" w:cs="Times New Roman"/>
                <w:color w:val="auto"/>
                <w:highlight w:val="none"/>
                <w:u w:val="none"/>
                <w:lang w:val="en-US" w:eastAsia="zh-CN"/>
              </w:rPr>
              <w:t>）。</w:t>
            </w:r>
          </w:p>
          <w:p w14:paraId="608FF816">
            <w:pPr>
              <w:pStyle w:val="34"/>
              <w:pageBreakBefore w:val="0"/>
              <w:kinsoku/>
              <w:wordWrap w:val="0"/>
              <w:overflowPunct/>
              <w:bidi w:val="0"/>
              <w:ind w:firstLine="480"/>
              <w:rPr>
                <w:rFonts w:hint="default" w:ascii="Times New Roman" w:hAnsi="Times New Roman" w:cs="Times New Roman"/>
              </w:rPr>
            </w:pPr>
            <w:r>
              <w:rPr>
                <w:rFonts w:hint="default" w:ascii="Times New Roman" w:hAnsi="Times New Roman" w:cs="Times New Roman"/>
              </w:rPr>
              <w:t>因此，项目建设符合国家相关产业政策的要求。</w:t>
            </w:r>
          </w:p>
          <w:p w14:paraId="16C2ECEA">
            <w:pPr>
              <w:pageBreakBefore w:val="0"/>
              <w:numPr>
                <w:ilvl w:val="0"/>
                <w:numId w:val="0"/>
              </w:numPr>
              <w:kinsoku/>
              <w:wordWrap w:val="0"/>
              <w:overflowPunct/>
              <w:bidi w:val="0"/>
              <w:spacing w:line="360" w:lineRule="auto"/>
              <w:ind w:leftChars="0" w:firstLine="430" w:firstLineChars="200"/>
              <w:rPr>
                <w:rFonts w:hint="default" w:ascii="Times New Roman" w:hAnsi="Times New Roman" w:eastAsia="宋体" w:cs="Times New Roman"/>
                <w:b/>
                <w:color w:val="auto"/>
                <w:spacing w:val="4"/>
                <w:kern w:val="24"/>
                <w:sz w:val="24"/>
                <w:szCs w:val="24"/>
                <w:lang w:val="en-US" w:eastAsia="zh-CN" w:bidi="ar-SA"/>
              </w:rPr>
            </w:pPr>
            <w:r>
              <w:rPr>
                <w:rFonts w:hint="default" w:ascii="Times New Roman" w:hAnsi="Times New Roman" w:eastAsia="宋体" w:cs="Times New Roman"/>
                <w:b/>
                <w:bCs/>
                <w:color w:val="auto"/>
                <w:spacing w:val="-13"/>
                <w:sz w:val="24"/>
                <w:szCs w:val="24"/>
                <w:lang w:val="en-US" w:eastAsia="zh-CN"/>
              </w:rPr>
              <w:t>2、</w:t>
            </w:r>
            <w:r>
              <w:rPr>
                <w:rFonts w:hint="default" w:ascii="Times New Roman" w:hAnsi="Times New Roman" w:eastAsia="宋体" w:cs="Times New Roman"/>
                <w:b/>
                <w:color w:val="auto"/>
                <w:spacing w:val="4"/>
                <w:kern w:val="24"/>
                <w:sz w:val="24"/>
                <w:szCs w:val="24"/>
                <w:lang w:val="en-US" w:eastAsia="zh-CN" w:bidi="ar-SA"/>
              </w:rPr>
              <w:t>项目与云南寻甸产业园区外工业项目管理工作方案（寻政办发〔2024】34 号）的通知符合性分析</w:t>
            </w:r>
          </w:p>
          <w:p w14:paraId="3A7A1CE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Times New Roman" w:cs="Times New Roman"/>
                <w:b w:val="0"/>
                <w:bCs w:val="0"/>
                <w:snapToGrid w:val="0"/>
                <w:color w:val="auto"/>
                <w:kern w:val="0"/>
                <w:sz w:val="24"/>
                <w:szCs w:val="24"/>
                <w:lang w:val="zh-CN" w:eastAsia="zh-CN" w:bidi="ar-SA"/>
              </w:rPr>
            </w:pPr>
            <w:r>
              <w:rPr>
                <w:rFonts w:hint="default" w:ascii="Times New Roman" w:hAnsi="Times New Roman" w:eastAsia="Times New Roman" w:cs="Times New Roman"/>
                <w:b w:val="0"/>
                <w:bCs w:val="0"/>
                <w:snapToGrid w:val="0"/>
                <w:color w:val="auto"/>
                <w:kern w:val="0"/>
                <w:sz w:val="24"/>
                <w:szCs w:val="24"/>
                <w:lang w:val="en-US" w:eastAsia="zh-CN" w:bidi="ar-SA"/>
              </w:rPr>
              <w:t>根据云南寻甸产业园区外工业项目管理工作方案要求，凡新建、引进的制造业项目和企业原则上入园选址发展，园区外原则上不再安排工业项目。对达不到入园条件和标准的农副产品加工、一般加工制造类项目或预拌混凝土搅拌站等不宜入园的特殊行业，须经县人民政府研究同意，经县科技和工业信息化局备案后，按程序办理其他有关审批手续。县科技和工业信息化局应按相关程序报市工业和信息化局备案。</w:t>
            </w:r>
          </w:p>
          <w:p w14:paraId="089E353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Times New Roman" w:cs="Times New Roman"/>
                <w:b w:val="0"/>
                <w:bCs w:val="0"/>
                <w:snapToGrid w:val="0"/>
                <w:color w:val="auto"/>
                <w:kern w:val="0"/>
                <w:sz w:val="24"/>
                <w:szCs w:val="24"/>
                <w:lang w:val="en-US" w:eastAsia="zh-CN" w:bidi="ar-SA"/>
              </w:rPr>
            </w:pPr>
            <w:r>
              <w:rPr>
                <w:rFonts w:hint="default" w:ascii="Times New Roman" w:hAnsi="Times New Roman" w:cs="Times New Roman"/>
                <w:color w:val="0000FF"/>
                <w:highlight w:val="none"/>
                <w:u w:val="none"/>
                <w:lang w:val="en-US" w:eastAsia="zh-CN"/>
              </w:rPr>
              <w:t>根据《国民经济行业分类与代码》（GB/T4754-2017），本项目属于</w:t>
            </w:r>
            <w:r>
              <w:rPr>
                <w:rFonts w:hint="eastAsia" w:cs="Times New Roman"/>
                <w:color w:val="0000FF"/>
                <w:highlight w:val="none"/>
                <w:u w:val="none"/>
                <w:lang w:val="en-US" w:eastAsia="zh-CN"/>
              </w:rPr>
              <w:t>B0620褐煤开采洗选</w:t>
            </w:r>
            <w:r>
              <w:rPr>
                <w:rFonts w:hint="default" w:ascii="Times New Roman" w:hAnsi="Times New Roman" w:cs="Times New Roman"/>
                <w:color w:val="0000FF"/>
                <w:highlight w:val="none"/>
                <w:u w:val="none"/>
                <w:lang w:val="en-US" w:eastAsia="zh-CN"/>
              </w:rPr>
              <w:t>，</w:t>
            </w:r>
            <w:r>
              <w:rPr>
                <w:rFonts w:hint="default" w:ascii="Times New Roman" w:hAnsi="Times New Roman" w:cs="Times New Roman"/>
                <w:color w:val="auto"/>
                <w:highlight w:val="none"/>
                <w:u w:val="none"/>
                <w:lang w:val="en-US" w:eastAsia="zh-CN"/>
              </w:rPr>
              <w:t>仅进行仓储堆煤，不进行煤的破碎加工</w:t>
            </w:r>
            <w:r>
              <w:rPr>
                <w:rFonts w:hint="default" w:ascii="Times New Roman" w:hAnsi="Times New Roman" w:eastAsia="Times New Roman" w:cs="Times New Roman"/>
                <w:b w:val="0"/>
                <w:bCs w:val="0"/>
                <w:snapToGrid w:val="0"/>
                <w:color w:val="auto"/>
                <w:kern w:val="0"/>
                <w:sz w:val="24"/>
                <w:szCs w:val="24"/>
                <w:lang w:val="en-US" w:eastAsia="zh-CN" w:bidi="ar-SA"/>
              </w:rPr>
              <w:t>。故项目不属于工业项目，选址可不入工业园区，不报工业和信息化局备案。故项目满足云南寻甸产业园区外工业项目管理工作方案（寻政办发[2024]34 号）的相关要求。</w:t>
            </w:r>
          </w:p>
          <w:p w14:paraId="304DA8C4">
            <w:pPr>
              <w:pageBreakBefore w:val="0"/>
              <w:kinsoku/>
              <w:wordWrap w:val="0"/>
              <w:overflowPunct/>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3、</w:t>
            </w:r>
            <w:r>
              <w:rPr>
                <w:rFonts w:hint="default" w:ascii="Times New Roman" w:hAnsi="Times New Roman" w:cs="Times New Roman"/>
                <w:b/>
                <w:bCs/>
                <w:color w:val="auto"/>
                <w:spacing w:val="-13"/>
                <w:sz w:val="24"/>
                <w:szCs w:val="24"/>
                <w:lang w:val="en-US" w:eastAsia="zh-CN"/>
              </w:rPr>
              <w:t>项目</w:t>
            </w:r>
            <w:r>
              <w:rPr>
                <w:rFonts w:hint="default" w:ascii="Times New Roman" w:hAnsi="Times New Roman" w:cs="Times New Roman"/>
                <w:b/>
                <w:bCs/>
                <w:color w:val="auto"/>
                <w:spacing w:val="-13"/>
                <w:sz w:val="24"/>
                <w:szCs w:val="24"/>
              </w:rPr>
              <w:t>与《昆明市生态环境分区管控动态更新方案（</w:t>
            </w:r>
            <w:r>
              <w:rPr>
                <w:rFonts w:hint="default" w:ascii="Times New Roman" w:hAnsi="Times New Roman" w:cs="Times New Roman"/>
                <w:b/>
                <w:bCs/>
                <w:color w:val="auto"/>
                <w:spacing w:val="-13"/>
                <w:sz w:val="24"/>
                <w:szCs w:val="24"/>
                <w:lang w:val="en-US" w:eastAsia="zh-CN"/>
              </w:rPr>
              <w:t>2023年</w:t>
            </w:r>
            <w:r>
              <w:rPr>
                <w:rFonts w:hint="default" w:ascii="Times New Roman" w:hAnsi="Times New Roman" w:cs="Times New Roman"/>
                <w:b/>
                <w:bCs/>
                <w:color w:val="auto"/>
                <w:spacing w:val="-14"/>
                <w:sz w:val="24"/>
                <w:szCs w:val="24"/>
              </w:rPr>
              <w:t>）</w:t>
            </w:r>
            <w:r>
              <w:rPr>
                <w:rFonts w:hint="default" w:ascii="Times New Roman" w:hAnsi="Times New Roman" w:cs="Times New Roman"/>
                <w:b/>
                <w:bCs/>
                <w:color w:val="auto"/>
                <w:spacing w:val="-13"/>
                <w:sz w:val="24"/>
                <w:szCs w:val="24"/>
              </w:rPr>
              <w:t>》</w:t>
            </w:r>
            <w:r>
              <w:rPr>
                <w:rFonts w:hint="default" w:ascii="Times New Roman" w:hAnsi="Times New Roman" w:cs="Times New Roman"/>
                <w:b/>
                <w:bCs/>
                <w:color w:val="auto"/>
                <w:spacing w:val="-9"/>
                <w:sz w:val="24"/>
                <w:szCs w:val="24"/>
              </w:rPr>
              <w:t>的符合性分析</w:t>
            </w:r>
          </w:p>
          <w:p w14:paraId="28BE2DAA">
            <w:pPr>
              <w:pStyle w:val="48"/>
              <w:pageBreakBefore w:val="0"/>
              <w:kinsoku/>
              <w:wordWrap w:val="0"/>
              <w:overflowPunct/>
              <w:bidi w:val="0"/>
              <w:spacing w:before="48" w:line="360" w:lineRule="auto"/>
              <w:rPr>
                <w:rFonts w:hint="default" w:ascii="Times New Roman" w:hAnsi="Times New Roman" w:eastAsia="Times New Roman" w:cs="Times New Roman"/>
                <w:b w:val="0"/>
                <w:bCs w:val="0"/>
                <w:snapToGrid w:val="0"/>
                <w:color w:val="auto"/>
                <w:kern w:val="0"/>
                <w:sz w:val="24"/>
                <w:szCs w:val="24"/>
                <w:lang w:val="en-US" w:eastAsia="zh-CN" w:bidi="ar-SA"/>
              </w:rPr>
            </w:pPr>
            <w:r>
              <w:rPr>
                <w:rFonts w:hint="default" w:ascii="Times New Roman" w:hAnsi="Times New Roman" w:eastAsia="Times New Roman" w:cs="Times New Roman"/>
                <w:b w:val="0"/>
                <w:bCs w:val="0"/>
                <w:snapToGrid w:val="0"/>
                <w:color w:val="auto"/>
                <w:kern w:val="0"/>
                <w:sz w:val="24"/>
                <w:szCs w:val="24"/>
                <w:lang w:val="en-US" w:eastAsia="zh-CN" w:bidi="ar-SA"/>
              </w:rPr>
              <w:t>项目与昆明市生态环境分区管控动态更新方案总体要求如下：</w:t>
            </w:r>
          </w:p>
          <w:p w14:paraId="144DE7C5">
            <w:pPr>
              <w:pageBreakBefore w:val="0"/>
              <w:kinsoku/>
              <w:wordWrap w:val="0"/>
              <w:overflowPunct/>
              <w:bidi w:val="0"/>
              <w:spacing w:line="360" w:lineRule="auto"/>
              <w:rPr>
                <w:rFonts w:hint="default" w:ascii="Times New Roman" w:hAnsi="Times New Roman" w:eastAsia="Times New Roman" w:cs="Times New Roman"/>
                <w:b/>
                <w:bCs/>
                <w:snapToGrid w:val="0"/>
                <w:color w:val="auto"/>
                <w:kern w:val="0"/>
                <w:sz w:val="24"/>
                <w:szCs w:val="24"/>
                <w:lang w:val="en-US" w:eastAsia="zh-CN" w:bidi="ar-SA"/>
              </w:rPr>
            </w:pPr>
            <w:r>
              <w:rPr>
                <w:rFonts w:hint="default" w:ascii="Times New Roman" w:hAnsi="Times New Roman" w:eastAsia="Times New Roman" w:cs="Times New Roman"/>
                <w:b/>
                <w:bCs/>
                <w:snapToGrid w:val="0"/>
                <w:color w:val="auto"/>
                <w:kern w:val="0"/>
                <w:sz w:val="24"/>
                <w:szCs w:val="24"/>
                <w:lang w:val="en-US" w:eastAsia="zh-CN" w:bidi="ar-SA"/>
              </w:rPr>
              <w:t>（1）环境管控单元更新结果</w:t>
            </w:r>
          </w:p>
          <w:p w14:paraId="42FC66E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Times New Roman" w:cs="Times New Roman"/>
                <w:b w:val="0"/>
                <w:bCs w:val="0"/>
                <w:snapToGrid w:val="0"/>
                <w:color w:val="auto"/>
                <w:kern w:val="0"/>
                <w:sz w:val="24"/>
                <w:szCs w:val="24"/>
                <w:lang w:val="en-US" w:eastAsia="zh-CN" w:bidi="ar-SA"/>
              </w:rPr>
            </w:pPr>
            <w:r>
              <w:rPr>
                <w:rFonts w:hint="default" w:ascii="Times New Roman" w:hAnsi="Times New Roman" w:eastAsia="Times New Roman" w:cs="Times New Roman"/>
                <w:b w:val="0"/>
                <w:bCs w:val="0"/>
                <w:snapToGrid w:val="0"/>
                <w:color w:val="auto"/>
                <w:kern w:val="0"/>
                <w:sz w:val="24"/>
                <w:szCs w:val="24"/>
                <w:lang w:val="en-US" w:eastAsia="zh-CN" w:bidi="ar-SA"/>
              </w:rPr>
              <w:t>更新后，全市环境管控单元数量由原有的129个调整为132个。优先保护单元：更新后，总数为42个，保持不变；面积占比由44.11%更新为44.72%，增加0.61%。重点管控单元：更新后，总数为76个，较原有增加3个；面积占比由19.56%更新为19.06%，减少0.5%。一般管控单元：更新后，总数为14个，保持不变；面积占比由36.33%更新为36.22%，减少0.11%。</w:t>
            </w:r>
          </w:p>
          <w:p w14:paraId="649452D0">
            <w:pPr>
              <w:pageBreakBefore w:val="0"/>
              <w:kinsoku/>
              <w:wordWrap w:val="0"/>
              <w:overflowPunct/>
              <w:bidi w:val="0"/>
              <w:rPr>
                <w:rFonts w:hint="default" w:ascii="Times New Roman" w:hAnsi="Times New Roman" w:cs="Times New Roman"/>
                <w:highlight w:val="none"/>
                <w:lang w:val="en-US" w:eastAsia="zh-CN"/>
              </w:rPr>
            </w:pPr>
            <w:r>
              <w:rPr>
                <w:rFonts w:hint="default" w:ascii="Times New Roman" w:hAnsi="Times New Roman" w:eastAsia="Times New Roman" w:cs="Times New Roman"/>
                <w:b w:val="0"/>
                <w:bCs w:val="0"/>
                <w:snapToGrid w:val="0"/>
                <w:color w:val="auto"/>
                <w:kern w:val="0"/>
                <w:sz w:val="24"/>
                <w:szCs w:val="24"/>
                <w:lang w:val="en-US" w:eastAsia="zh-CN" w:bidi="ar-SA"/>
              </w:rPr>
              <w:t>本项目位于云南省昆明市寻甸县金所街道三月三路中段</w:t>
            </w:r>
            <w:r>
              <w:rPr>
                <w:rFonts w:hint="default" w:ascii="Times New Roman" w:hAnsi="Times New Roman" w:cs="Times New Roman"/>
                <w:color w:val="auto"/>
                <w:kern w:val="2"/>
                <w:sz w:val="24"/>
                <w:szCs w:val="24"/>
                <w:lang w:val="en-US" w:eastAsia="zh-CN" w:bidi="ar-SA"/>
              </w:rPr>
              <w:t>，</w:t>
            </w:r>
            <w:r>
              <w:rPr>
                <w:rFonts w:hint="default" w:ascii="Times New Roman" w:hAnsi="Times New Roman" w:cs="Times New Roman"/>
                <w:color w:val="auto"/>
                <w:sz w:val="24"/>
                <w:highlight w:val="none"/>
                <w:lang w:val="en-US" w:eastAsia="zh-CN"/>
              </w:rPr>
              <w:t>项目用地性质为工业用地</w:t>
            </w:r>
            <w:r>
              <w:rPr>
                <w:rFonts w:hint="default" w:ascii="Times New Roman" w:hAnsi="Times New Roman" w:eastAsia="宋体" w:cs="Times New Roman"/>
                <w:color w:val="auto"/>
                <w:kern w:val="2"/>
                <w:sz w:val="24"/>
                <w:szCs w:val="24"/>
                <w:highlight w:val="none"/>
                <w:lang w:val="en-US" w:eastAsia="zh-CN" w:bidi="ar-SA"/>
              </w:rPr>
              <w:t>。根</w:t>
            </w:r>
            <w:r>
              <w:rPr>
                <w:rFonts w:hint="default" w:ascii="Times New Roman" w:hAnsi="Times New Roman" w:cs="Times New Roman"/>
                <w:color w:val="auto"/>
                <w:sz w:val="24"/>
                <w:highlight w:val="none"/>
              </w:rPr>
              <w:t>据</w:t>
            </w:r>
            <w:r>
              <w:rPr>
                <w:rFonts w:hint="default" w:ascii="Times New Roman" w:hAnsi="Times New Roman" w:cs="Times New Roman"/>
                <w:color w:val="auto"/>
                <w:sz w:val="24"/>
                <w:highlight w:val="none"/>
                <w:lang w:eastAsia="zh-CN"/>
              </w:rPr>
              <w:t>“云南省生态环境分区管控公共服务查询平台”</w:t>
            </w:r>
            <w:r>
              <w:rPr>
                <w:rFonts w:hint="default" w:ascii="Times New Roman" w:hAnsi="Times New Roman" w:cs="Times New Roman"/>
                <w:color w:val="auto"/>
                <w:sz w:val="24"/>
                <w:highlight w:val="none"/>
                <w:lang w:val="en-US" w:eastAsia="zh-CN"/>
              </w:rPr>
              <w:t>查询可知，</w:t>
            </w:r>
            <w:r>
              <w:rPr>
                <w:rFonts w:hint="default" w:ascii="Times New Roman" w:hAnsi="Times New Roman" w:cs="Times New Roman"/>
                <w:color w:val="auto"/>
                <w:sz w:val="24"/>
                <w:highlight w:val="none"/>
              </w:rPr>
              <w:t>项目占地位于寻甸回族彝族自治县一般管控单元</w:t>
            </w:r>
            <w:r>
              <w:rPr>
                <w:rFonts w:hint="default" w:ascii="Times New Roman" w:hAnsi="Times New Roman" w:eastAsia="Times New Roman" w:cs="Times New Roman"/>
                <w:b w:val="0"/>
                <w:bCs w:val="0"/>
                <w:snapToGrid w:val="0"/>
                <w:color w:val="auto"/>
                <w:kern w:val="0"/>
                <w:sz w:val="24"/>
                <w:szCs w:val="24"/>
                <w:highlight w:val="none"/>
                <w:lang w:val="en-US" w:eastAsia="zh-CN" w:bidi="ar-SA"/>
              </w:rPr>
              <w:t>。</w:t>
            </w:r>
          </w:p>
          <w:p w14:paraId="5D86DA40">
            <w:pPr>
              <w:keepNext w:val="0"/>
              <w:keepLines w:val="0"/>
              <w:pageBreakBefore w:val="0"/>
              <w:widowControl/>
              <w:kinsoku/>
              <w:wordWrap w:val="0"/>
              <w:overflowPunct/>
              <w:topLinePunct/>
              <w:autoSpaceDE/>
              <w:autoSpaceDN/>
              <w:bidi w:val="0"/>
              <w:adjustRightInd w:val="0"/>
              <w:snapToGrid w:val="0"/>
              <w:spacing w:before="0" w:after="0" w:line="240" w:lineRule="auto"/>
              <w:ind w:left="0" w:right="0" w:firstLine="420" w:firstLineChars="200"/>
              <w:jc w:val="center"/>
              <w:textAlignment w:val="baseline"/>
              <w:rPr>
                <w:rFonts w:hint="default" w:ascii="Times New Roman" w:hAnsi="Times New Roman" w:cs="Times New Roman"/>
                <w:color w:val="auto"/>
                <w:highlight w:val="none"/>
                <w:u w:val="none"/>
              </w:rPr>
            </w:pPr>
            <w:r>
              <w:rPr>
                <w:rFonts w:hint="default" w:ascii="Times New Roman" w:hAnsi="Times New Roman" w:eastAsia="Times New Roman" w:cs="Times New Roman"/>
                <w:b/>
                <w:bCs/>
                <w:snapToGrid w:val="0"/>
                <w:color w:val="auto"/>
                <w:kern w:val="0"/>
                <w:sz w:val="21"/>
                <w:szCs w:val="21"/>
                <w:lang w:val="en-US" w:eastAsia="zh-CN" w:bidi="ar-SA"/>
              </w:rPr>
              <w:t xml:space="preserve">表1-2 </w:t>
            </w:r>
            <w:r>
              <w:rPr>
                <w:rFonts w:hint="default" w:ascii="Times New Roman" w:hAnsi="Times New Roman" w:cs="Times New Roman" w:eastAsiaTheme="minorEastAsia"/>
                <w:b/>
                <w:bCs w:val="0"/>
                <w:color w:val="auto"/>
                <w:kern w:val="2"/>
                <w:sz w:val="21"/>
                <w:szCs w:val="21"/>
                <w:lang w:val="en-US" w:eastAsia="zh-CN" w:bidi="ar-SA"/>
              </w:rPr>
              <w:t>项目与昆明市生态环境管控总体准入要求》的符合性分析</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690"/>
              <w:gridCol w:w="2426"/>
              <w:gridCol w:w="905"/>
            </w:tblGrid>
            <w:tr w14:paraId="2EB25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521" w:type="pct"/>
                  <w:noWrap w:val="0"/>
                  <w:vAlign w:val="center"/>
                </w:tcPr>
                <w:p w14:paraId="57C8168B">
                  <w:pPr>
                    <w:pStyle w:val="3"/>
                    <w:pageBreakBefore w:val="0"/>
                    <w:kinsoku/>
                    <w:wordWrap w:val="0"/>
                    <w:overflowPunct/>
                    <w:topLinePunct w:val="0"/>
                    <w:autoSpaceDE/>
                    <w:autoSpaceDN/>
                    <w:bidi w:val="0"/>
                    <w:adjustRightInd/>
                    <w:spacing w:before="0" w:after="0" w:line="240" w:lineRule="auto"/>
                    <w:ind w:left="0" w:leftChars="0" w:firstLine="0" w:firstLineChars="0"/>
                    <w:jc w:val="center"/>
                    <w:rPr>
                      <w:rFonts w:hint="default" w:ascii="Times New Roman" w:hAnsi="Times New Roman" w:cs="Times New Roman" w:eastAsiaTheme="minorEastAsia"/>
                      <w:b w:val="0"/>
                      <w:bCs w:val="0"/>
                      <w:color w:val="auto"/>
                      <w:kern w:val="0"/>
                      <w:sz w:val="21"/>
                      <w:szCs w:val="21"/>
                      <w:lang w:bidi="ar"/>
                    </w:rPr>
                  </w:pPr>
                  <w:r>
                    <w:rPr>
                      <w:rFonts w:hint="default" w:ascii="Times New Roman" w:hAnsi="Times New Roman" w:cs="Times New Roman" w:eastAsiaTheme="minorEastAsia"/>
                      <w:color w:val="auto"/>
                      <w:sz w:val="21"/>
                      <w:szCs w:val="21"/>
                      <w:lang w:val="en-US" w:eastAsia="zh-CN"/>
                    </w:rPr>
                    <w:t>管</w:t>
                  </w:r>
                  <w:r>
                    <w:rPr>
                      <w:rFonts w:hint="default" w:ascii="Times New Roman" w:hAnsi="Times New Roman" w:cs="Times New Roman" w:eastAsiaTheme="minorEastAsia"/>
                      <w:color w:val="auto"/>
                      <w:sz w:val="21"/>
                      <w:szCs w:val="21"/>
                    </w:rPr>
                    <w:t>控领域</w:t>
                  </w:r>
                </w:p>
              </w:tc>
              <w:tc>
                <w:tcPr>
                  <w:tcW w:w="2353" w:type="pct"/>
                  <w:noWrap w:val="0"/>
                  <w:vAlign w:val="center"/>
                </w:tcPr>
                <w:p w14:paraId="15A04EB1">
                  <w:pPr>
                    <w:pStyle w:val="3"/>
                    <w:pageBreakBefore w:val="0"/>
                    <w:kinsoku/>
                    <w:wordWrap w:val="0"/>
                    <w:overflowPunct/>
                    <w:topLinePunct w:val="0"/>
                    <w:autoSpaceDE/>
                    <w:autoSpaceDN/>
                    <w:bidi w:val="0"/>
                    <w:adjustRightInd/>
                    <w:spacing w:before="0" w:after="0" w:line="240" w:lineRule="auto"/>
                    <w:ind w:firstLine="1385" w:firstLineChars="600"/>
                    <w:jc w:val="center"/>
                    <w:rPr>
                      <w:rFonts w:hint="default" w:ascii="Times New Roman" w:hAnsi="Times New Roman" w:cs="Times New Roman" w:eastAsiaTheme="minorEastAsia"/>
                      <w:b w:val="0"/>
                      <w:bCs w:val="0"/>
                      <w:color w:val="auto"/>
                      <w:kern w:val="0"/>
                      <w:sz w:val="21"/>
                      <w:szCs w:val="21"/>
                      <w:lang w:bidi="ar"/>
                    </w:rPr>
                  </w:pPr>
                  <w:r>
                    <w:rPr>
                      <w:rFonts w:hint="default" w:ascii="Times New Roman" w:hAnsi="Times New Roman" w:cs="Times New Roman" w:eastAsiaTheme="minorEastAsia"/>
                      <w:color w:val="auto"/>
                      <w:sz w:val="21"/>
                      <w:szCs w:val="21"/>
                    </w:rPr>
                    <w:t>管控要求</w:t>
                  </w:r>
                </w:p>
              </w:tc>
              <w:tc>
                <w:tcPr>
                  <w:tcW w:w="1547" w:type="pct"/>
                  <w:noWrap w:val="0"/>
                  <w:vAlign w:val="center"/>
                </w:tcPr>
                <w:p w14:paraId="3AD29081">
                  <w:pPr>
                    <w:pageBreakBefore w:val="0"/>
                    <w:kinsoku/>
                    <w:wordWrap w:val="0"/>
                    <w:overflowPunct/>
                    <w:topLinePunct w:val="0"/>
                    <w:autoSpaceDE/>
                    <w:autoSpaceDN/>
                    <w:bidi w:val="0"/>
                    <w:adjustRightInd/>
                    <w:spacing w:line="240" w:lineRule="auto"/>
                    <w:ind w:firstLine="632" w:firstLineChars="300"/>
                    <w:jc w:val="center"/>
                    <w:rPr>
                      <w:rFonts w:hint="default" w:ascii="Times New Roman" w:hAnsi="Times New Roman" w:cs="Times New Roman" w:eastAsiaTheme="minorEastAsia"/>
                      <w:color w:val="auto"/>
                      <w:sz w:val="21"/>
                      <w:szCs w:val="21"/>
                    </w:rPr>
                  </w:pPr>
                  <w:r>
                    <w:rPr>
                      <w:rFonts w:hint="default" w:ascii="Times New Roman" w:hAnsi="Times New Roman" w:cs="Times New Roman"/>
                      <w:b/>
                      <w:bCs/>
                      <w:color w:val="auto"/>
                      <w:sz w:val="21"/>
                      <w:szCs w:val="21"/>
                      <w:highlight w:val="none"/>
                    </w:rPr>
                    <w:t>项目情况</w:t>
                  </w:r>
                </w:p>
              </w:tc>
              <w:tc>
                <w:tcPr>
                  <w:tcW w:w="577" w:type="pct"/>
                  <w:noWrap w:val="0"/>
                  <w:vAlign w:val="center"/>
                </w:tcPr>
                <w:p w14:paraId="00AA774A">
                  <w:pPr>
                    <w:pageBreakBefore w:val="0"/>
                    <w:kinsoku/>
                    <w:wordWrap w:val="0"/>
                    <w:overflowPunct/>
                    <w:topLinePunct w:val="0"/>
                    <w:autoSpaceDE/>
                    <w:autoSpaceDN/>
                    <w:bidi w:val="0"/>
                    <w:adjustRightInd/>
                    <w:spacing w:line="240" w:lineRule="auto"/>
                    <w:ind w:left="0" w:leftChars="0" w:firstLine="0" w:firstLineChars="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b/>
                      <w:bCs/>
                      <w:color w:val="auto"/>
                      <w:sz w:val="21"/>
                      <w:szCs w:val="21"/>
                      <w:highlight w:val="none"/>
                      <w:lang w:val="en-US" w:eastAsia="zh-CN"/>
                    </w:rPr>
                    <w:t>符合性</w:t>
                  </w:r>
                </w:p>
              </w:tc>
            </w:tr>
            <w:tr w14:paraId="3D27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521" w:type="pct"/>
                  <w:noWrap w:val="0"/>
                  <w:vAlign w:val="center"/>
                </w:tcPr>
                <w:p w14:paraId="5914C12E">
                  <w:pPr>
                    <w:pStyle w:val="4"/>
                    <w:pageBreakBefore w:val="0"/>
                    <w:kinsoku/>
                    <w:wordWrap w:val="0"/>
                    <w:overflowPunct/>
                    <w:topLinePunct w:val="0"/>
                    <w:autoSpaceDE/>
                    <w:autoSpaceDN/>
                    <w:bidi w:val="0"/>
                    <w:adjustRightInd/>
                    <w:spacing w:before="0" w:beforeLines="0" w:after="0" w:afterLines="0" w:line="240" w:lineRule="auto"/>
                    <w:ind w:left="0" w:leftChars="0" w:firstLine="0" w:firstLineChars="0"/>
                    <w:jc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sz w:val="21"/>
                      <w:szCs w:val="21"/>
                    </w:rPr>
                    <w:t>空间布局约束</w:t>
                  </w:r>
                </w:p>
              </w:tc>
              <w:tc>
                <w:tcPr>
                  <w:tcW w:w="2353" w:type="pct"/>
                  <w:noWrap w:val="0"/>
                  <w:vAlign w:val="center"/>
                </w:tcPr>
                <w:p w14:paraId="0F9BCCA0">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1.根据《昆明市国土空间总体规划（2021—2035年）》进行空间管控。</w:t>
                  </w:r>
                </w:p>
                <w:p w14:paraId="1A22645A">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2.牛栏江流域内，严格按照《云南省牛栏江保护条例》相关要求对水环境进行分区管控。</w:t>
                  </w:r>
                </w:p>
                <w:p w14:paraId="783827F8">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3.滇池流域内，严格按照《云南省滇池湖滨生态红线及湖泊生态黄线“两线”划定方案》相关要求进行分区管控。</w:t>
                  </w:r>
                </w:p>
                <w:p w14:paraId="24E4A7C8">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4.阳宗海流域内，严格按照《云南省阳宗海湖滨生态红线及湖泊生态黄线“两线”划定方案》相关要求进行分区管控。</w:t>
                  </w:r>
                </w:p>
              </w:tc>
              <w:tc>
                <w:tcPr>
                  <w:tcW w:w="1547" w:type="pct"/>
                  <w:noWrap w:val="0"/>
                  <w:vAlign w:val="center"/>
                </w:tcPr>
                <w:p w14:paraId="5480D93F">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1.项目租用</w:t>
                  </w:r>
                  <w:r>
                    <w:rPr>
                      <w:rFonts w:hint="eastAsia" w:cs="Times New Roman" w:eastAsiaTheme="minorEastAsia"/>
                      <w:color w:val="auto"/>
                      <w:kern w:val="0"/>
                      <w:sz w:val="21"/>
                      <w:szCs w:val="21"/>
                      <w:lang w:val="en-US" w:eastAsia="zh-CN" w:bidi="ar"/>
                    </w:rPr>
                    <w:t>云南昆明亦标水泥有限公司</w:t>
                  </w:r>
                  <w:r>
                    <w:rPr>
                      <w:rFonts w:hint="default" w:ascii="Times New Roman" w:hAnsi="Times New Roman" w:cs="Times New Roman" w:eastAsiaTheme="minorEastAsia"/>
                      <w:color w:val="auto"/>
                      <w:kern w:val="0"/>
                      <w:sz w:val="21"/>
                      <w:szCs w:val="21"/>
                      <w:lang w:val="en-US" w:eastAsia="zh-CN" w:bidi="ar"/>
                    </w:rPr>
                    <w:t>原有占地，不新增用地。根据寻甸县自然资源局出具的“关于</w:t>
                  </w:r>
                  <w:r>
                    <w:rPr>
                      <w:rFonts w:hint="default" w:ascii="Times New Roman" w:hAnsi="Times New Roman" w:cs="Times New Roman"/>
                      <w:sz w:val="21"/>
                      <w:szCs w:val="21"/>
                      <w:vertAlign w:val="baseline"/>
                      <w:lang w:val="en-US" w:eastAsia="zh-CN"/>
                    </w:rPr>
                    <w:t>寻甸锦晟源商贸有限公司年处理10万吨褐煤提质项目</w:t>
                  </w:r>
                  <w:r>
                    <w:rPr>
                      <w:rFonts w:hint="default" w:ascii="Times New Roman" w:hAnsi="Times New Roman" w:cs="Times New Roman" w:eastAsiaTheme="minorEastAsia"/>
                      <w:color w:val="auto"/>
                      <w:kern w:val="0"/>
                      <w:sz w:val="21"/>
                      <w:szCs w:val="21"/>
                      <w:lang w:val="en-US" w:eastAsia="zh-CN" w:bidi="ar"/>
                    </w:rPr>
                    <w:t>是否涉及生态保护红线、城镇开发边界的情况说明”，项目用地范围未与寻甸县生态保护红线重叠，不涉及城镇开发边界。</w:t>
                  </w:r>
                  <w:r>
                    <w:rPr>
                      <w:rFonts w:hint="default" w:ascii="Times New Roman" w:hAnsi="Times New Roman" w:eastAsia="宋体" w:cs="Times New Roman"/>
                      <w:color w:val="auto"/>
                      <w:kern w:val="2"/>
                      <w:sz w:val="21"/>
                      <w:szCs w:val="21"/>
                      <w:highlight w:val="none"/>
                      <w:lang w:val="en-US" w:eastAsia="zh-CN" w:bidi="ar-SA"/>
                    </w:rPr>
                    <w:t>根</w:t>
                  </w:r>
                  <w:r>
                    <w:rPr>
                      <w:rFonts w:hint="default" w:ascii="Times New Roman" w:hAnsi="Times New Roman" w:cs="Times New Roman"/>
                      <w:color w:val="auto"/>
                      <w:sz w:val="21"/>
                      <w:szCs w:val="21"/>
                      <w:highlight w:val="none"/>
                    </w:rPr>
                    <w:t>据</w:t>
                  </w:r>
                  <w:r>
                    <w:rPr>
                      <w:rFonts w:hint="default" w:ascii="Times New Roman" w:hAnsi="Times New Roman" w:cs="Times New Roman"/>
                      <w:color w:val="auto"/>
                      <w:sz w:val="21"/>
                      <w:szCs w:val="21"/>
                      <w:highlight w:val="none"/>
                      <w:lang w:eastAsia="zh-CN"/>
                    </w:rPr>
                    <w:t>“云南省生态环境分区管控公共服务查询平台”</w:t>
                  </w:r>
                  <w:r>
                    <w:rPr>
                      <w:rFonts w:hint="default" w:ascii="Times New Roman" w:hAnsi="Times New Roman" w:cs="Times New Roman"/>
                      <w:color w:val="auto"/>
                      <w:sz w:val="21"/>
                      <w:szCs w:val="21"/>
                      <w:highlight w:val="none"/>
                      <w:lang w:val="en-US" w:eastAsia="zh-CN"/>
                    </w:rPr>
                    <w:t>查询可知，</w:t>
                  </w:r>
                  <w:r>
                    <w:rPr>
                      <w:rFonts w:hint="default" w:ascii="Times New Roman" w:hAnsi="Times New Roman" w:cs="Times New Roman"/>
                      <w:color w:val="auto"/>
                      <w:sz w:val="21"/>
                      <w:szCs w:val="21"/>
                      <w:highlight w:val="none"/>
                    </w:rPr>
                    <w:t>项目占地位于寻甸回族彝族自治县一般管控单元</w:t>
                  </w:r>
                  <w:r>
                    <w:rPr>
                      <w:rFonts w:hint="default" w:ascii="Times New Roman" w:hAnsi="Times New Roman" w:cs="Times New Roman" w:eastAsiaTheme="minorEastAsia"/>
                      <w:color w:val="auto"/>
                      <w:kern w:val="0"/>
                      <w:sz w:val="21"/>
                      <w:szCs w:val="21"/>
                      <w:lang w:val="en-US" w:eastAsia="zh-CN" w:bidi="ar"/>
                    </w:rPr>
                    <w:t>。</w:t>
                  </w:r>
                </w:p>
                <w:p w14:paraId="1DC2D9C2">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2.项目位于寻甸县金所街道三月三路中段，属于</w:t>
                  </w:r>
                  <w:r>
                    <w:rPr>
                      <w:rFonts w:hint="default" w:ascii="Times New Roman" w:hAnsi="Times New Roman" w:cs="Times New Roman" w:eastAsiaTheme="minorEastAsia"/>
                      <w:color w:val="auto"/>
                      <w:kern w:val="0"/>
                      <w:sz w:val="21"/>
                      <w:szCs w:val="21"/>
                      <w:lang w:bidi="ar"/>
                    </w:rPr>
                    <w:t>牛栏江流域内</w:t>
                  </w:r>
                  <w:r>
                    <w:rPr>
                      <w:rFonts w:hint="default" w:ascii="Times New Roman" w:hAnsi="Times New Roman" w:cs="Times New Roman" w:eastAsiaTheme="minorEastAsia"/>
                      <w:color w:val="auto"/>
                      <w:kern w:val="0"/>
                      <w:sz w:val="21"/>
                      <w:szCs w:val="21"/>
                      <w:lang w:eastAsia="zh-CN" w:bidi="ar"/>
                    </w:rPr>
                    <w:t>，</w:t>
                  </w:r>
                  <w:r>
                    <w:rPr>
                      <w:rFonts w:hint="default" w:ascii="Times New Roman" w:hAnsi="Times New Roman" w:cs="Times New Roman" w:eastAsiaTheme="minorEastAsia"/>
                      <w:color w:val="auto"/>
                      <w:kern w:val="0"/>
                      <w:sz w:val="21"/>
                      <w:szCs w:val="21"/>
                      <w:lang w:val="en-US" w:eastAsia="zh-CN" w:bidi="ar"/>
                    </w:rPr>
                    <w:t>根据分析，项目符合</w:t>
                  </w:r>
                  <w:r>
                    <w:rPr>
                      <w:rFonts w:hint="default" w:ascii="Times New Roman" w:hAnsi="Times New Roman" w:cs="Times New Roman" w:eastAsiaTheme="minorEastAsia"/>
                      <w:color w:val="auto"/>
                      <w:kern w:val="0"/>
                      <w:sz w:val="21"/>
                      <w:szCs w:val="21"/>
                      <w:lang w:bidi="ar"/>
                    </w:rPr>
                    <w:t>云南省牛栏江保护条例》相关要求对水环境进行分区管控。</w:t>
                  </w:r>
                </w:p>
              </w:tc>
              <w:tc>
                <w:tcPr>
                  <w:tcW w:w="577" w:type="pct"/>
                  <w:noWrap w:val="0"/>
                  <w:vAlign w:val="center"/>
                </w:tcPr>
                <w:p w14:paraId="6461DFB6">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符合</w:t>
                  </w:r>
                </w:p>
              </w:tc>
            </w:tr>
            <w:tr w14:paraId="53B58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21" w:type="pct"/>
                  <w:noWrap w:val="0"/>
                  <w:vAlign w:val="center"/>
                </w:tcPr>
                <w:p w14:paraId="4356034C">
                  <w:pPr>
                    <w:pStyle w:val="4"/>
                    <w:pageBreakBefore w:val="0"/>
                    <w:kinsoku/>
                    <w:wordWrap w:val="0"/>
                    <w:overflowPunct/>
                    <w:topLinePunct w:val="0"/>
                    <w:autoSpaceDE/>
                    <w:autoSpaceDN/>
                    <w:bidi w:val="0"/>
                    <w:adjustRightInd/>
                    <w:spacing w:before="0" w:beforeLines="0" w:after="0" w:afterLines="0" w:line="240" w:lineRule="auto"/>
                    <w:ind w:left="0" w:leftChars="0" w:firstLine="0" w:firstLineChars="0"/>
                    <w:jc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sz w:val="21"/>
                      <w:szCs w:val="21"/>
                    </w:rPr>
                    <w:t>污染物排放管控</w:t>
                  </w:r>
                </w:p>
              </w:tc>
              <w:tc>
                <w:tcPr>
                  <w:tcW w:w="2353" w:type="pct"/>
                  <w:noWrap w:val="0"/>
                  <w:vAlign w:val="center"/>
                </w:tcPr>
                <w:p w14:paraId="7FACFD9D">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1.到2025年，</w:t>
                  </w:r>
                  <w:r>
                    <w:rPr>
                      <w:rFonts w:hint="default" w:ascii="Times New Roman" w:hAnsi="Times New Roman" w:cs="Times New Roman" w:eastAsiaTheme="minorEastAsia"/>
                      <w:color w:val="auto"/>
                      <w:kern w:val="0"/>
                      <w:sz w:val="21"/>
                      <w:szCs w:val="21"/>
                      <w:lang w:eastAsia="zh-CN" w:bidi="ar"/>
                    </w:rPr>
                    <w:t>昆明市地表水国控断面达到或好于</w:t>
                  </w:r>
                  <w:r>
                    <w:rPr>
                      <w:rFonts w:hint="default" w:ascii="Times New Roman" w:hAnsi="Times New Roman" w:cs="Times New Roman" w:eastAsiaTheme="minorEastAsia"/>
                      <w:color w:val="auto"/>
                      <w:kern w:val="0"/>
                      <w:sz w:val="21"/>
                      <w:szCs w:val="21"/>
                      <w:lang w:bidi="ar"/>
                    </w:rPr>
                    <w:t>Ⅲ类</w:t>
                  </w:r>
                  <w:r>
                    <w:rPr>
                      <w:rFonts w:hint="default" w:ascii="Times New Roman" w:hAnsi="Times New Roman" w:cs="Times New Roman" w:eastAsiaTheme="minorEastAsia"/>
                      <w:color w:val="auto"/>
                      <w:kern w:val="0"/>
                      <w:sz w:val="21"/>
                      <w:szCs w:val="21"/>
                      <w:lang w:eastAsia="zh-CN" w:bidi="ar"/>
                    </w:rPr>
                    <w:t>水体比例应达到</w:t>
                  </w:r>
                  <w:r>
                    <w:rPr>
                      <w:rFonts w:hint="default" w:ascii="Times New Roman" w:hAnsi="Times New Roman" w:cs="Times New Roman" w:eastAsiaTheme="minorEastAsia"/>
                      <w:color w:val="auto"/>
                      <w:kern w:val="0"/>
                      <w:sz w:val="21"/>
                      <w:szCs w:val="21"/>
                      <w:lang w:bidi="ar"/>
                    </w:rPr>
                    <w:t>81.5%，45个省控断面达到或</w:t>
                  </w:r>
                  <w:r>
                    <w:rPr>
                      <w:rFonts w:hint="default" w:ascii="Times New Roman" w:hAnsi="Times New Roman" w:cs="Times New Roman" w:eastAsiaTheme="minorEastAsia"/>
                      <w:color w:val="auto"/>
                      <w:kern w:val="0"/>
                      <w:sz w:val="21"/>
                      <w:szCs w:val="21"/>
                      <w:lang w:eastAsia="zh-CN" w:bidi="ar"/>
                    </w:rPr>
                    <w:t>好</w:t>
                  </w:r>
                  <w:r>
                    <w:rPr>
                      <w:rFonts w:hint="default" w:ascii="Times New Roman" w:hAnsi="Times New Roman" w:cs="Times New Roman" w:eastAsiaTheme="minorEastAsia"/>
                      <w:color w:val="auto"/>
                      <w:kern w:val="0"/>
                      <w:sz w:val="21"/>
                      <w:szCs w:val="21"/>
                      <w:lang w:bidi="ar"/>
                    </w:rPr>
                    <w:t>于Ⅲ类</w:t>
                  </w:r>
                  <w:r>
                    <w:rPr>
                      <w:rFonts w:hint="default" w:ascii="Times New Roman" w:hAnsi="Times New Roman" w:cs="Times New Roman" w:eastAsiaTheme="minorEastAsia"/>
                      <w:color w:val="auto"/>
                      <w:kern w:val="0"/>
                      <w:sz w:val="21"/>
                      <w:szCs w:val="21"/>
                      <w:lang w:eastAsia="zh-CN" w:bidi="ar"/>
                    </w:rPr>
                    <w:t>水体</w:t>
                  </w:r>
                  <w:r>
                    <w:rPr>
                      <w:rFonts w:hint="default" w:ascii="Times New Roman" w:hAnsi="Times New Roman" w:cs="Times New Roman" w:eastAsiaTheme="minorEastAsia"/>
                      <w:color w:val="auto"/>
                      <w:kern w:val="0"/>
                      <w:sz w:val="21"/>
                      <w:szCs w:val="21"/>
                      <w:lang w:bidi="ar"/>
                    </w:rPr>
                    <w:t>比例</w:t>
                  </w:r>
                  <w:r>
                    <w:rPr>
                      <w:rFonts w:hint="default" w:ascii="Times New Roman" w:hAnsi="Times New Roman" w:cs="Times New Roman" w:eastAsiaTheme="minorEastAsia"/>
                      <w:color w:val="auto"/>
                      <w:kern w:val="0"/>
                      <w:sz w:val="21"/>
                      <w:szCs w:val="21"/>
                      <w:lang w:eastAsia="zh-CN" w:bidi="ar"/>
                    </w:rPr>
                    <w:t>应</w:t>
                  </w:r>
                  <w:r>
                    <w:rPr>
                      <w:rFonts w:hint="default" w:ascii="Times New Roman" w:hAnsi="Times New Roman" w:cs="Times New Roman" w:eastAsiaTheme="minorEastAsia"/>
                      <w:color w:val="auto"/>
                      <w:kern w:val="0"/>
                      <w:sz w:val="21"/>
                      <w:szCs w:val="21"/>
                      <w:lang w:bidi="ar"/>
                    </w:rPr>
                    <w:t>达到80%，劣</w:t>
                  </w:r>
                  <w:r>
                    <w:rPr>
                      <w:rFonts w:hint="default" w:ascii="Times New Roman" w:hAnsi="Times New Roman" w:cs="Times New Roman" w:eastAsiaTheme="minorEastAsia"/>
                      <w:color w:val="auto"/>
                      <w:kern w:val="0"/>
                      <w:sz w:val="21"/>
                      <w:szCs w:val="21"/>
                      <w:lang w:bidi="ar"/>
                    </w:rPr>
                    <w:fldChar w:fldCharType="begin"/>
                  </w:r>
                  <w:r>
                    <w:rPr>
                      <w:rFonts w:hint="default" w:ascii="Times New Roman" w:hAnsi="Times New Roman" w:cs="Times New Roman" w:eastAsiaTheme="minorEastAsia"/>
                      <w:color w:val="auto"/>
                      <w:kern w:val="0"/>
                      <w:sz w:val="21"/>
                      <w:szCs w:val="21"/>
                      <w:lang w:bidi="ar"/>
                    </w:rPr>
                    <w:instrText xml:space="preserve"> = 5 \* ROMAN </w:instrText>
                  </w:r>
                  <w:r>
                    <w:rPr>
                      <w:rFonts w:hint="default" w:ascii="Times New Roman" w:hAnsi="Times New Roman" w:cs="Times New Roman" w:eastAsiaTheme="minorEastAsia"/>
                      <w:color w:val="auto"/>
                      <w:kern w:val="0"/>
                      <w:sz w:val="21"/>
                      <w:szCs w:val="21"/>
                      <w:lang w:bidi="ar"/>
                    </w:rPr>
                    <w:fldChar w:fldCharType="separate"/>
                  </w:r>
                  <w:r>
                    <w:rPr>
                      <w:rFonts w:hint="default" w:ascii="Times New Roman" w:hAnsi="Times New Roman" w:cs="Times New Roman" w:eastAsiaTheme="minorEastAsia"/>
                      <w:color w:val="auto"/>
                      <w:kern w:val="0"/>
                      <w:sz w:val="21"/>
                      <w:szCs w:val="21"/>
                      <w:lang w:bidi="ar"/>
                    </w:rPr>
                    <w:t>V</w:t>
                  </w:r>
                  <w:r>
                    <w:rPr>
                      <w:rFonts w:hint="default" w:ascii="Times New Roman" w:hAnsi="Times New Roman" w:cs="Times New Roman" w:eastAsiaTheme="minorEastAsia"/>
                      <w:color w:val="auto"/>
                      <w:kern w:val="0"/>
                      <w:sz w:val="21"/>
                      <w:szCs w:val="21"/>
                      <w:lang w:bidi="ar"/>
                    </w:rPr>
                    <w:fldChar w:fldCharType="end"/>
                  </w:r>
                  <w:r>
                    <w:rPr>
                      <w:rFonts w:hint="default" w:ascii="Times New Roman" w:hAnsi="Times New Roman" w:cs="Times New Roman" w:eastAsiaTheme="minorEastAsia"/>
                      <w:color w:val="auto"/>
                      <w:kern w:val="0"/>
                      <w:sz w:val="21"/>
                      <w:szCs w:val="21"/>
                      <w:lang w:bidi="ar"/>
                    </w:rPr>
                    <w:t>类水体全面消除，县级</w:t>
                  </w:r>
                  <w:r>
                    <w:rPr>
                      <w:rFonts w:hint="default" w:ascii="Times New Roman" w:hAnsi="Times New Roman" w:cs="Times New Roman" w:eastAsiaTheme="minorEastAsia"/>
                      <w:color w:val="auto"/>
                      <w:kern w:val="0"/>
                      <w:sz w:val="21"/>
                      <w:szCs w:val="21"/>
                      <w:lang w:eastAsia="zh-CN" w:bidi="ar"/>
                    </w:rPr>
                    <w:t>及</w:t>
                  </w:r>
                  <w:r>
                    <w:rPr>
                      <w:rFonts w:hint="default" w:ascii="Times New Roman" w:hAnsi="Times New Roman" w:cs="Times New Roman" w:eastAsiaTheme="minorEastAsia"/>
                      <w:color w:val="auto"/>
                      <w:kern w:val="0"/>
                      <w:sz w:val="21"/>
                      <w:szCs w:val="21"/>
                      <w:lang w:bidi="ar"/>
                    </w:rPr>
                    <w:t>以上集中式饮用水水源</w:t>
                  </w:r>
                  <w:r>
                    <w:rPr>
                      <w:rFonts w:hint="default" w:ascii="Times New Roman" w:hAnsi="Times New Roman" w:cs="Times New Roman" w:eastAsiaTheme="minorEastAsia"/>
                      <w:color w:val="auto"/>
                      <w:kern w:val="0"/>
                      <w:sz w:val="21"/>
                      <w:szCs w:val="21"/>
                      <w:lang w:eastAsia="zh-CN" w:bidi="ar"/>
                    </w:rPr>
                    <w:t>地水质达标率</w:t>
                  </w:r>
                  <w:r>
                    <w:rPr>
                      <w:rFonts w:hint="default" w:ascii="Times New Roman" w:hAnsi="Times New Roman" w:cs="Times New Roman" w:eastAsiaTheme="minorEastAsia"/>
                      <w:color w:val="auto"/>
                      <w:kern w:val="0"/>
                      <w:sz w:val="21"/>
                      <w:szCs w:val="21"/>
                      <w:lang w:bidi="ar"/>
                    </w:rPr>
                    <w:t>100%；滇池草海水质稳定达到IV类、外海水质达到IV类（COD≤40mg/L），阳宗海水质稳定达到Ⅲ类水标准，县级及以上集中式饮用水水源地水质达标率100%。化学需氧量重点工程减排量10243t，氨氮重点工程减排量1009t。</w:t>
                  </w:r>
                </w:p>
                <w:p w14:paraId="519E7BD7">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2.到2025年，昆明市环境空气质量优良天数比例应达到99.1%，城市细颗粒物（PM2.5）平均浓度应达到24μg/m³；氮氧化物重点工程减排量2237t，挥发性有机物重点工程减排量1684t。</w:t>
                  </w:r>
                </w:p>
                <w:p w14:paraId="0BB82F4A">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3.2025年底前，全面完成钢铁企业超低排放改造。持续开展燃煤锅炉整治，推进每小时65蒸吨以上的燃煤锅炉超低排放改造。燃气锅炉推行低氮燃烧，氮氧化物排放浓度不高于50毫克/立方米。重点涉气排放企业逐步取消烟气旁路，因安全生产无法取消的，安装在线监管系统。</w:t>
                  </w:r>
                </w:p>
                <w:p w14:paraId="114FC033">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4.建立完善源头、过程和末端的VOCs全过程控制体系，实施VOCs排放总量控制。</w:t>
                  </w:r>
                </w:p>
                <w:p w14:paraId="0DA6150E">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5.推进农业废弃物综合利用，2025年底前综合利用率达90%以上。</w:t>
                  </w:r>
                </w:p>
                <w:p w14:paraId="6E8CC14F">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6.滇池流域：2025年底前，完成流域内城镇雨污分流改造，城镇污水收集率达95％以上，农村生活污水收集处理率达75％以上，畜禽粪污综合利用率达90％以上，城市生活垃圾处理率达97％以上，实现农村生活垃圾分类投放、统一运输、集中处理。</w:t>
                  </w:r>
                </w:p>
                <w:p w14:paraId="1640ACEB">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7.阳宗海流域：推进农业废弃物综合利用，2025年底前农作物综合利用率达90%以上，畜禽粪污综合利用率达96%以上，农膜回收利用率达85%以上。2025年底前，完成流域内城镇雨污分流改造，城镇污水收集率达95%以上，农村生活污水收集处理率达75%以上，畜禽粪污综合利用率达90%以上，城镇生活垃圾处理率达97%以上，实现农村生活垃圾分类投放、统一运输、集中处理。</w:t>
                  </w:r>
                </w:p>
                <w:p w14:paraId="22B3A329">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8.督促指导磷石膏产生企业配套建设（或委托建设）相应能力的磷石膏无害化处理设施，采用水洗、焙烧、浮选、中和等技术对磷石膏进行无害化处理，确保在2025年新产生磷石膏实现100%无害化处理，从根本上降低磷石膏污染隐患。无害化处理后暂时不能利用的磷石膏，应当按生态环境、应急管理要求依法依规安全环保分类存放。</w:t>
                  </w:r>
                </w:p>
                <w:p w14:paraId="22D2EC5F">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9.推动昆明市磷石膏综合利用率2023年达到52%，2024年达到64%，2025年确保达到73%，力争达到75%；到2025年底，中心城区污泥无害化处置率达到95%以上，县城污泥无害化处置率达到90%以上。</w:t>
                  </w:r>
                </w:p>
              </w:tc>
              <w:tc>
                <w:tcPr>
                  <w:tcW w:w="1547" w:type="pct"/>
                  <w:noWrap w:val="0"/>
                  <w:vAlign w:val="center"/>
                </w:tcPr>
                <w:p w14:paraId="2B5BF465">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1.</w:t>
                  </w:r>
                  <w:r>
                    <w:rPr>
                      <w:rFonts w:hint="default" w:ascii="Times New Roman" w:hAnsi="Times New Roman" w:cs="Times New Roman" w:eastAsiaTheme="minorEastAsia"/>
                      <w:color w:val="auto"/>
                      <w:kern w:val="0"/>
                      <w:sz w:val="21"/>
                      <w:szCs w:val="21"/>
                      <w:lang w:bidi="ar"/>
                    </w:rPr>
                    <w:t>项目</w:t>
                  </w:r>
                  <w:r>
                    <w:rPr>
                      <w:rFonts w:hint="default" w:ascii="Times New Roman" w:hAnsi="Times New Roman" w:cs="Times New Roman" w:eastAsiaTheme="minorEastAsia"/>
                      <w:color w:val="auto"/>
                      <w:kern w:val="0"/>
                      <w:sz w:val="21"/>
                      <w:szCs w:val="21"/>
                      <w:lang w:val="en-US" w:eastAsia="zh-CN" w:bidi="ar"/>
                    </w:rPr>
                    <w:t>汽车冲洗废水经沉淀池处理后回用于项目洒水降尘；初期雨水经初期雨水收集池收集后回用于汽车冲洗及项目区内洒水降尘；</w:t>
                  </w:r>
                  <w:r>
                    <w:rPr>
                      <w:rFonts w:hint="eastAsia" w:cs="Times New Roman" w:eastAsiaTheme="minorEastAsia"/>
                      <w:color w:val="auto"/>
                      <w:kern w:val="0"/>
                      <w:sz w:val="21"/>
                      <w:szCs w:val="21"/>
                      <w:lang w:val="en-US" w:eastAsia="zh-CN" w:bidi="ar"/>
                    </w:rPr>
                    <w:t>生活污水经化粪池预处理后经项目一体化污水处理设备处理后回用于项目生活区洒水降尘，不外排</w:t>
                  </w:r>
                  <w:r>
                    <w:rPr>
                      <w:rFonts w:hint="default" w:ascii="Times New Roman" w:hAnsi="Times New Roman" w:cs="Times New Roman" w:eastAsiaTheme="minorEastAsia"/>
                      <w:color w:val="auto"/>
                      <w:kern w:val="0"/>
                      <w:sz w:val="21"/>
                      <w:szCs w:val="21"/>
                      <w:lang w:val="en-US" w:eastAsia="zh-CN" w:bidi="ar"/>
                    </w:rPr>
                    <w:t>。</w:t>
                  </w:r>
                </w:p>
                <w:p w14:paraId="0C0E7794">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2.根据下文分析，项目所在区域的环境空气质量能达到</w:t>
                  </w:r>
                  <w:r>
                    <w:rPr>
                      <w:rFonts w:hint="default" w:ascii="Times New Roman" w:hAnsi="Times New Roman" w:cs="Times New Roman" w:eastAsiaTheme="minorEastAsia"/>
                      <w:color w:val="auto"/>
                      <w:kern w:val="0"/>
                      <w:sz w:val="21"/>
                      <w:szCs w:val="21"/>
                      <w:lang w:bidi="ar"/>
                    </w:rPr>
                    <w:t>《环境空气质量标准》（</w:t>
                  </w:r>
                  <w:r>
                    <w:rPr>
                      <w:rFonts w:hint="default" w:ascii="Times New Roman" w:hAnsi="Times New Roman" w:cs="Times New Roman" w:eastAsiaTheme="minorEastAsia"/>
                      <w:color w:val="auto"/>
                      <w:kern w:val="0"/>
                      <w:sz w:val="21"/>
                      <w:szCs w:val="21"/>
                      <w:lang w:val="en-US" w:eastAsia="zh-CN" w:bidi="ar"/>
                    </w:rPr>
                    <w:t>GB3095</w:t>
                  </w:r>
                  <w:r>
                    <w:rPr>
                      <w:rFonts w:hint="default" w:ascii="Times New Roman" w:hAnsi="Times New Roman" w:cs="Times New Roman" w:eastAsiaTheme="minorEastAsia"/>
                      <w:color w:val="auto"/>
                      <w:kern w:val="0"/>
                      <w:sz w:val="21"/>
                      <w:szCs w:val="21"/>
                      <w:lang w:bidi="ar"/>
                    </w:rPr>
                    <w:t>-2012）二级标准及其修改单</w:t>
                  </w:r>
                  <w:r>
                    <w:rPr>
                      <w:rFonts w:hint="default" w:ascii="Times New Roman" w:hAnsi="Times New Roman" w:cs="Times New Roman" w:eastAsiaTheme="minorEastAsia"/>
                      <w:color w:val="auto"/>
                      <w:kern w:val="0"/>
                      <w:sz w:val="21"/>
                      <w:szCs w:val="21"/>
                      <w:lang w:val="en-US" w:eastAsia="zh-CN" w:bidi="ar"/>
                    </w:rPr>
                    <w:t>，各污染物可达标排放，对区域大气环境影响较小。</w:t>
                  </w:r>
                </w:p>
                <w:p w14:paraId="4D50D2B2">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3.</w:t>
                  </w:r>
                  <w:r>
                    <w:rPr>
                      <w:rFonts w:hint="default" w:ascii="Times New Roman" w:hAnsi="Times New Roman" w:cs="Times New Roman" w:eastAsiaTheme="minorEastAsia"/>
                      <w:color w:val="auto"/>
                      <w:kern w:val="0"/>
                      <w:sz w:val="21"/>
                      <w:szCs w:val="21"/>
                      <w:lang w:bidi="ar"/>
                    </w:rPr>
                    <w:t>项目为</w:t>
                  </w:r>
                  <w:r>
                    <w:rPr>
                      <w:rFonts w:hint="default" w:ascii="Times New Roman" w:hAnsi="Times New Roman" w:cs="Times New Roman" w:eastAsiaTheme="minorEastAsia"/>
                      <w:color w:val="auto"/>
                      <w:kern w:val="0"/>
                      <w:sz w:val="21"/>
                      <w:szCs w:val="21"/>
                      <w:lang w:val="en-US" w:eastAsia="zh-CN" w:bidi="ar"/>
                    </w:rPr>
                    <w:t>煤炭仓储业</w:t>
                  </w:r>
                  <w:r>
                    <w:rPr>
                      <w:rFonts w:hint="default" w:ascii="Times New Roman" w:hAnsi="Times New Roman" w:cs="Times New Roman" w:eastAsiaTheme="minorEastAsia"/>
                      <w:color w:val="auto"/>
                      <w:kern w:val="0"/>
                      <w:sz w:val="21"/>
                      <w:szCs w:val="21"/>
                      <w:lang w:bidi="ar"/>
                    </w:rPr>
                    <w:t>，不属于钢铁、</w:t>
                  </w:r>
                  <w:r>
                    <w:rPr>
                      <w:rFonts w:hint="default" w:ascii="Times New Roman" w:hAnsi="Times New Roman" w:cs="Times New Roman" w:eastAsiaTheme="minorEastAsia"/>
                      <w:color w:val="auto"/>
                      <w:kern w:val="0"/>
                      <w:sz w:val="21"/>
                      <w:szCs w:val="21"/>
                      <w:lang w:val="en-US" w:eastAsia="zh-CN" w:bidi="ar"/>
                    </w:rPr>
                    <w:t>锅炉</w:t>
                  </w:r>
                  <w:r>
                    <w:rPr>
                      <w:rFonts w:hint="default" w:ascii="Times New Roman" w:hAnsi="Times New Roman" w:cs="Times New Roman" w:eastAsiaTheme="minorEastAsia"/>
                      <w:color w:val="auto"/>
                      <w:kern w:val="0"/>
                      <w:sz w:val="21"/>
                      <w:szCs w:val="21"/>
                      <w:lang w:bidi="ar"/>
                    </w:rPr>
                    <w:t>行业，不涉及超低排放改造</w:t>
                  </w:r>
                  <w:r>
                    <w:rPr>
                      <w:rFonts w:hint="default" w:ascii="Times New Roman" w:hAnsi="Times New Roman" w:cs="Times New Roman" w:eastAsiaTheme="minorEastAsia"/>
                      <w:color w:val="auto"/>
                      <w:kern w:val="0"/>
                      <w:sz w:val="21"/>
                      <w:szCs w:val="21"/>
                      <w:lang w:eastAsia="zh-CN" w:bidi="ar"/>
                    </w:rPr>
                    <w:t>。</w:t>
                  </w:r>
                </w:p>
                <w:p w14:paraId="35B92C27">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4.项目不涉及VOC</w:t>
                  </w:r>
                  <w:r>
                    <w:rPr>
                      <w:rFonts w:hint="default" w:ascii="Times New Roman" w:hAnsi="Times New Roman" w:cs="Times New Roman" w:eastAsiaTheme="minorEastAsia"/>
                      <w:color w:val="auto"/>
                      <w:kern w:val="0"/>
                      <w:sz w:val="21"/>
                      <w:szCs w:val="21"/>
                      <w:vertAlign w:val="subscript"/>
                      <w:lang w:val="en-US" w:eastAsia="zh-CN" w:bidi="ar"/>
                    </w:rPr>
                    <w:t>S</w:t>
                  </w:r>
                  <w:r>
                    <w:rPr>
                      <w:rFonts w:hint="default" w:ascii="Times New Roman" w:hAnsi="Times New Roman" w:cs="Times New Roman" w:eastAsiaTheme="minorEastAsia"/>
                      <w:color w:val="auto"/>
                      <w:kern w:val="0"/>
                      <w:sz w:val="21"/>
                      <w:szCs w:val="21"/>
                      <w:lang w:val="en-US" w:eastAsia="zh-CN" w:bidi="ar"/>
                    </w:rPr>
                    <w:t>的排放。</w:t>
                  </w:r>
                </w:p>
                <w:p w14:paraId="13CA9BF1">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5.项目不涉及</w:t>
                  </w:r>
                  <w:r>
                    <w:rPr>
                      <w:rFonts w:hint="default" w:ascii="Times New Roman" w:hAnsi="Times New Roman" w:cs="Times New Roman" w:eastAsiaTheme="minorEastAsia"/>
                      <w:color w:val="auto"/>
                      <w:kern w:val="0"/>
                      <w:sz w:val="21"/>
                      <w:szCs w:val="21"/>
                      <w:lang w:bidi="ar"/>
                    </w:rPr>
                    <w:t>农业废弃物综合利用</w:t>
                  </w:r>
                  <w:r>
                    <w:rPr>
                      <w:rFonts w:hint="default" w:ascii="Times New Roman" w:hAnsi="Times New Roman" w:cs="Times New Roman" w:eastAsiaTheme="minorEastAsia"/>
                      <w:color w:val="auto"/>
                      <w:kern w:val="0"/>
                      <w:sz w:val="21"/>
                      <w:szCs w:val="21"/>
                      <w:lang w:val="en-US" w:eastAsia="zh-CN" w:bidi="ar"/>
                    </w:rPr>
                    <w:t>。</w:t>
                  </w:r>
                </w:p>
                <w:p w14:paraId="7794574C">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6.项目位于项目位于寻甸县金所街道三月三路中段，属于</w:t>
                  </w:r>
                  <w:r>
                    <w:rPr>
                      <w:rFonts w:hint="default" w:ascii="Times New Roman" w:hAnsi="Times New Roman" w:cs="Times New Roman" w:eastAsiaTheme="minorEastAsia"/>
                      <w:color w:val="auto"/>
                      <w:kern w:val="0"/>
                      <w:sz w:val="21"/>
                      <w:szCs w:val="21"/>
                      <w:lang w:bidi="ar"/>
                    </w:rPr>
                    <w:t>牛栏江流域</w:t>
                  </w:r>
                  <w:r>
                    <w:rPr>
                      <w:rFonts w:hint="default" w:ascii="Times New Roman" w:hAnsi="Times New Roman" w:cs="Times New Roman" w:eastAsiaTheme="minorEastAsia"/>
                      <w:color w:val="auto"/>
                      <w:kern w:val="0"/>
                      <w:sz w:val="21"/>
                      <w:szCs w:val="21"/>
                      <w:lang w:eastAsia="zh-CN" w:bidi="ar"/>
                    </w:rPr>
                    <w:t>，</w:t>
                  </w:r>
                  <w:r>
                    <w:rPr>
                      <w:rFonts w:hint="default" w:ascii="Times New Roman" w:hAnsi="Times New Roman" w:cs="Times New Roman" w:eastAsiaTheme="minorEastAsia"/>
                      <w:color w:val="auto"/>
                      <w:kern w:val="0"/>
                      <w:sz w:val="21"/>
                      <w:szCs w:val="21"/>
                      <w:lang w:val="en-US" w:eastAsia="zh-CN" w:bidi="ar"/>
                    </w:rPr>
                    <w:t>不属于滇池流域。</w:t>
                  </w:r>
                </w:p>
                <w:p w14:paraId="01149930">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7.项目位于项目位于寻甸县金所街道三月三路中段，属于</w:t>
                  </w:r>
                  <w:r>
                    <w:rPr>
                      <w:rFonts w:hint="default" w:ascii="Times New Roman" w:hAnsi="Times New Roman" w:cs="Times New Roman" w:eastAsiaTheme="minorEastAsia"/>
                      <w:color w:val="auto"/>
                      <w:kern w:val="0"/>
                      <w:sz w:val="21"/>
                      <w:szCs w:val="21"/>
                      <w:lang w:bidi="ar"/>
                    </w:rPr>
                    <w:t>牛栏江流域</w:t>
                  </w:r>
                  <w:r>
                    <w:rPr>
                      <w:rFonts w:hint="default" w:ascii="Times New Roman" w:hAnsi="Times New Roman" w:cs="Times New Roman" w:eastAsiaTheme="minorEastAsia"/>
                      <w:color w:val="auto"/>
                      <w:kern w:val="0"/>
                      <w:sz w:val="21"/>
                      <w:szCs w:val="21"/>
                      <w:lang w:eastAsia="zh-CN" w:bidi="ar"/>
                    </w:rPr>
                    <w:t>，</w:t>
                  </w:r>
                  <w:r>
                    <w:rPr>
                      <w:rFonts w:hint="default" w:ascii="Times New Roman" w:hAnsi="Times New Roman" w:cs="Times New Roman" w:eastAsiaTheme="minorEastAsia"/>
                      <w:color w:val="auto"/>
                      <w:kern w:val="0"/>
                      <w:sz w:val="21"/>
                      <w:szCs w:val="21"/>
                      <w:lang w:val="en-US" w:eastAsia="zh-CN" w:bidi="ar"/>
                    </w:rPr>
                    <w:t>不属于阳宗海流域。</w:t>
                  </w:r>
                </w:p>
                <w:p w14:paraId="45D3B993">
                  <w:pPr>
                    <w:pageBreakBefore w:val="0"/>
                    <w:widowControl/>
                    <w:kinsoku/>
                    <w:wordWrap w:val="0"/>
                    <w:overflowPunct/>
                    <w:topLinePunct w:val="0"/>
                    <w:autoSpaceDE/>
                    <w:autoSpaceDN/>
                    <w:bidi w:val="0"/>
                    <w:adjustRightInd/>
                    <w:snapToGrid w:val="0"/>
                    <w:spacing w:line="240" w:lineRule="auto"/>
                    <w:ind w:firstLine="0" w:firstLineChars="0"/>
                    <w:jc w:val="both"/>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8.</w:t>
                  </w:r>
                  <w:r>
                    <w:rPr>
                      <w:rFonts w:hint="default" w:ascii="Times New Roman" w:hAnsi="Times New Roman" w:cs="Times New Roman" w:eastAsiaTheme="minorEastAsia"/>
                      <w:color w:val="auto"/>
                      <w:kern w:val="0"/>
                      <w:sz w:val="21"/>
                      <w:szCs w:val="21"/>
                      <w:lang w:bidi="ar"/>
                    </w:rPr>
                    <w:t>项目为</w:t>
                  </w:r>
                  <w:r>
                    <w:rPr>
                      <w:rFonts w:hint="default" w:ascii="Times New Roman" w:hAnsi="Times New Roman" w:cs="Times New Roman" w:eastAsiaTheme="minorEastAsia"/>
                      <w:color w:val="auto"/>
                      <w:kern w:val="0"/>
                      <w:sz w:val="21"/>
                      <w:szCs w:val="21"/>
                      <w:lang w:val="en-US" w:eastAsia="zh-CN" w:bidi="ar"/>
                    </w:rPr>
                    <w:t>煤炭仓储业</w:t>
                  </w:r>
                  <w:r>
                    <w:rPr>
                      <w:rFonts w:hint="default" w:ascii="Times New Roman" w:hAnsi="Times New Roman" w:cs="Times New Roman" w:eastAsiaTheme="minorEastAsia"/>
                      <w:color w:val="auto"/>
                      <w:kern w:val="0"/>
                      <w:sz w:val="21"/>
                      <w:szCs w:val="21"/>
                      <w:lang w:bidi="ar"/>
                    </w:rPr>
                    <w:t>，不属于</w:t>
                  </w:r>
                  <w:r>
                    <w:rPr>
                      <w:rFonts w:hint="default" w:ascii="Times New Roman" w:hAnsi="Times New Roman" w:cs="Times New Roman" w:eastAsiaTheme="minorEastAsia"/>
                      <w:color w:val="auto"/>
                      <w:kern w:val="0"/>
                      <w:sz w:val="21"/>
                      <w:szCs w:val="21"/>
                      <w:lang w:val="en-US" w:eastAsia="zh-CN" w:bidi="ar"/>
                    </w:rPr>
                    <w:t>磷石膏产生企业。</w:t>
                  </w:r>
                </w:p>
              </w:tc>
              <w:tc>
                <w:tcPr>
                  <w:tcW w:w="577" w:type="pct"/>
                  <w:noWrap w:val="0"/>
                  <w:vAlign w:val="center"/>
                </w:tcPr>
                <w:p w14:paraId="28339B9E">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符合</w:t>
                  </w:r>
                </w:p>
              </w:tc>
            </w:tr>
            <w:tr w14:paraId="398F6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21" w:type="pct"/>
                  <w:noWrap w:val="0"/>
                  <w:vAlign w:val="center"/>
                </w:tcPr>
                <w:p w14:paraId="43675FC7">
                  <w:pPr>
                    <w:pStyle w:val="4"/>
                    <w:pageBreakBefore w:val="0"/>
                    <w:kinsoku/>
                    <w:wordWrap w:val="0"/>
                    <w:overflowPunct/>
                    <w:topLinePunct w:val="0"/>
                    <w:autoSpaceDE/>
                    <w:autoSpaceDN/>
                    <w:bidi w:val="0"/>
                    <w:adjustRightInd/>
                    <w:spacing w:before="0" w:beforeLines="0" w:after="0" w:afterLines="0" w:line="240" w:lineRule="auto"/>
                    <w:ind w:left="0" w:leftChars="0" w:firstLine="0" w:firstLineChars="0"/>
                    <w:jc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sz w:val="21"/>
                      <w:szCs w:val="21"/>
                    </w:rPr>
                    <w:t>环境风险防控</w:t>
                  </w:r>
                </w:p>
              </w:tc>
              <w:tc>
                <w:tcPr>
                  <w:tcW w:w="2353" w:type="pct"/>
                  <w:noWrap w:val="0"/>
                  <w:vAlign w:val="center"/>
                </w:tcPr>
                <w:p w14:paraId="0207E638">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1.加大放射性物质、电磁辐射、危险废物、医疗废物、尾矿库渣场、危险化学品、重金属等风险要素防控力度，全过程监控风险要素产生、使用、储存、运输、处理处置，实现智能化预警与报警，有效降低各类环境风险。</w:t>
                  </w:r>
                </w:p>
                <w:p w14:paraId="757FCBF2">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2.针对持久性有机污染物、内分泌干扰物等新污染物，制定实施新污染物治理行动方案，开展新污染物筛查与评估，建立清单，开展化学物质生产使用信息调查，实施调查监测和环境风险评估。</w:t>
                  </w:r>
                </w:p>
                <w:p w14:paraId="54245B7D">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3.开展重点区域、重点领域环境风险调查评估，加强源头预防、过程管控、末端治理；建设环境应急技术库和物资库，推动各地更新扩充应急物资和防护装备，提升环境应急指挥信息化水平，完善环境应急管理体系。</w:t>
                  </w:r>
                </w:p>
                <w:p w14:paraId="5E4DB2D1">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4.开展“千吨万人”农村饮用水水源保护区环境风险排查整治，加强农村水源水质监测。</w:t>
                  </w:r>
                </w:p>
                <w:p w14:paraId="5577BBB4">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5.以涉危险废物、涉重金属企业为重点，合理布设生产设施，强化应急导流槽、事故调蓄池、雨污总排口应急闸坝等事故排水收集截留设施，以及传输泵、配套管线、应急发电等事故水输送设施等建设，合理设置消防事故水池和雨水监测池。</w:t>
                  </w:r>
                </w:p>
                <w:p w14:paraId="5AD95769">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6.严格新（改、扩）建尾矿库环境准入，健全尾矿库环境监管清单，加强尾矿库分类分级环境监管。严格落实《云南省尾矿库专项整治工作实施方案》。</w:t>
                  </w:r>
                </w:p>
              </w:tc>
              <w:tc>
                <w:tcPr>
                  <w:tcW w:w="1547" w:type="pct"/>
                  <w:noWrap w:val="0"/>
                  <w:vAlign w:val="center"/>
                </w:tcPr>
                <w:p w14:paraId="205D4938">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项目不涉及</w:t>
                  </w:r>
                  <w:r>
                    <w:rPr>
                      <w:rFonts w:hint="default" w:ascii="Times New Roman" w:hAnsi="Times New Roman" w:cs="Times New Roman" w:eastAsiaTheme="minorEastAsia"/>
                      <w:color w:val="auto"/>
                      <w:kern w:val="0"/>
                      <w:sz w:val="21"/>
                      <w:szCs w:val="21"/>
                      <w:lang w:bidi="ar"/>
                    </w:rPr>
                    <w:t>放射性物质、电磁辐射、危险废物、医疗废物、尾矿库渣场、危险化学品、持久性有机污染物、内分泌干扰物</w:t>
                  </w:r>
                  <w:r>
                    <w:rPr>
                      <w:rFonts w:hint="default" w:ascii="Times New Roman" w:hAnsi="Times New Roman" w:cs="Times New Roman" w:eastAsiaTheme="minorEastAsia"/>
                      <w:color w:val="auto"/>
                      <w:kern w:val="0"/>
                      <w:sz w:val="21"/>
                      <w:szCs w:val="21"/>
                      <w:lang w:eastAsia="zh-CN" w:bidi="ar"/>
                    </w:rPr>
                    <w:t>、</w:t>
                  </w:r>
                  <w:r>
                    <w:rPr>
                      <w:rFonts w:hint="default" w:ascii="Times New Roman" w:hAnsi="Times New Roman" w:cs="Times New Roman" w:eastAsiaTheme="minorEastAsia"/>
                      <w:color w:val="auto"/>
                      <w:kern w:val="0"/>
                      <w:sz w:val="21"/>
                      <w:szCs w:val="21"/>
                      <w:lang w:bidi="ar"/>
                    </w:rPr>
                    <w:t>重金属等风险</w:t>
                  </w:r>
                  <w:r>
                    <w:rPr>
                      <w:rFonts w:hint="default" w:ascii="Times New Roman" w:hAnsi="Times New Roman" w:cs="Times New Roman" w:eastAsiaTheme="minorEastAsia"/>
                      <w:color w:val="auto"/>
                      <w:kern w:val="0"/>
                      <w:sz w:val="21"/>
                      <w:szCs w:val="21"/>
                      <w:lang w:eastAsia="zh-CN" w:bidi="ar"/>
                    </w:rPr>
                    <w:t>，</w:t>
                  </w:r>
                  <w:r>
                    <w:rPr>
                      <w:rFonts w:hint="default" w:ascii="Times New Roman" w:hAnsi="Times New Roman" w:cs="Times New Roman" w:eastAsiaTheme="minorEastAsia"/>
                      <w:color w:val="auto"/>
                      <w:kern w:val="0"/>
                      <w:sz w:val="21"/>
                      <w:szCs w:val="21"/>
                      <w:lang w:val="en-US" w:eastAsia="zh-CN" w:bidi="ar"/>
                    </w:rPr>
                    <w:t>不属于尾矿库。</w:t>
                  </w:r>
                </w:p>
                <w:p w14:paraId="554D1FF4">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val="en-US" w:eastAsia="zh-CN" w:bidi="ar"/>
                    </w:rPr>
                    <w:t>根据下文分析，项目环境风险物质为废机油，</w:t>
                  </w:r>
                  <w:r>
                    <w:rPr>
                      <w:rFonts w:hint="default" w:ascii="Times New Roman" w:hAnsi="Times New Roman" w:cs="Times New Roman" w:eastAsiaTheme="minorEastAsia"/>
                      <w:color w:val="auto"/>
                      <w:kern w:val="0"/>
                      <w:sz w:val="21"/>
                      <w:szCs w:val="21"/>
                      <w:lang w:eastAsia="zh-CN" w:bidi="ar"/>
                    </w:rPr>
                    <w:t>项目环境风险潜势为I。</w:t>
                  </w:r>
                  <w:r>
                    <w:rPr>
                      <w:rFonts w:hint="default" w:ascii="Times New Roman" w:hAnsi="Times New Roman" w:cs="Times New Roman" w:eastAsiaTheme="minorEastAsia"/>
                      <w:color w:val="auto"/>
                      <w:kern w:val="0"/>
                      <w:sz w:val="21"/>
                      <w:szCs w:val="21"/>
                      <w:lang w:bidi="ar"/>
                    </w:rPr>
                    <w:t>本次评价要求建设单位尽快编制完成突发环境事件应急预案，并完成备案</w:t>
                  </w:r>
                  <w:r>
                    <w:rPr>
                      <w:rFonts w:hint="default" w:ascii="Times New Roman" w:hAnsi="Times New Roman" w:cs="Times New Roman" w:eastAsiaTheme="minorEastAsia"/>
                      <w:color w:val="auto"/>
                      <w:kern w:val="0"/>
                      <w:sz w:val="21"/>
                      <w:szCs w:val="21"/>
                      <w:lang w:eastAsia="zh-CN" w:bidi="ar"/>
                    </w:rPr>
                    <w:t>，</w:t>
                  </w:r>
                  <w:r>
                    <w:rPr>
                      <w:rFonts w:hint="default" w:ascii="Times New Roman" w:hAnsi="Times New Roman" w:cs="Times New Roman" w:eastAsiaTheme="minorEastAsia"/>
                      <w:color w:val="auto"/>
                      <w:kern w:val="0"/>
                      <w:sz w:val="21"/>
                      <w:szCs w:val="21"/>
                      <w:lang w:val="en-US" w:eastAsia="zh-CN" w:bidi="ar"/>
                    </w:rPr>
                    <w:t>后期</w:t>
                  </w:r>
                  <w:r>
                    <w:rPr>
                      <w:rFonts w:hint="default" w:ascii="Times New Roman" w:hAnsi="Times New Roman" w:cs="Times New Roman" w:eastAsiaTheme="minorEastAsia"/>
                      <w:color w:val="auto"/>
                      <w:kern w:val="0"/>
                      <w:sz w:val="21"/>
                      <w:szCs w:val="21"/>
                      <w:lang w:bidi="ar"/>
                    </w:rPr>
                    <w:t>定期组织开展预案演练</w:t>
                  </w:r>
                  <w:r>
                    <w:rPr>
                      <w:rFonts w:hint="default" w:ascii="Times New Roman" w:hAnsi="Times New Roman" w:cs="Times New Roman" w:eastAsiaTheme="minorEastAsia"/>
                      <w:color w:val="auto"/>
                      <w:kern w:val="0"/>
                      <w:sz w:val="21"/>
                      <w:szCs w:val="21"/>
                      <w:lang w:eastAsia="zh-CN" w:bidi="ar"/>
                    </w:rPr>
                    <w:t>。</w:t>
                  </w:r>
                </w:p>
              </w:tc>
              <w:tc>
                <w:tcPr>
                  <w:tcW w:w="577" w:type="pct"/>
                  <w:noWrap w:val="0"/>
                  <w:vAlign w:val="center"/>
                </w:tcPr>
                <w:p w14:paraId="2A71D6D1">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符合</w:t>
                  </w:r>
                </w:p>
              </w:tc>
            </w:tr>
            <w:tr w14:paraId="19BE7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21" w:type="pct"/>
                  <w:noWrap w:val="0"/>
                  <w:vAlign w:val="center"/>
                </w:tcPr>
                <w:p w14:paraId="53FBB087">
                  <w:pPr>
                    <w:pStyle w:val="4"/>
                    <w:pageBreakBefore w:val="0"/>
                    <w:kinsoku/>
                    <w:wordWrap w:val="0"/>
                    <w:overflowPunct/>
                    <w:topLinePunct w:val="0"/>
                    <w:autoSpaceDE/>
                    <w:autoSpaceDN/>
                    <w:bidi w:val="0"/>
                    <w:adjustRightInd/>
                    <w:spacing w:before="0" w:beforeLines="0" w:after="0" w:afterLines="0" w:line="240" w:lineRule="auto"/>
                    <w:ind w:left="0" w:leftChars="0" w:firstLine="0" w:firstLineChars="0"/>
                    <w:jc w:val="both"/>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sz w:val="21"/>
                      <w:szCs w:val="21"/>
                    </w:rPr>
                    <w:t>资源开发利用效</w:t>
                  </w:r>
                  <w:r>
                    <w:rPr>
                      <w:rFonts w:hint="default" w:ascii="Times New Roman" w:hAnsi="Times New Roman" w:cs="Times New Roman" w:eastAsiaTheme="minorEastAsia"/>
                      <w:color w:val="auto"/>
                      <w:sz w:val="21"/>
                      <w:szCs w:val="21"/>
                      <w:lang w:val="en-US" w:eastAsia="zh-CN"/>
                    </w:rPr>
                    <w:t xml:space="preserve"> </w:t>
                  </w:r>
                  <w:r>
                    <w:rPr>
                      <w:rFonts w:hint="default" w:ascii="Times New Roman" w:hAnsi="Times New Roman" w:cs="Times New Roman" w:eastAsiaTheme="minorEastAsia"/>
                      <w:color w:val="auto"/>
                      <w:sz w:val="21"/>
                      <w:szCs w:val="21"/>
                    </w:rPr>
                    <w:t>率</w:t>
                  </w:r>
                </w:p>
              </w:tc>
              <w:tc>
                <w:tcPr>
                  <w:tcW w:w="2353" w:type="pct"/>
                  <w:noWrap w:val="0"/>
                  <w:vAlign w:val="center"/>
                </w:tcPr>
                <w:p w14:paraId="1C85D6B3">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1.到2025年，基本建成与经济社会高质量发展和生态文明建设要求相适应、与由全面建成小康社会向基本实现现代化迈进起步期相协同的水安全保障体系。</w:t>
                  </w:r>
                </w:p>
                <w:p w14:paraId="30D168CC">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2.节水型生产和生活方式初步建立，用水效率和效益显著提高，全社会节水意识明显增强，新时代节水型社会基本建成。全市用水总量控制在35.48亿m3以内，万元GDP用水量较2020年下降10%，万元工业增加值用水量较2020年下降10%，农田灌溉水有效利用系数提高到0.55以上。</w:t>
                  </w:r>
                </w:p>
                <w:p w14:paraId="23066092">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3.万元工业增加值用水量≤30（立方米/万元）。</w:t>
                  </w:r>
                </w:p>
                <w:p w14:paraId="17D01A74">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4.2025年底前，全市单位地区生产总值能源消耗较2020年下降14%，能源消费总量得到合理控制。</w:t>
                  </w:r>
                </w:p>
                <w:p w14:paraId="015A0940">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5.单位GDP能源消耗累计下降23.6%，不低于省级下达目标。</w:t>
                  </w:r>
                </w:p>
                <w:p w14:paraId="7C40333A">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6.对照国家有关高耗能行业重点领域能效标杆水平，实施钢铁、有色金属、冶炼等17个高耗能行业节能降碳改造升级，加快提升重点行业、企业能效水平。</w:t>
                  </w:r>
                </w:p>
                <w:p w14:paraId="1FA8B61E">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7.加强节能监察和探索用能预算管理，实施电机、变压器等重点用能设备能效提升三年行动，推广先进节能技术。</w:t>
                  </w:r>
                </w:p>
                <w:p w14:paraId="73D589B6">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8.到2025年，钢铁行业全面完成超低排放改造。</w:t>
                  </w:r>
                </w:p>
                <w:p w14:paraId="55AF86AD">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9.加快推进有色、化工、印染、烟草等行业清洁生产和工业废水资源化利用。</w:t>
                  </w:r>
                </w:p>
                <w:p w14:paraId="34C57B42">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10.到2025年，全市新建大型及以上数据中心绿色低碳等级达到4A以上，电源使用效率（PUE）达到1.3以下，逐步组织电源使用效率超过1.5的数据中心进行节能降碳改造。</w:t>
                  </w:r>
                </w:p>
                <w:p w14:paraId="686F8D85">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11.“十四五”期间，全市规模以上工业单位增加值能耗下降14.5%，万元工业增加值用水量下降12%。</w:t>
                  </w:r>
                </w:p>
                <w:p w14:paraId="34CFF422">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12.到2025年，通过实施节能降碳提升工程，钢铁、电解铝、水泥、平板玻璃、炼油、乙烯、合成氨、电石等重点行业产能和数据中心达到能效标杆水平的比例超过30%。</w:t>
                  </w:r>
                </w:p>
                <w:p w14:paraId="6B40DD8A">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13.公共机构单位建筑面积碳排放量比2020年下降7%。</w:t>
                  </w:r>
                </w:p>
                <w:p w14:paraId="7A5DBCA7">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14.非化石能源消费占一次能源消费比重达到40%以上，完成省级下达目标。</w:t>
                  </w:r>
                </w:p>
                <w:p w14:paraId="79E4B06B">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15.单位GDP二氧化碳排放累计下降23%，不低于省级下达目标。</w:t>
                  </w:r>
                </w:p>
                <w:p w14:paraId="400C890D">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16.严把新上项目的碳排放关，严格环境影响评价审批，加强固定资产投资项目节能审查，推动新建“两高一低”项目能效水平应提尽提。</w:t>
                  </w:r>
                </w:p>
                <w:p w14:paraId="2127E266">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17.以六大高耗能行业为重点，全面梳理形成拟建、在建、存量“两高一低”项目清单，实行清单管理、分类处置、动态监控。加强“两高一低”项目全过程监管，严肃查处不符合政策要求、违规审批、未批先建、批建不符、超标用能排污的“两高一低”项目。</w:t>
                  </w:r>
                </w:p>
                <w:p w14:paraId="06559541">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18.加快淘汰落后和低端低效产能退出。</w:t>
                  </w:r>
                </w:p>
                <w:p w14:paraId="68FAD3FF">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19.指导金融机构加强“两高一低”项目贷前审核。</w:t>
                  </w:r>
                </w:p>
              </w:tc>
              <w:tc>
                <w:tcPr>
                  <w:tcW w:w="1547" w:type="pct"/>
                  <w:noWrap w:val="0"/>
                  <w:vAlign w:val="center"/>
                </w:tcPr>
                <w:p w14:paraId="518AD834">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bidi="ar"/>
                    </w:rPr>
                    <w:t>项目为</w:t>
                  </w:r>
                  <w:r>
                    <w:rPr>
                      <w:rFonts w:hint="default" w:ascii="Times New Roman" w:hAnsi="Times New Roman" w:cs="Times New Roman" w:eastAsiaTheme="minorEastAsia"/>
                      <w:color w:val="auto"/>
                      <w:kern w:val="0"/>
                      <w:sz w:val="21"/>
                      <w:szCs w:val="21"/>
                      <w:lang w:val="en-US" w:eastAsia="zh-CN" w:bidi="ar"/>
                    </w:rPr>
                    <w:t>煤炭仓储业，不属于“两高一低”项目，不属于高能耗行业；</w:t>
                  </w:r>
                </w:p>
                <w:p w14:paraId="3D581BD3">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bidi="ar"/>
                    </w:rPr>
                    <w:t>项目</w:t>
                  </w:r>
                  <w:r>
                    <w:rPr>
                      <w:rFonts w:hint="default" w:ascii="Times New Roman" w:hAnsi="Times New Roman" w:cs="Times New Roman" w:eastAsiaTheme="minorEastAsia"/>
                      <w:color w:val="auto"/>
                      <w:kern w:val="0"/>
                      <w:sz w:val="21"/>
                      <w:szCs w:val="21"/>
                      <w:lang w:val="en-US" w:eastAsia="zh-CN" w:bidi="ar"/>
                    </w:rPr>
                    <w:t>汽车冲洗废水经沉淀池处理后回用于项目洒水降尘；初期雨水经初期雨水收集池收集后回用于汽车冲洗及项目区内洒水降尘；</w:t>
                  </w:r>
                  <w:r>
                    <w:rPr>
                      <w:rFonts w:hint="eastAsia" w:cs="Times New Roman" w:eastAsiaTheme="minorEastAsia"/>
                      <w:color w:val="auto"/>
                      <w:kern w:val="0"/>
                      <w:sz w:val="21"/>
                      <w:szCs w:val="21"/>
                      <w:lang w:val="en-US" w:eastAsia="zh-CN" w:bidi="ar"/>
                    </w:rPr>
                    <w:t>生活污水经化粪池预处理后经项目一体化污水处理设备处理后回用于项目生活区洒水降尘，不外排</w:t>
                  </w:r>
                  <w:r>
                    <w:rPr>
                      <w:rFonts w:hint="default" w:ascii="Times New Roman" w:hAnsi="Times New Roman" w:cs="Times New Roman" w:eastAsiaTheme="minorEastAsia"/>
                      <w:color w:val="auto"/>
                      <w:kern w:val="0"/>
                      <w:sz w:val="21"/>
                      <w:szCs w:val="21"/>
                      <w:lang w:val="en-US" w:eastAsia="zh-CN" w:bidi="ar"/>
                    </w:rPr>
                    <w:t>；</w:t>
                  </w:r>
                </w:p>
                <w:p w14:paraId="11F6F01E">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eastAsia="zh-CN" w:bidi="ar"/>
                    </w:rPr>
                  </w:pPr>
                  <w:r>
                    <w:rPr>
                      <w:rFonts w:hint="default" w:ascii="Times New Roman" w:hAnsi="Times New Roman" w:cs="Times New Roman" w:eastAsiaTheme="minorEastAsia"/>
                      <w:color w:val="auto"/>
                      <w:kern w:val="0"/>
                      <w:sz w:val="21"/>
                      <w:szCs w:val="21"/>
                      <w:lang w:bidi="ar"/>
                    </w:rPr>
                    <w:t>生产过程中</w:t>
                  </w:r>
                  <w:r>
                    <w:rPr>
                      <w:rFonts w:hint="default" w:ascii="Times New Roman" w:hAnsi="Times New Roman" w:cs="Times New Roman" w:eastAsiaTheme="minorEastAsia"/>
                      <w:color w:val="auto"/>
                      <w:kern w:val="0"/>
                      <w:sz w:val="21"/>
                      <w:szCs w:val="21"/>
                      <w:lang w:val="en-US" w:eastAsia="zh-CN" w:bidi="ar"/>
                    </w:rPr>
                    <w:t>使用能源为</w:t>
                  </w:r>
                  <w:r>
                    <w:rPr>
                      <w:rFonts w:hint="default" w:ascii="Times New Roman" w:hAnsi="Times New Roman" w:cs="Times New Roman" w:eastAsiaTheme="minorEastAsia"/>
                      <w:color w:val="auto"/>
                      <w:kern w:val="0"/>
                      <w:sz w:val="21"/>
                      <w:szCs w:val="21"/>
                      <w:lang w:bidi="ar"/>
                    </w:rPr>
                    <w:t>电能</w:t>
                  </w:r>
                  <w:r>
                    <w:rPr>
                      <w:rFonts w:hint="default" w:ascii="Times New Roman" w:hAnsi="Times New Roman" w:cs="Times New Roman" w:eastAsiaTheme="minorEastAsia"/>
                      <w:color w:val="auto"/>
                      <w:kern w:val="0"/>
                      <w:sz w:val="21"/>
                      <w:szCs w:val="21"/>
                      <w:lang w:val="en-US" w:eastAsia="zh-CN" w:bidi="ar"/>
                    </w:rPr>
                    <w:t>、水等</w:t>
                  </w:r>
                  <w:r>
                    <w:rPr>
                      <w:rFonts w:hint="default" w:ascii="Times New Roman" w:hAnsi="Times New Roman" w:cs="Times New Roman" w:eastAsiaTheme="minorEastAsia"/>
                      <w:color w:val="auto"/>
                      <w:kern w:val="0"/>
                      <w:sz w:val="21"/>
                      <w:szCs w:val="21"/>
                      <w:lang w:bidi="ar"/>
                    </w:rPr>
                    <w:t>，且能耗不高</w:t>
                  </w:r>
                  <w:r>
                    <w:rPr>
                      <w:rFonts w:hint="default" w:ascii="Times New Roman" w:hAnsi="Times New Roman" w:cs="Times New Roman" w:eastAsiaTheme="minorEastAsia"/>
                      <w:color w:val="auto"/>
                      <w:kern w:val="0"/>
                      <w:sz w:val="21"/>
                      <w:szCs w:val="21"/>
                      <w:lang w:eastAsia="zh-CN" w:bidi="ar"/>
                    </w:rPr>
                    <w:t>。</w:t>
                  </w:r>
                  <w:r>
                    <w:rPr>
                      <w:rFonts w:hint="default" w:ascii="Times New Roman" w:hAnsi="Times New Roman" w:cs="Times New Roman" w:eastAsiaTheme="minorEastAsia"/>
                      <w:color w:val="auto"/>
                      <w:kern w:val="0"/>
                      <w:sz w:val="21"/>
                      <w:szCs w:val="21"/>
                      <w:lang w:val="en-US" w:eastAsia="zh-CN" w:bidi="ar"/>
                    </w:rPr>
                    <w:t>项目属于《产业结构调整指导目录(2024年本)》目录中的允许类项</w:t>
                  </w:r>
                  <w:r>
                    <w:rPr>
                      <w:rFonts w:hint="default" w:ascii="Times New Roman" w:hAnsi="Times New Roman" w:cs="Times New Roman" w:eastAsiaTheme="minorEastAsia"/>
                      <w:color w:val="auto"/>
                      <w:kern w:val="0"/>
                      <w:sz w:val="21"/>
                      <w:szCs w:val="21"/>
                      <w:lang w:bidi="ar"/>
                    </w:rPr>
                    <w:t>目，符合国家产业政策</w:t>
                  </w:r>
                  <w:r>
                    <w:rPr>
                      <w:rFonts w:hint="default" w:ascii="Times New Roman" w:hAnsi="Times New Roman" w:cs="Times New Roman" w:eastAsiaTheme="minorEastAsia"/>
                      <w:color w:val="auto"/>
                      <w:kern w:val="0"/>
                      <w:sz w:val="21"/>
                      <w:szCs w:val="21"/>
                      <w:lang w:eastAsia="zh-CN" w:bidi="ar"/>
                    </w:rPr>
                    <w:t>。</w:t>
                  </w:r>
                </w:p>
              </w:tc>
              <w:tc>
                <w:tcPr>
                  <w:tcW w:w="577" w:type="pct"/>
                  <w:noWrap w:val="0"/>
                  <w:vAlign w:val="center"/>
                </w:tcPr>
                <w:p w14:paraId="0EE12DAC">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符合</w:t>
                  </w:r>
                </w:p>
              </w:tc>
            </w:tr>
          </w:tbl>
          <w:p w14:paraId="24C124DB">
            <w:pPr>
              <w:keepNext w:val="0"/>
              <w:keepLines w:val="0"/>
              <w:pageBreakBefore w:val="0"/>
              <w:widowControl/>
              <w:kinsoku/>
              <w:wordWrap w:val="0"/>
              <w:overflowPunct/>
              <w:topLinePunct/>
              <w:autoSpaceDE/>
              <w:autoSpaceDN/>
              <w:bidi w:val="0"/>
              <w:adjustRightInd w:val="0"/>
              <w:snapToGrid w:val="0"/>
              <w:spacing w:before="0" w:after="0" w:line="240" w:lineRule="auto"/>
              <w:ind w:right="0"/>
              <w:jc w:val="both"/>
              <w:textAlignment w:val="baseline"/>
              <w:rPr>
                <w:rFonts w:hint="default" w:ascii="Times New Roman" w:hAnsi="Times New Roman" w:eastAsia="Times New Roman" w:cs="Times New Roman"/>
                <w:b/>
                <w:bCs/>
                <w:snapToGrid w:val="0"/>
                <w:color w:val="auto"/>
                <w:kern w:val="0"/>
                <w:sz w:val="21"/>
                <w:szCs w:val="21"/>
                <w:lang w:val="en-US" w:eastAsia="zh-CN" w:bidi="ar-SA"/>
              </w:rPr>
            </w:pPr>
          </w:p>
          <w:p w14:paraId="07BA7A51">
            <w:pPr>
              <w:pageBreakBefore w:val="0"/>
              <w:kinsoku/>
              <w:wordWrap w:val="0"/>
              <w:overflowPunct/>
              <w:bidi w:val="0"/>
              <w:spacing w:line="360" w:lineRule="auto"/>
              <w:ind w:firstLine="480" w:firstLineChars="200"/>
              <w:rPr>
                <w:rFonts w:hint="default" w:ascii="Times New Roman" w:hAnsi="Times New Roman" w:eastAsia="Times New Roman" w:cs="Times New Roman"/>
                <w:b/>
                <w:bCs/>
                <w:snapToGrid w:val="0"/>
                <w:color w:val="auto"/>
                <w:kern w:val="0"/>
                <w:sz w:val="24"/>
                <w:szCs w:val="24"/>
                <w:lang w:val="en-US" w:eastAsia="zh-CN" w:bidi="ar-SA"/>
              </w:rPr>
            </w:pPr>
            <w:r>
              <w:rPr>
                <w:rFonts w:hint="default" w:ascii="Times New Roman" w:hAnsi="Times New Roman" w:eastAsia="Times New Roman" w:cs="Times New Roman"/>
                <w:b w:val="0"/>
                <w:bCs w:val="0"/>
                <w:snapToGrid w:val="0"/>
                <w:color w:val="auto"/>
                <w:kern w:val="0"/>
                <w:sz w:val="24"/>
                <w:szCs w:val="24"/>
                <w:lang w:val="en-US" w:eastAsia="zh-CN" w:bidi="ar-SA"/>
              </w:rPr>
              <w:t>综上所述，项目符合《昆明市生态环境管控总体准入要求》中相关要求。</w:t>
            </w:r>
          </w:p>
          <w:p w14:paraId="4E8D5843">
            <w:pPr>
              <w:pStyle w:val="36"/>
              <w:keepNext w:val="0"/>
              <w:keepLines w:val="0"/>
              <w:pageBreakBefore w:val="0"/>
              <w:widowControl w:val="0"/>
              <w:kinsoku/>
              <w:wordWrap w:val="0"/>
              <w:overflowPunct/>
              <w:topLinePunct w:val="0"/>
              <w:bidi w:val="0"/>
              <w:ind w:firstLine="480"/>
              <w:textAlignment w:val="auto"/>
              <w:rPr>
                <w:rFonts w:hint="default" w:ascii="Times New Roman" w:hAnsi="Times New Roman" w:eastAsia="宋体" w:cs="Times New Roman"/>
                <w:color w:val="auto"/>
                <w:spacing w:val="1"/>
                <w:sz w:val="24"/>
                <w:szCs w:val="24"/>
                <w:lang w:val="en-US" w:eastAsia="zh-CN"/>
              </w:rPr>
            </w:pPr>
            <w:r>
              <w:rPr>
                <w:rFonts w:hint="default" w:ascii="Times New Roman" w:hAnsi="Times New Roman" w:eastAsia="宋体" w:cs="Times New Roman"/>
                <w:color w:val="auto"/>
                <w:spacing w:val="1"/>
                <w:sz w:val="24"/>
                <w:szCs w:val="24"/>
                <w:lang w:val="en-US" w:eastAsia="zh-CN"/>
              </w:rPr>
              <w:t>根据《</w:t>
            </w:r>
            <w:r>
              <w:rPr>
                <w:rFonts w:hint="default" w:ascii="Times New Roman" w:hAnsi="Times New Roman" w:cs="Times New Roman"/>
                <w:color w:val="auto"/>
                <w:spacing w:val="1"/>
                <w:sz w:val="24"/>
                <w:szCs w:val="24"/>
                <w:lang w:val="en-US" w:eastAsia="zh-CN"/>
              </w:rPr>
              <w:t>寻甸</w:t>
            </w:r>
            <w:r>
              <w:rPr>
                <w:rFonts w:hint="default" w:ascii="Times New Roman" w:hAnsi="Times New Roman" w:eastAsia="宋体" w:cs="Times New Roman"/>
                <w:color w:val="auto"/>
                <w:spacing w:val="1"/>
                <w:sz w:val="24"/>
                <w:szCs w:val="24"/>
                <w:lang w:val="en-US" w:eastAsia="zh-CN"/>
              </w:rPr>
              <w:t>县环境管控单元生态环境准入清单》，项目符合性分析如下。</w:t>
            </w:r>
          </w:p>
          <w:p w14:paraId="1C231D65">
            <w:pPr>
              <w:pStyle w:val="29"/>
              <w:keepNext w:val="0"/>
              <w:keepLines w:val="0"/>
              <w:pageBreakBefore w:val="0"/>
              <w:widowControl/>
              <w:tabs>
                <w:tab w:val="left" w:pos="360"/>
              </w:tabs>
              <w:kinsoku/>
              <w:wordWrap w:val="0"/>
              <w:overflowPunct/>
              <w:topLinePunct w:val="0"/>
              <w:autoSpaceDE w:val="0"/>
              <w:autoSpaceDN w:val="0"/>
              <w:bidi w:val="0"/>
              <w:adjustRightInd/>
              <w:snapToGrid/>
              <w:spacing w:line="240" w:lineRule="auto"/>
              <w:ind w:firstLine="0" w:firstLineChars="0"/>
              <w:textAlignment w:val="auto"/>
              <w:rPr>
                <w:rFonts w:hint="default" w:ascii="Times New Roman" w:hAnsi="Times New Roman" w:cs="Times New Roman" w:eastAsiaTheme="minorEastAsia"/>
                <w:b/>
                <w:bCs w:val="0"/>
                <w:color w:val="auto"/>
                <w:kern w:val="2"/>
                <w:sz w:val="21"/>
                <w:szCs w:val="21"/>
                <w:u w:val="none"/>
                <w:lang w:val="en-US" w:eastAsia="zh-CN" w:bidi="ar-SA"/>
              </w:rPr>
            </w:pPr>
            <w:r>
              <w:rPr>
                <w:rFonts w:hint="default" w:ascii="Times New Roman" w:hAnsi="Times New Roman" w:cs="Times New Roman" w:eastAsiaTheme="minorEastAsia"/>
                <w:b/>
                <w:bCs w:val="0"/>
                <w:color w:val="auto"/>
                <w:kern w:val="2"/>
                <w:sz w:val="21"/>
                <w:szCs w:val="21"/>
                <w:u w:val="none"/>
                <w:lang w:val="en-US" w:eastAsia="zh-CN" w:bidi="ar-SA"/>
              </w:rPr>
              <w:t>表1-3 项目与寻甸县生态准入清单符合性分析</w:t>
            </w:r>
          </w:p>
          <w:tbl>
            <w:tblPr>
              <w:tblStyle w:val="23"/>
              <w:tblW w:w="7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430"/>
              <w:gridCol w:w="423"/>
              <w:gridCol w:w="2663"/>
              <w:gridCol w:w="2715"/>
              <w:gridCol w:w="513"/>
            </w:tblGrid>
            <w:tr w14:paraId="3467D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noWrap w:val="0"/>
                  <w:vAlign w:val="center"/>
                </w:tcPr>
                <w:p w14:paraId="7A5C62B7">
                  <w:pPr>
                    <w:pStyle w:val="49"/>
                    <w:keepNext w:val="0"/>
                    <w:keepLines w:val="0"/>
                    <w:pageBreakBefore w:val="0"/>
                    <w:kinsoku/>
                    <w:wordWrap w:val="0"/>
                    <w:overflowPunct/>
                    <w:topLinePunct w:val="0"/>
                    <w:autoSpaceDE/>
                    <w:autoSpaceDN/>
                    <w:bidi w:val="0"/>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单元</w:t>
                  </w:r>
                </w:p>
                <w:p w14:paraId="2A2B47B6">
                  <w:pPr>
                    <w:pStyle w:val="49"/>
                    <w:keepNext w:val="0"/>
                    <w:keepLines w:val="0"/>
                    <w:pageBreakBefore w:val="0"/>
                    <w:kinsoku/>
                    <w:wordWrap w:val="0"/>
                    <w:overflowPunct/>
                    <w:topLinePunct w:val="0"/>
                    <w:autoSpaceDE/>
                    <w:autoSpaceDN/>
                    <w:bidi w:val="0"/>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300" w:type="pct"/>
                  <w:noWrap w:val="0"/>
                  <w:vAlign w:val="center"/>
                </w:tcPr>
                <w:p w14:paraId="2C273D5C">
                  <w:pPr>
                    <w:keepNext w:val="0"/>
                    <w:keepLines w:val="0"/>
                    <w:pageBreakBefore w:val="0"/>
                    <w:kinsoku/>
                    <w:wordWrap w:val="0"/>
                    <w:overflowPunct/>
                    <w:topLinePunct w:val="0"/>
                    <w:autoSpaceDE/>
                    <w:autoSpaceDN/>
                    <w:bidi w:val="0"/>
                    <w:snapToGrid w:val="0"/>
                    <w:spacing w:line="240" w:lineRule="auto"/>
                    <w:ind w:left="0" w:leftChars="0" w:firstLine="0" w:firstLineChars="0"/>
                    <w:jc w:val="both"/>
                    <w:rPr>
                      <w:rStyle w:val="46"/>
                      <w:rFonts w:hint="default" w:ascii="Times New Roman" w:hAnsi="Times New Roman" w:cs="Times New Roman"/>
                      <w:b/>
                      <w:bCs/>
                      <w:color w:val="auto"/>
                      <w:kern w:val="0"/>
                      <w:sz w:val="21"/>
                      <w:szCs w:val="21"/>
                      <w:highlight w:val="none"/>
                    </w:rPr>
                  </w:pPr>
                  <w:r>
                    <w:rPr>
                      <w:rStyle w:val="46"/>
                      <w:rFonts w:hint="default" w:ascii="Times New Roman" w:hAnsi="Times New Roman" w:cs="Times New Roman"/>
                      <w:b/>
                      <w:bCs/>
                      <w:color w:val="auto"/>
                      <w:kern w:val="0"/>
                      <w:sz w:val="21"/>
                      <w:szCs w:val="21"/>
                      <w:highlight w:val="none"/>
                    </w:rPr>
                    <w:t>单元</w:t>
                  </w:r>
                </w:p>
                <w:p w14:paraId="3D676D64">
                  <w:pPr>
                    <w:pStyle w:val="49"/>
                    <w:keepNext w:val="0"/>
                    <w:keepLines w:val="0"/>
                    <w:pageBreakBefore w:val="0"/>
                    <w:kinsoku/>
                    <w:wordWrap w:val="0"/>
                    <w:overflowPunct/>
                    <w:topLinePunct w:val="0"/>
                    <w:autoSpaceDE/>
                    <w:autoSpaceDN/>
                    <w:bidi w:val="0"/>
                    <w:spacing w:line="240" w:lineRule="auto"/>
                    <w:ind w:firstLine="0" w:firstLineChars="0"/>
                    <w:rPr>
                      <w:rFonts w:hint="default" w:ascii="Times New Roman" w:hAnsi="Times New Roman" w:cs="Times New Roman"/>
                      <w:b/>
                      <w:bCs/>
                      <w:color w:val="auto"/>
                      <w:sz w:val="21"/>
                      <w:szCs w:val="21"/>
                      <w:highlight w:val="none"/>
                    </w:rPr>
                  </w:pPr>
                  <w:r>
                    <w:rPr>
                      <w:rStyle w:val="46"/>
                      <w:rFonts w:hint="default" w:ascii="Times New Roman" w:hAnsi="Times New Roman" w:cs="Times New Roman"/>
                      <w:b/>
                      <w:bCs/>
                      <w:color w:val="auto"/>
                      <w:sz w:val="21"/>
                      <w:szCs w:val="21"/>
                      <w:highlight w:val="none"/>
                    </w:rPr>
                    <w:t>分类</w:t>
                  </w:r>
                </w:p>
              </w:tc>
              <w:tc>
                <w:tcPr>
                  <w:tcW w:w="2152" w:type="pct"/>
                  <w:gridSpan w:val="2"/>
                  <w:noWrap w:val="0"/>
                  <w:vAlign w:val="center"/>
                </w:tcPr>
                <w:p w14:paraId="60FE2935">
                  <w:pPr>
                    <w:pStyle w:val="49"/>
                    <w:keepNext w:val="0"/>
                    <w:keepLines w:val="0"/>
                    <w:pageBreakBefore w:val="0"/>
                    <w:kinsoku/>
                    <w:wordWrap w:val="0"/>
                    <w:overflowPunct/>
                    <w:topLinePunct w:val="0"/>
                    <w:autoSpaceDE/>
                    <w:autoSpaceDN/>
                    <w:bidi w:val="0"/>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管控要求</w:t>
                  </w:r>
                </w:p>
              </w:tc>
              <w:tc>
                <w:tcPr>
                  <w:tcW w:w="1893" w:type="pct"/>
                  <w:noWrap w:val="0"/>
                  <w:vAlign w:val="center"/>
                </w:tcPr>
                <w:p w14:paraId="7E12B7A9">
                  <w:pPr>
                    <w:pStyle w:val="49"/>
                    <w:keepNext w:val="0"/>
                    <w:keepLines w:val="0"/>
                    <w:pageBreakBefore w:val="0"/>
                    <w:kinsoku/>
                    <w:wordWrap w:val="0"/>
                    <w:overflowPunct/>
                    <w:topLinePunct w:val="0"/>
                    <w:autoSpaceDE/>
                    <w:autoSpaceDN/>
                    <w:bidi w:val="0"/>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项目情况</w:t>
                  </w:r>
                </w:p>
              </w:tc>
              <w:tc>
                <w:tcPr>
                  <w:tcW w:w="357" w:type="pct"/>
                  <w:noWrap w:val="0"/>
                  <w:vAlign w:val="center"/>
                </w:tcPr>
                <w:p w14:paraId="217DED4C">
                  <w:pPr>
                    <w:pStyle w:val="49"/>
                    <w:keepNext w:val="0"/>
                    <w:keepLines w:val="0"/>
                    <w:pageBreakBefore w:val="0"/>
                    <w:kinsoku/>
                    <w:wordWrap w:val="0"/>
                    <w:overflowPunct/>
                    <w:topLinePunct w:val="0"/>
                    <w:autoSpaceDE/>
                    <w:autoSpaceDN/>
                    <w:bidi w:val="0"/>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符合性</w:t>
                  </w:r>
                </w:p>
              </w:tc>
            </w:tr>
            <w:tr w14:paraId="180CB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95" w:type="pct"/>
                  <w:vMerge w:val="restart"/>
                  <w:noWrap w:val="0"/>
                  <w:vAlign w:val="center"/>
                </w:tcPr>
                <w:p w14:paraId="51E9EEB5">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寻甸回族彝族自治县一般管控单元</w:t>
                  </w:r>
                </w:p>
              </w:tc>
              <w:tc>
                <w:tcPr>
                  <w:tcW w:w="300" w:type="pct"/>
                  <w:vMerge w:val="restart"/>
                  <w:noWrap w:val="0"/>
                  <w:vAlign w:val="center"/>
                </w:tcPr>
                <w:p w14:paraId="26F19E9C">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一般</w:t>
                  </w:r>
                  <w:r>
                    <w:rPr>
                      <w:rFonts w:hint="default" w:ascii="Times New Roman" w:hAnsi="Times New Roman" w:cs="Times New Roman"/>
                      <w:color w:val="auto"/>
                      <w:sz w:val="21"/>
                      <w:szCs w:val="21"/>
                      <w:highlight w:val="none"/>
                    </w:rPr>
                    <w:t>管控单元</w:t>
                  </w:r>
                </w:p>
              </w:tc>
              <w:tc>
                <w:tcPr>
                  <w:tcW w:w="295" w:type="pct"/>
                  <w:noWrap w:val="0"/>
                  <w:vAlign w:val="center"/>
                </w:tcPr>
                <w:p w14:paraId="07FBACB8">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空间布局</w:t>
                  </w:r>
                </w:p>
                <w:p w14:paraId="51DF01EF">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约束</w:t>
                  </w:r>
                </w:p>
              </w:tc>
              <w:tc>
                <w:tcPr>
                  <w:tcW w:w="2663" w:type="dxa"/>
                  <w:noWrap w:val="0"/>
                  <w:vAlign w:val="center"/>
                </w:tcPr>
                <w:p w14:paraId="6BA1474E">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禁止在林地、河湖管理范围内新建、改建、扩建房地产开发项目。</w:t>
                  </w:r>
                </w:p>
                <w:p w14:paraId="58DD9089">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禁止围湖造田和侵占江河滩地。</w:t>
                  </w:r>
                </w:p>
                <w:p w14:paraId="0A3BA7AC">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禁止企业向滩涂、沼泽、荒地等未利用地非法排污、倾倒有毒有害物质。</w:t>
                  </w:r>
                </w:p>
              </w:tc>
              <w:tc>
                <w:tcPr>
                  <w:tcW w:w="1893" w:type="pct"/>
                  <w:noWrap w:val="0"/>
                  <w:vAlign w:val="center"/>
                </w:tcPr>
                <w:p w14:paraId="435A39BD">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eastAsiaTheme="minorEastAsia"/>
                      <w:color w:val="auto"/>
                      <w:kern w:val="0"/>
                      <w:sz w:val="21"/>
                      <w:szCs w:val="21"/>
                      <w:lang w:bidi="ar"/>
                    </w:rPr>
                    <w:t>项目为</w:t>
                  </w:r>
                  <w:r>
                    <w:rPr>
                      <w:rFonts w:hint="default" w:ascii="Times New Roman" w:hAnsi="Times New Roman" w:cs="Times New Roman" w:eastAsiaTheme="minorEastAsia"/>
                      <w:color w:val="auto"/>
                      <w:kern w:val="0"/>
                      <w:sz w:val="21"/>
                      <w:szCs w:val="21"/>
                      <w:lang w:val="en-US" w:eastAsia="zh-CN" w:bidi="ar"/>
                    </w:rPr>
                    <w:t>煤炭仓储业，</w:t>
                  </w:r>
                  <w:r>
                    <w:rPr>
                      <w:rFonts w:hint="default" w:ascii="Times New Roman" w:hAnsi="Times New Roman" w:cs="Times New Roman"/>
                      <w:color w:val="auto"/>
                      <w:sz w:val="21"/>
                      <w:szCs w:val="21"/>
                      <w:highlight w:val="none"/>
                      <w:lang w:val="en-US" w:eastAsia="zh-CN"/>
                    </w:rPr>
                    <w:t>不涉及房地产开发</w:t>
                  </w:r>
                  <w:r>
                    <w:rPr>
                      <w:rFonts w:hint="default" w:ascii="Times New Roman" w:hAnsi="Times New Roman" w:cs="Times New Roman"/>
                      <w:color w:val="auto"/>
                      <w:sz w:val="21"/>
                      <w:szCs w:val="21"/>
                      <w:highlight w:val="none"/>
                      <w:lang w:eastAsia="zh-CN"/>
                    </w:rPr>
                    <w:t>；</w:t>
                  </w:r>
                </w:p>
                <w:p w14:paraId="61CFE0E9">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项目不涉及围</w:t>
                  </w:r>
                  <w:r>
                    <w:rPr>
                      <w:rFonts w:hint="default" w:ascii="Times New Roman" w:hAnsi="Times New Roman" w:cs="Times New Roman"/>
                      <w:color w:val="auto"/>
                      <w:sz w:val="21"/>
                      <w:szCs w:val="21"/>
                      <w:highlight w:val="none"/>
                    </w:rPr>
                    <w:t>湖造田和侵占江河滩地</w:t>
                  </w:r>
                  <w:r>
                    <w:rPr>
                      <w:rFonts w:hint="default" w:ascii="Times New Roman" w:hAnsi="Times New Roman" w:cs="Times New Roman"/>
                      <w:color w:val="auto"/>
                      <w:sz w:val="21"/>
                      <w:szCs w:val="21"/>
                      <w:highlight w:val="none"/>
                      <w:lang w:eastAsia="zh-CN"/>
                    </w:rPr>
                    <w:t>；</w:t>
                  </w:r>
                </w:p>
                <w:p w14:paraId="1B7535BA">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项目内设有固废收集设施，不涉及向</w:t>
                  </w:r>
                  <w:r>
                    <w:rPr>
                      <w:rFonts w:hint="default" w:ascii="Times New Roman" w:hAnsi="Times New Roman" w:cs="Times New Roman"/>
                      <w:color w:val="auto"/>
                      <w:sz w:val="21"/>
                      <w:szCs w:val="21"/>
                      <w:highlight w:val="none"/>
                    </w:rPr>
                    <w:t>滩涂、沼泽</w:t>
                  </w:r>
                  <w:r>
                    <w:rPr>
                      <w:rFonts w:hint="default" w:ascii="Times New Roman" w:hAnsi="Times New Roman" w:cs="Times New Roman"/>
                      <w:color w:val="auto"/>
                      <w:sz w:val="21"/>
                      <w:szCs w:val="21"/>
                      <w:highlight w:val="none"/>
                      <w:lang w:val="en-US" w:eastAsia="zh-CN"/>
                    </w:rPr>
                    <w:t>荒地等</w:t>
                  </w:r>
                  <w:r>
                    <w:rPr>
                      <w:rFonts w:hint="default" w:ascii="Times New Roman" w:hAnsi="Times New Roman" w:cs="Times New Roman"/>
                      <w:color w:val="auto"/>
                      <w:sz w:val="21"/>
                      <w:szCs w:val="21"/>
                      <w:highlight w:val="none"/>
                    </w:rPr>
                    <w:t>未利用地非法排污、倾倒有毒有害物质</w:t>
                  </w:r>
                  <w:r>
                    <w:rPr>
                      <w:rFonts w:hint="default" w:ascii="Times New Roman" w:hAnsi="Times New Roman" w:cs="Times New Roman"/>
                      <w:color w:val="auto"/>
                      <w:sz w:val="21"/>
                      <w:szCs w:val="21"/>
                      <w:highlight w:val="none"/>
                      <w:lang w:eastAsia="zh-CN"/>
                    </w:rPr>
                    <w:t>。</w:t>
                  </w:r>
                </w:p>
              </w:tc>
              <w:tc>
                <w:tcPr>
                  <w:tcW w:w="357" w:type="pct"/>
                  <w:noWrap w:val="0"/>
                  <w:vAlign w:val="center"/>
                </w:tcPr>
                <w:p w14:paraId="513A401C">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1AB63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95" w:type="pct"/>
                  <w:vMerge w:val="continue"/>
                  <w:noWrap w:val="0"/>
                  <w:vAlign w:val="center"/>
                </w:tcPr>
                <w:p w14:paraId="48201966">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auto"/>
                      <w:sz w:val="21"/>
                      <w:szCs w:val="21"/>
                      <w:highlight w:val="none"/>
                      <w:lang w:val="en-US" w:eastAsia="zh-CN"/>
                    </w:rPr>
                  </w:pPr>
                </w:p>
              </w:tc>
              <w:tc>
                <w:tcPr>
                  <w:tcW w:w="300" w:type="pct"/>
                  <w:vMerge w:val="continue"/>
                  <w:noWrap w:val="0"/>
                  <w:vAlign w:val="center"/>
                </w:tcPr>
                <w:p w14:paraId="5771FF7F">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auto"/>
                      <w:sz w:val="21"/>
                      <w:szCs w:val="21"/>
                      <w:highlight w:val="none"/>
                      <w:lang w:val="en-US" w:eastAsia="zh-CN"/>
                    </w:rPr>
                  </w:pPr>
                </w:p>
              </w:tc>
              <w:tc>
                <w:tcPr>
                  <w:tcW w:w="295" w:type="pct"/>
                  <w:noWrap w:val="0"/>
                  <w:vAlign w:val="center"/>
                </w:tcPr>
                <w:p w14:paraId="3CE4AC15">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污染物排放管控制</w:t>
                  </w:r>
                </w:p>
              </w:tc>
              <w:tc>
                <w:tcPr>
                  <w:tcW w:w="2663" w:type="dxa"/>
                  <w:noWrap w:val="0"/>
                  <w:vAlign w:val="center"/>
                </w:tcPr>
                <w:p w14:paraId="1AB47CAC">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严格控制“两高”行业新增产能，新、改、扩建项目要实行产能等量或减量置换。</w:t>
                  </w:r>
                </w:p>
                <w:p w14:paraId="0B1D7059">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严格用地准入，工业用地及商业用地供地前，自然资源部门需对拟供地块进行土壤环境状况调查，评估环境污染风险后方可供地。</w:t>
                  </w:r>
                </w:p>
                <w:p w14:paraId="625634AD">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禁止使用炸鱼、毒鱼、电鱼等破坏渔业资源方法进行捕捞。</w:t>
                  </w:r>
                </w:p>
                <w:p w14:paraId="00FEF9F3">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禁止在禁渔区、禁渔期进行捕捞。禁止使用小于最小网目尺寸的网具进行捕捞，未依法取得捕捞许可证擅自捕捞。</w:t>
                  </w:r>
                </w:p>
              </w:tc>
              <w:tc>
                <w:tcPr>
                  <w:tcW w:w="1893" w:type="pct"/>
                  <w:noWrap w:val="0"/>
                  <w:vAlign w:val="center"/>
                </w:tcPr>
                <w:p w14:paraId="1EA36CA3">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color w:val="auto"/>
                      <w:kern w:val="0"/>
                      <w:sz w:val="21"/>
                      <w:szCs w:val="21"/>
                      <w:lang w:bidi="ar"/>
                    </w:rPr>
                    <w:t>项目为</w:t>
                  </w:r>
                  <w:r>
                    <w:rPr>
                      <w:rFonts w:hint="default" w:ascii="Times New Roman" w:hAnsi="Times New Roman" w:cs="Times New Roman" w:eastAsiaTheme="minorEastAsia"/>
                      <w:color w:val="auto"/>
                      <w:kern w:val="0"/>
                      <w:sz w:val="21"/>
                      <w:szCs w:val="21"/>
                      <w:lang w:val="en-US" w:eastAsia="zh-CN" w:bidi="ar"/>
                    </w:rPr>
                    <w:t>煤炭仓储业，</w:t>
                  </w:r>
                  <w:r>
                    <w:rPr>
                      <w:rFonts w:hint="default" w:ascii="Times New Roman" w:hAnsi="Times New Roman" w:cs="Times New Roman"/>
                      <w:color w:val="auto"/>
                      <w:sz w:val="21"/>
                      <w:szCs w:val="21"/>
                      <w:highlight w:val="none"/>
                      <w:lang w:val="en-US" w:eastAsia="zh-CN"/>
                    </w:rPr>
                    <w:t>不涉及两高项目。项目租用</w:t>
                  </w:r>
                  <w:r>
                    <w:rPr>
                      <w:rFonts w:hint="eastAsia" w:cs="Times New Roman"/>
                      <w:color w:val="auto"/>
                      <w:sz w:val="21"/>
                      <w:szCs w:val="21"/>
                      <w:highlight w:val="none"/>
                      <w:lang w:val="en-US" w:eastAsia="zh-CN"/>
                    </w:rPr>
                    <w:t>云南昆明亦标水泥有限公司</w:t>
                  </w:r>
                  <w:r>
                    <w:rPr>
                      <w:rFonts w:hint="default" w:ascii="Times New Roman" w:hAnsi="Times New Roman" w:cs="Times New Roman"/>
                      <w:color w:val="auto"/>
                      <w:sz w:val="21"/>
                      <w:szCs w:val="21"/>
                      <w:highlight w:val="none"/>
                      <w:lang w:val="en-US" w:eastAsia="zh-CN"/>
                    </w:rPr>
                    <w:t>现有空地，用地性质为工业用地，现已办理相关手续；</w:t>
                  </w:r>
                </w:p>
                <w:p w14:paraId="67213110">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项目不涉及</w:t>
                  </w:r>
                  <w:r>
                    <w:rPr>
                      <w:rFonts w:hint="default" w:ascii="Times New Roman" w:hAnsi="Times New Roman" w:cs="Times New Roman"/>
                      <w:color w:val="auto"/>
                      <w:sz w:val="21"/>
                      <w:szCs w:val="21"/>
                      <w:highlight w:val="none"/>
                    </w:rPr>
                    <w:t>使用炸鱼、毒鱼、电鱼等破坏渔业资源方法进行捕捞</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项目不涉及捕捞。</w:t>
                  </w:r>
                </w:p>
              </w:tc>
              <w:tc>
                <w:tcPr>
                  <w:tcW w:w="357" w:type="pct"/>
                  <w:noWrap w:val="0"/>
                  <w:vAlign w:val="center"/>
                </w:tcPr>
                <w:p w14:paraId="7B10E9BF">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14:paraId="077C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vMerge w:val="continue"/>
                  <w:noWrap w:val="0"/>
                  <w:vAlign w:val="center"/>
                </w:tcPr>
                <w:p w14:paraId="032B5A50">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auto"/>
                      <w:kern w:val="0"/>
                      <w:sz w:val="21"/>
                      <w:szCs w:val="21"/>
                      <w:highlight w:val="none"/>
                    </w:rPr>
                  </w:pPr>
                </w:p>
              </w:tc>
              <w:tc>
                <w:tcPr>
                  <w:tcW w:w="300" w:type="pct"/>
                  <w:vMerge w:val="continue"/>
                  <w:noWrap w:val="0"/>
                  <w:vAlign w:val="center"/>
                </w:tcPr>
                <w:p w14:paraId="5285CF91">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auto"/>
                      <w:kern w:val="0"/>
                      <w:sz w:val="21"/>
                      <w:szCs w:val="21"/>
                      <w:highlight w:val="none"/>
                    </w:rPr>
                  </w:pPr>
                </w:p>
              </w:tc>
              <w:tc>
                <w:tcPr>
                  <w:tcW w:w="295" w:type="pct"/>
                  <w:noWrap w:val="0"/>
                  <w:vAlign w:val="center"/>
                </w:tcPr>
                <w:p w14:paraId="0C46416C">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环境风险防控</w:t>
                  </w:r>
                </w:p>
              </w:tc>
              <w:tc>
                <w:tcPr>
                  <w:tcW w:w="1857" w:type="pct"/>
                  <w:noWrap w:val="0"/>
                  <w:vAlign w:val="center"/>
                </w:tcPr>
                <w:p w14:paraId="625EB315">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严格限制《环境保护综合名录》（2021年版）中“高污染、高环境风险”产品与工艺装备。</w:t>
                  </w:r>
                </w:p>
                <w:p w14:paraId="46CAB62F">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禁止使用剧毒、高残留以及可能二次中毒的农药。</w:t>
                  </w:r>
                </w:p>
                <w:p w14:paraId="191B6724">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严格污染场地开发利用和流转审批，在影响健康地块修复达标之前，禁止建设居民区、学校、医疗和养老机构。</w:t>
                  </w:r>
                </w:p>
              </w:tc>
              <w:tc>
                <w:tcPr>
                  <w:tcW w:w="1893" w:type="pct"/>
                  <w:noWrap w:val="0"/>
                  <w:vAlign w:val="center"/>
                </w:tcPr>
                <w:p w14:paraId="3A26300A">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color w:val="auto"/>
                      <w:kern w:val="0"/>
                      <w:sz w:val="21"/>
                      <w:szCs w:val="21"/>
                      <w:lang w:bidi="ar"/>
                    </w:rPr>
                    <w:t>项目为</w:t>
                  </w:r>
                  <w:r>
                    <w:rPr>
                      <w:rFonts w:hint="default" w:ascii="Times New Roman" w:hAnsi="Times New Roman" w:cs="Times New Roman" w:eastAsiaTheme="minorEastAsia"/>
                      <w:color w:val="auto"/>
                      <w:kern w:val="0"/>
                      <w:sz w:val="21"/>
                      <w:szCs w:val="21"/>
                      <w:lang w:val="en-US" w:eastAsia="zh-CN" w:bidi="ar"/>
                    </w:rPr>
                    <w:t>煤炭仓储业，</w:t>
                  </w:r>
                  <w:r>
                    <w:rPr>
                      <w:rFonts w:hint="default" w:ascii="Times New Roman" w:hAnsi="Times New Roman" w:cs="Times New Roman"/>
                      <w:color w:val="auto"/>
                      <w:sz w:val="21"/>
                      <w:szCs w:val="21"/>
                      <w:highlight w:val="none"/>
                      <w:lang w:val="en-US" w:eastAsia="zh-CN"/>
                    </w:rPr>
                    <w:t>所用设备不属于</w:t>
                  </w:r>
                  <w:r>
                    <w:rPr>
                      <w:rFonts w:hint="default" w:ascii="Times New Roman" w:hAnsi="Times New Roman" w:cs="Times New Roman"/>
                      <w:color w:val="auto"/>
                      <w:sz w:val="21"/>
                      <w:szCs w:val="21"/>
                      <w:highlight w:val="none"/>
                    </w:rPr>
                    <w:t>《环境保护综合名录》（2021年版）中“高污染、高环境风险”产品与工艺装备；</w:t>
                  </w:r>
                  <w:r>
                    <w:rPr>
                      <w:rFonts w:hint="default" w:ascii="Times New Roman" w:hAnsi="Times New Roman" w:cs="Times New Roman"/>
                      <w:color w:val="auto"/>
                      <w:sz w:val="21"/>
                      <w:szCs w:val="21"/>
                      <w:highlight w:val="none"/>
                      <w:lang w:val="en-US" w:eastAsia="zh-CN"/>
                    </w:rPr>
                    <w:t>项目不</w:t>
                  </w:r>
                  <w:r>
                    <w:rPr>
                      <w:rFonts w:hint="default" w:ascii="Times New Roman" w:hAnsi="Times New Roman" w:cs="Times New Roman"/>
                      <w:color w:val="auto"/>
                      <w:sz w:val="21"/>
                      <w:szCs w:val="21"/>
                      <w:highlight w:val="none"/>
                    </w:rPr>
                    <w:t>使用剧毒、高残留以及可能二次中毒的农药</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项目不使用含磷洗衣粉。项目用地现状为</w:t>
                  </w:r>
                  <w:r>
                    <w:rPr>
                      <w:rFonts w:hint="eastAsia" w:cs="Times New Roman"/>
                      <w:color w:val="auto"/>
                      <w:sz w:val="21"/>
                      <w:szCs w:val="21"/>
                      <w:highlight w:val="none"/>
                      <w:lang w:val="en-US" w:eastAsia="zh-CN"/>
                    </w:rPr>
                    <w:t>云南昆明亦标水泥有限公司</w:t>
                  </w:r>
                  <w:r>
                    <w:rPr>
                      <w:rFonts w:hint="default" w:ascii="Times New Roman" w:hAnsi="Times New Roman" w:cs="Times New Roman"/>
                      <w:color w:val="auto"/>
                      <w:sz w:val="21"/>
                      <w:szCs w:val="21"/>
                      <w:highlight w:val="none"/>
                      <w:lang w:val="en-US" w:eastAsia="zh-CN"/>
                    </w:rPr>
                    <w:t>现有用地，不属于污染场地。</w:t>
                  </w:r>
                </w:p>
              </w:tc>
              <w:tc>
                <w:tcPr>
                  <w:tcW w:w="357" w:type="pct"/>
                  <w:noWrap w:val="0"/>
                  <w:vAlign w:val="center"/>
                </w:tcPr>
                <w:p w14:paraId="7BB814FE">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14:paraId="1D94B63F">
            <w:pPr>
              <w:pStyle w:val="36"/>
              <w:keepNext w:val="0"/>
              <w:keepLines w:val="0"/>
              <w:pageBreakBefore w:val="0"/>
              <w:widowControl w:val="0"/>
              <w:kinsoku/>
              <w:wordWrap w:val="0"/>
              <w:overflowPunct/>
              <w:topLinePunct w:val="0"/>
              <w:bidi w:val="0"/>
              <w:ind w:firstLine="480"/>
              <w:textAlignment w:val="auto"/>
              <w:rPr>
                <w:rFonts w:hint="default" w:ascii="Times New Roman" w:hAnsi="Times New Roman" w:eastAsia="宋体" w:cs="Times New Roman"/>
                <w:color w:val="auto"/>
                <w:spacing w:val="1"/>
                <w:sz w:val="24"/>
                <w:szCs w:val="24"/>
                <w:lang w:val="en-US" w:eastAsia="zh-CN"/>
              </w:rPr>
            </w:pPr>
            <w:r>
              <w:rPr>
                <w:rFonts w:hint="default" w:ascii="Times New Roman" w:hAnsi="Times New Roman" w:eastAsia="宋体" w:cs="Times New Roman"/>
                <w:bCs/>
                <w:color w:val="auto"/>
                <w:kern w:val="0"/>
                <w:sz w:val="24"/>
              </w:rPr>
              <w:t>由上表可知，本项目建设符合</w:t>
            </w:r>
            <w:r>
              <w:rPr>
                <w:rFonts w:hint="default" w:ascii="Times New Roman" w:hAnsi="Times New Roman" w:eastAsia="宋体" w:cs="Times New Roman"/>
                <w:color w:val="auto"/>
                <w:spacing w:val="1"/>
                <w:sz w:val="24"/>
                <w:szCs w:val="24"/>
                <w:lang w:val="en-US" w:eastAsia="zh-CN"/>
              </w:rPr>
              <w:t>《</w:t>
            </w:r>
            <w:r>
              <w:rPr>
                <w:rFonts w:hint="default" w:ascii="Times New Roman" w:hAnsi="Times New Roman" w:cs="Times New Roman"/>
                <w:color w:val="auto"/>
                <w:spacing w:val="1"/>
                <w:sz w:val="24"/>
                <w:szCs w:val="24"/>
                <w:lang w:val="en-US" w:eastAsia="zh-CN"/>
              </w:rPr>
              <w:t>寻甸</w:t>
            </w:r>
            <w:r>
              <w:rPr>
                <w:rFonts w:hint="default" w:ascii="Times New Roman" w:hAnsi="Times New Roman" w:eastAsia="宋体" w:cs="Times New Roman"/>
                <w:color w:val="auto"/>
                <w:spacing w:val="1"/>
                <w:sz w:val="24"/>
                <w:szCs w:val="24"/>
                <w:lang w:val="en-US" w:eastAsia="zh-CN"/>
              </w:rPr>
              <w:t>县环境管控单元生态环境准入清单》</w:t>
            </w:r>
            <w:r>
              <w:rPr>
                <w:rFonts w:hint="default" w:ascii="Times New Roman" w:hAnsi="Times New Roman" w:eastAsia="宋体" w:cs="Times New Roman"/>
                <w:bCs/>
                <w:color w:val="auto"/>
                <w:kern w:val="0"/>
                <w:sz w:val="24"/>
              </w:rPr>
              <w:t>中相关要求。</w:t>
            </w:r>
          </w:p>
          <w:p w14:paraId="36E998C3">
            <w:pPr>
              <w:pStyle w:val="48"/>
              <w:pageBreakBefore w:val="0"/>
              <w:kinsoku/>
              <w:wordWrap w:val="0"/>
              <w:overflowPunct/>
              <w:bidi w:val="0"/>
              <w:spacing w:before="33"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pacing w:val="-3"/>
                <w:sz w:val="24"/>
                <w:szCs w:val="24"/>
                <w:lang w:eastAsia="zh-CN"/>
              </w:rPr>
              <w:t>（</w:t>
            </w:r>
            <w:r>
              <w:rPr>
                <w:rFonts w:hint="default" w:ascii="Times New Roman" w:hAnsi="Times New Roman" w:eastAsia="宋体" w:cs="Times New Roman"/>
                <w:b/>
                <w:bCs/>
                <w:color w:val="auto"/>
                <w:spacing w:val="-3"/>
                <w:sz w:val="24"/>
                <w:szCs w:val="24"/>
                <w:lang w:val="en-US" w:eastAsia="zh-CN"/>
              </w:rPr>
              <w:t>2</w:t>
            </w:r>
            <w:r>
              <w:rPr>
                <w:rFonts w:hint="default" w:ascii="Times New Roman" w:hAnsi="Times New Roman" w:eastAsia="宋体" w:cs="Times New Roman"/>
                <w:b/>
                <w:bCs/>
                <w:color w:val="auto"/>
                <w:spacing w:val="-3"/>
                <w:sz w:val="24"/>
                <w:szCs w:val="24"/>
                <w:lang w:eastAsia="zh-CN"/>
              </w:rPr>
              <w:t>）</w:t>
            </w:r>
            <w:r>
              <w:rPr>
                <w:rFonts w:hint="default" w:ascii="Times New Roman" w:hAnsi="Times New Roman" w:eastAsia="宋体" w:cs="Times New Roman"/>
                <w:b/>
                <w:bCs/>
                <w:color w:val="auto"/>
                <w:spacing w:val="-3"/>
                <w:sz w:val="24"/>
                <w:szCs w:val="24"/>
              </w:rPr>
              <w:t>生态保护红线及一般生态空间更新结果</w:t>
            </w:r>
          </w:p>
          <w:p w14:paraId="25B88647">
            <w:pPr>
              <w:keepNext w:val="0"/>
              <w:keepLines w:val="0"/>
              <w:pageBreakBefore w:val="0"/>
              <w:widowControl w:val="0"/>
              <w:kinsoku/>
              <w:wordWrap w:val="0"/>
              <w:overflowPunct/>
              <w:topLinePunct w:val="0"/>
              <w:autoSpaceDE/>
              <w:autoSpaceDN/>
              <w:bidi w:val="0"/>
              <w:adjustRightInd/>
              <w:snapToGrid/>
              <w:spacing w:line="360" w:lineRule="auto"/>
              <w:ind w:firstLine="468" w:firstLineChars="200"/>
              <w:textAlignment w:val="auto"/>
              <w:rPr>
                <w:rFonts w:hint="default" w:ascii="Times New Roman" w:hAnsi="Times New Roman" w:eastAsia="宋体" w:cs="Times New Roman"/>
                <w:color w:val="auto"/>
                <w:spacing w:val="-3"/>
                <w:kern w:val="2"/>
                <w:sz w:val="24"/>
                <w:szCs w:val="24"/>
                <w:lang w:val="en-US" w:eastAsia="zh-CN" w:bidi="ar-SA"/>
              </w:rPr>
            </w:pPr>
            <w:r>
              <w:rPr>
                <w:rFonts w:hint="default" w:ascii="Times New Roman" w:hAnsi="Times New Roman" w:eastAsia="宋体" w:cs="Times New Roman"/>
                <w:color w:val="auto"/>
                <w:spacing w:val="-3"/>
                <w:kern w:val="2"/>
                <w:sz w:val="24"/>
                <w:szCs w:val="24"/>
                <w:lang w:val="en-US" w:eastAsia="zh-CN" w:bidi="ar-SA"/>
              </w:rPr>
              <w:t>更新后，生态保护红线全面与《昆明市国土空间总体规划（2021-2035年）》衔接，全市生态保护红线面积4274.70平方公里，占全市国土面积的20.34%，较原有面积占比减少1.85%。全市一般生态空间面积5151.56km</w:t>
            </w:r>
            <w:r>
              <w:rPr>
                <w:rFonts w:hint="default" w:ascii="Times New Roman" w:hAnsi="Times New Roman" w:eastAsia="宋体" w:cs="Times New Roman"/>
                <w:color w:val="auto"/>
                <w:spacing w:val="-3"/>
                <w:kern w:val="2"/>
                <w:sz w:val="24"/>
                <w:szCs w:val="24"/>
                <w:vertAlign w:val="superscript"/>
                <w:lang w:val="en-US" w:eastAsia="zh-CN" w:bidi="ar-SA"/>
              </w:rPr>
              <w:t>2</w:t>
            </w:r>
            <w:r>
              <w:rPr>
                <w:rFonts w:hint="default" w:ascii="Times New Roman" w:hAnsi="Times New Roman" w:eastAsia="宋体" w:cs="Times New Roman"/>
                <w:color w:val="auto"/>
                <w:spacing w:val="-3"/>
                <w:kern w:val="2"/>
                <w:sz w:val="24"/>
                <w:szCs w:val="24"/>
                <w:lang w:val="en-US" w:eastAsia="zh-CN" w:bidi="ar-SA"/>
              </w:rPr>
              <w:t>，占国土空间面积的24.37%，较原有面积占比增加2.45%。</w:t>
            </w:r>
          </w:p>
          <w:p w14:paraId="3833629A">
            <w:pPr>
              <w:keepNext w:val="0"/>
              <w:keepLines w:val="0"/>
              <w:pageBreakBefore w:val="0"/>
              <w:widowControl w:val="0"/>
              <w:kinsoku/>
              <w:wordWrap w:val="0"/>
              <w:overflowPunct/>
              <w:topLinePunct w:val="0"/>
              <w:autoSpaceDE/>
              <w:autoSpaceDN/>
              <w:bidi w:val="0"/>
              <w:adjustRightInd/>
              <w:snapToGrid/>
              <w:spacing w:line="360" w:lineRule="auto"/>
              <w:ind w:firstLine="468" w:firstLineChars="200"/>
              <w:textAlignment w:val="auto"/>
              <w:rPr>
                <w:rFonts w:hint="default" w:ascii="Times New Roman" w:hAnsi="Times New Roman" w:eastAsia="宋体" w:cs="Times New Roman"/>
                <w:color w:val="auto"/>
                <w:spacing w:val="-3"/>
                <w:kern w:val="2"/>
                <w:sz w:val="24"/>
                <w:szCs w:val="24"/>
                <w:lang w:val="en-US" w:eastAsia="en-US" w:bidi="ar-SA"/>
              </w:rPr>
            </w:pPr>
            <w:r>
              <w:rPr>
                <w:rFonts w:hint="default" w:ascii="Times New Roman" w:hAnsi="Times New Roman" w:eastAsia="宋体" w:cs="Times New Roman"/>
                <w:color w:val="auto"/>
                <w:spacing w:val="-3"/>
                <w:kern w:val="2"/>
                <w:sz w:val="24"/>
                <w:szCs w:val="24"/>
                <w:lang w:val="en-US" w:eastAsia="zh-CN" w:bidi="ar-SA"/>
              </w:rPr>
              <w:t>本项目位于</w:t>
            </w:r>
            <w:r>
              <w:rPr>
                <w:rFonts w:hint="default" w:ascii="Times New Roman" w:hAnsi="Times New Roman" w:cs="Times New Roman"/>
                <w:bCs/>
                <w:color w:val="auto"/>
                <w:sz w:val="24"/>
                <w:lang w:val="en-US" w:eastAsia="zh-CN"/>
              </w:rPr>
              <w:t>云南省昆明市寻甸县金所街道三月三路中段</w:t>
            </w:r>
            <w:r>
              <w:rPr>
                <w:rFonts w:hint="default" w:ascii="Times New Roman" w:hAnsi="Times New Roman" w:eastAsia="宋体" w:cs="Times New Roman"/>
                <w:color w:val="auto"/>
                <w:spacing w:val="-3"/>
                <w:kern w:val="2"/>
                <w:sz w:val="24"/>
                <w:szCs w:val="24"/>
                <w:lang w:val="en-US" w:eastAsia="zh-CN" w:bidi="ar-SA"/>
              </w:rPr>
              <w:t>。根据</w:t>
            </w:r>
            <w:r>
              <w:rPr>
                <w:rFonts w:hint="default" w:ascii="Times New Roman" w:hAnsi="Times New Roman" w:cs="Times New Roman"/>
                <w:color w:val="auto"/>
                <w:spacing w:val="-3"/>
                <w:kern w:val="2"/>
                <w:sz w:val="24"/>
                <w:szCs w:val="24"/>
                <w:lang w:val="en-US" w:eastAsia="zh-CN" w:bidi="ar-SA"/>
              </w:rPr>
              <w:t>寻甸</w:t>
            </w:r>
            <w:r>
              <w:rPr>
                <w:rFonts w:hint="default" w:ascii="Times New Roman" w:hAnsi="Times New Roman" w:eastAsia="宋体" w:cs="Times New Roman"/>
                <w:color w:val="auto"/>
                <w:spacing w:val="-3"/>
                <w:kern w:val="2"/>
                <w:sz w:val="24"/>
                <w:szCs w:val="24"/>
                <w:lang w:val="en-US" w:eastAsia="zh-CN" w:bidi="ar-SA"/>
              </w:rPr>
              <w:t>县自然资源局出具的“关于寻甸锦晟源商贸有限公司年处理10万吨褐煤提质项目用地范围是否涉及“三区三线”的情况说明</w:t>
            </w:r>
            <w:r>
              <w:rPr>
                <w:rFonts w:hint="default" w:ascii="Times New Roman" w:hAnsi="Times New Roman" w:cs="Times New Roman"/>
                <w:color w:val="auto"/>
                <w:spacing w:val="-3"/>
                <w:kern w:val="2"/>
                <w:sz w:val="24"/>
                <w:szCs w:val="24"/>
                <w:lang w:val="en-US" w:eastAsia="zh-CN" w:bidi="ar-SA"/>
              </w:rPr>
              <w:t>”</w:t>
            </w:r>
            <w:r>
              <w:rPr>
                <w:rFonts w:hint="default" w:ascii="Times New Roman" w:hAnsi="Times New Roman" w:eastAsia="宋体" w:cs="Times New Roman"/>
                <w:color w:val="auto"/>
                <w:spacing w:val="-3"/>
                <w:kern w:val="2"/>
                <w:sz w:val="24"/>
                <w:szCs w:val="24"/>
                <w:lang w:val="en-US" w:eastAsia="zh-CN" w:bidi="ar-SA"/>
              </w:rPr>
              <w:t>，经与寻甸县生态保护红线、城镇开发边界叠加核实，</w:t>
            </w:r>
            <w:r>
              <w:rPr>
                <w:rFonts w:hint="default" w:ascii="Times New Roman" w:hAnsi="Times New Roman" w:cs="Times New Roman"/>
                <w:color w:val="auto"/>
                <w:spacing w:val="-3"/>
                <w:kern w:val="2"/>
                <w:sz w:val="24"/>
                <w:szCs w:val="24"/>
                <w:lang w:val="en-US" w:eastAsia="zh-CN" w:bidi="ar-SA"/>
              </w:rPr>
              <w:t>寻甸锦晟源商贸有限公司年处理10万吨褐煤提质项目</w:t>
            </w:r>
            <w:r>
              <w:rPr>
                <w:rFonts w:hint="default" w:ascii="Times New Roman" w:hAnsi="Times New Roman" w:eastAsia="宋体" w:cs="Times New Roman"/>
                <w:color w:val="auto"/>
                <w:spacing w:val="-3"/>
                <w:kern w:val="2"/>
                <w:sz w:val="24"/>
                <w:szCs w:val="24"/>
                <w:lang w:val="en-US" w:eastAsia="zh-CN" w:bidi="ar-SA"/>
              </w:rPr>
              <w:t>范围未与寻甸县生态保护红线重叠</w:t>
            </w:r>
            <w:r>
              <w:rPr>
                <w:rFonts w:hint="default" w:ascii="Times New Roman" w:hAnsi="Times New Roman" w:cs="Times New Roman"/>
                <w:color w:val="auto"/>
                <w:spacing w:val="-3"/>
                <w:kern w:val="2"/>
                <w:sz w:val="24"/>
                <w:szCs w:val="24"/>
                <w:lang w:val="en-US" w:eastAsia="zh-CN" w:bidi="ar-SA"/>
              </w:rPr>
              <w:t>，</w:t>
            </w:r>
            <w:r>
              <w:rPr>
                <w:rFonts w:hint="default" w:ascii="Times New Roman" w:hAnsi="Times New Roman" w:eastAsia="宋体" w:cs="Times New Roman"/>
                <w:color w:val="auto"/>
                <w:spacing w:val="-3"/>
                <w:kern w:val="2"/>
                <w:sz w:val="24"/>
                <w:szCs w:val="24"/>
                <w:lang w:val="en-US" w:eastAsia="zh-CN" w:bidi="ar-SA"/>
              </w:rPr>
              <w:t>不</w:t>
            </w:r>
            <w:r>
              <w:rPr>
                <w:rFonts w:hint="default" w:ascii="Times New Roman" w:hAnsi="Times New Roman" w:cs="Times New Roman"/>
                <w:color w:val="auto"/>
                <w:spacing w:val="-3"/>
                <w:kern w:val="2"/>
                <w:sz w:val="24"/>
                <w:szCs w:val="24"/>
                <w:lang w:val="en-US" w:eastAsia="zh-CN" w:bidi="ar-SA"/>
              </w:rPr>
              <w:t>在</w:t>
            </w:r>
            <w:r>
              <w:rPr>
                <w:rFonts w:hint="default" w:ascii="Times New Roman" w:hAnsi="Times New Roman" w:eastAsia="宋体" w:cs="Times New Roman"/>
                <w:color w:val="auto"/>
                <w:spacing w:val="-3"/>
                <w:kern w:val="2"/>
                <w:sz w:val="24"/>
                <w:szCs w:val="24"/>
                <w:lang w:val="en-US" w:eastAsia="zh-CN" w:bidi="ar-SA"/>
              </w:rPr>
              <w:t>城镇开发边界</w:t>
            </w:r>
            <w:r>
              <w:rPr>
                <w:rFonts w:hint="default" w:ascii="Times New Roman" w:hAnsi="Times New Roman" w:cs="Times New Roman"/>
                <w:color w:val="auto"/>
                <w:spacing w:val="-3"/>
                <w:kern w:val="2"/>
                <w:sz w:val="24"/>
                <w:szCs w:val="24"/>
                <w:lang w:val="en-US" w:eastAsia="zh-CN" w:bidi="ar-SA"/>
              </w:rPr>
              <w:t>内，不涉及永久基本农田</w:t>
            </w:r>
            <w:r>
              <w:rPr>
                <w:rFonts w:hint="default" w:ascii="Times New Roman" w:hAnsi="Times New Roman" w:eastAsia="宋体" w:cs="Times New Roman"/>
                <w:color w:val="auto"/>
                <w:spacing w:val="-3"/>
                <w:kern w:val="2"/>
                <w:sz w:val="24"/>
                <w:szCs w:val="24"/>
                <w:lang w:val="en-US" w:eastAsia="zh-CN" w:bidi="ar-SA"/>
              </w:rPr>
              <w:t>。项目建设不违背“云南省生态保护红线”的要求。</w:t>
            </w:r>
          </w:p>
          <w:p w14:paraId="5C276404">
            <w:pPr>
              <w:pStyle w:val="48"/>
              <w:pageBreakBefore w:val="0"/>
              <w:kinsoku/>
              <w:wordWrap w:val="0"/>
              <w:overflowPunct/>
              <w:bidi w:val="0"/>
              <w:spacing w:before="32"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pacing w:val="-3"/>
                <w:sz w:val="24"/>
                <w:szCs w:val="24"/>
                <w:lang w:eastAsia="zh-CN"/>
              </w:rPr>
              <w:t>（</w:t>
            </w:r>
            <w:r>
              <w:rPr>
                <w:rFonts w:hint="default" w:ascii="Times New Roman" w:hAnsi="Times New Roman" w:eastAsia="宋体" w:cs="Times New Roman"/>
                <w:b/>
                <w:bCs/>
                <w:color w:val="auto"/>
                <w:spacing w:val="-3"/>
                <w:sz w:val="24"/>
                <w:szCs w:val="24"/>
                <w:lang w:val="en-US" w:eastAsia="zh-CN"/>
              </w:rPr>
              <w:t>3</w:t>
            </w:r>
            <w:r>
              <w:rPr>
                <w:rFonts w:hint="default" w:ascii="Times New Roman" w:hAnsi="Times New Roman" w:eastAsia="宋体" w:cs="Times New Roman"/>
                <w:b/>
                <w:bCs/>
                <w:color w:val="auto"/>
                <w:spacing w:val="-3"/>
                <w:sz w:val="24"/>
                <w:szCs w:val="24"/>
                <w:lang w:eastAsia="zh-CN"/>
              </w:rPr>
              <w:t>）</w:t>
            </w:r>
            <w:r>
              <w:rPr>
                <w:rFonts w:hint="default" w:ascii="Times New Roman" w:hAnsi="Times New Roman" w:eastAsia="宋体" w:cs="Times New Roman"/>
                <w:b/>
                <w:bCs/>
                <w:color w:val="auto"/>
                <w:spacing w:val="-3"/>
                <w:sz w:val="24"/>
                <w:szCs w:val="24"/>
              </w:rPr>
              <w:t>环境质量底线及资源利用上线更新结果</w:t>
            </w:r>
          </w:p>
          <w:p w14:paraId="577B4ACE">
            <w:pPr>
              <w:pStyle w:val="48"/>
              <w:pageBreakBefore w:val="0"/>
              <w:kinsoku/>
              <w:wordWrap w:val="0"/>
              <w:overflowPunct/>
              <w:bidi w:val="0"/>
              <w:spacing w:before="49" w:line="360" w:lineRule="auto"/>
              <w:ind w:left="11" w:right="11" w:firstLine="488" w:firstLineChars="200"/>
              <w:jc w:val="both"/>
              <w:rPr>
                <w:rFonts w:hint="default" w:ascii="Times New Roman" w:hAnsi="Times New Roman" w:eastAsia="宋体" w:cs="Times New Roman"/>
                <w:color w:val="auto"/>
                <w:spacing w:val="2"/>
                <w:sz w:val="24"/>
                <w:szCs w:val="24"/>
              </w:rPr>
            </w:pPr>
            <w:r>
              <w:rPr>
                <w:rFonts w:hint="default" w:ascii="Times New Roman" w:hAnsi="Times New Roman" w:eastAsia="宋体" w:cs="Times New Roman"/>
                <w:color w:val="auto"/>
                <w:spacing w:val="2"/>
                <w:sz w:val="24"/>
                <w:szCs w:val="24"/>
              </w:rPr>
              <w:t>到2025年，昆明市地表水国控断面达到或好于Ⅲ类水体比例应达到81.5%，45个省控断面达到或好于Ⅲ类水体比例应达到80%，劣V类水体全面消除，县级及以上集中式饮用水水源地水质达标率100%；空气质量优良天数比率达99.1%，细颗粒物（PM2.5）浓度不高于24微克/立方米，重污染天数为0；全市土壤环境质量总体保持稳定，局部稳中向好，受污染耕地安全利用率不低于90%，重点建设用地安全利用得到有效保障。</w:t>
            </w:r>
          </w:p>
          <w:p w14:paraId="726E1F7E">
            <w:pPr>
              <w:pStyle w:val="48"/>
              <w:pageBreakBefore w:val="0"/>
              <w:kinsoku/>
              <w:wordWrap w:val="0"/>
              <w:overflowPunct/>
              <w:bidi w:val="0"/>
              <w:spacing w:before="49" w:line="360" w:lineRule="auto"/>
              <w:ind w:left="11" w:right="11" w:firstLine="488" w:firstLineChars="200"/>
              <w:jc w:val="both"/>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2"/>
                <w:sz w:val="24"/>
                <w:szCs w:val="24"/>
              </w:rPr>
              <w:t>到2025年，按照国家、省、市</w:t>
            </w:r>
            <w:r>
              <w:rPr>
                <w:rFonts w:hint="default" w:ascii="Times New Roman" w:hAnsi="Times New Roman" w:eastAsia="宋体" w:cs="Times New Roman"/>
                <w:color w:val="auto"/>
                <w:spacing w:val="-3"/>
                <w:sz w:val="24"/>
                <w:szCs w:val="24"/>
              </w:rPr>
              <w:t>有关要求和规</w:t>
            </w:r>
            <w:r>
              <w:rPr>
                <w:rFonts w:hint="default" w:ascii="Times New Roman" w:hAnsi="Times New Roman" w:eastAsia="宋体" w:cs="Times New Roman"/>
                <w:color w:val="auto"/>
                <w:spacing w:val="-4"/>
                <w:sz w:val="24"/>
                <w:szCs w:val="24"/>
              </w:rPr>
              <w:t>划，按时完成全市用水</w:t>
            </w:r>
            <w:r>
              <w:rPr>
                <w:rFonts w:hint="default" w:ascii="Times New Roman" w:hAnsi="Times New Roman" w:eastAsia="宋体" w:cs="Times New Roman"/>
                <w:color w:val="auto"/>
                <w:spacing w:val="2"/>
                <w:sz w:val="24"/>
                <w:szCs w:val="24"/>
              </w:rPr>
              <w:t>总量、用水效率、限制纳污“三条红线”水资源</w:t>
            </w:r>
            <w:r>
              <w:rPr>
                <w:rFonts w:hint="default" w:ascii="Times New Roman" w:hAnsi="Times New Roman" w:eastAsia="宋体" w:cs="Times New Roman"/>
                <w:color w:val="auto"/>
                <w:spacing w:val="1"/>
                <w:sz w:val="24"/>
                <w:szCs w:val="24"/>
              </w:rPr>
              <w:t>上限控制指标；按时完成耕地保有量、基本农田保护面积、建设用地总规模等土地资</w:t>
            </w:r>
            <w:r>
              <w:rPr>
                <w:rFonts w:hint="default" w:ascii="Times New Roman" w:hAnsi="Times New Roman" w:eastAsia="宋体" w:cs="Times New Roman"/>
                <w:color w:val="auto"/>
                <w:sz w:val="24"/>
                <w:szCs w:val="24"/>
              </w:rPr>
              <w:t>源利用上限</w:t>
            </w:r>
            <w:r>
              <w:rPr>
                <w:rFonts w:hint="default" w:ascii="Times New Roman" w:hAnsi="Times New Roman" w:eastAsia="宋体" w:cs="Times New Roman"/>
                <w:color w:val="auto"/>
                <w:spacing w:val="-4"/>
                <w:sz w:val="24"/>
                <w:szCs w:val="24"/>
              </w:rPr>
              <w:t>控制指标；按时完成单位GDP能耗下降率、能源消费总量等能源控制指标；矿产资源开采与保护达到预期目标；河湖岸线资源管控达到相关</w:t>
            </w:r>
            <w:r>
              <w:rPr>
                <w:rFonts w:hint="default" w:ascii="Times New Roman" w:hAnsi="Times New Roman" w:eastAsia="宋体" w:cs="Times New Roman"/>
                <w:color w:val="auto"/>
                <w:spacing w:val="-4"/>
                <w:sz w:val="24"/>
                <w:szCs w:val="24"/>
                <w:lang w:val="en-US" w:eastAsia="zh-CN"/>
              </w:rPr>
              <w:t>要</w:t>
            </w:r>
            <w:r>
              <w:rPr>
                <w:rFonts w:hint="default" w:ascii="Times New Roman" w:hAnsi="Times New Roman" w:eastAsia="宋体" w:cs="Times New Roman"/>
                <w:color w:val="auto"/>
                <w:spacing w:val="-4"/>
                <w:sz w:val="24"/>
                <w:szCs w:val="24"/>
              </w:rPr>
              <w:t>求。</w:t>
            </w:r>
          </w:p>
          <w:p w14:paraId="12CE2A09">
            <w:pPr>
              <w:pStyle w:val="48"/>
              <w:pageBreakBefore w:val="0"/>
              <w:kinsoku/>
              <w:wordWrap w:val="0"/>
              <w:overflowPunct/>
              <w:bidi w:val="0"/>
              <w:spacing w:before="49" w:line="360" w:lineRule="auto"/>
              <w:ind w:left="11" w:right="11" w:firstLine="480" w:firstLineChars="200"/>
              <w:jc w:val="both"/>
              <w:rPr>
                <w:rFonts w:hint="default" w:ascii="Times New Roman" w:hAnsi="Times New Roman" w:eastAsia="宋体" w:cs="Times New Roman"/>
                <w:color w:val="auto"/>
                <w:spacing w:val="-4"/>
                <w:sz w:val="24"/>
                <w:szCs w:val="24"/>
                <w:lang w:eastAsia="zh-CN"/>
              </w:rPr>
            </w:pPr>
            <w:r>
              <w:rPr>
                <w:rFonts w:hint="default" w:ascii="Times New Roman" w:hAnsi="Times New Roman" w:cs="Times New Roman" w:eastAsiaTheme="minorEastAsia"/>
                <w:color w:val="auto"/>
                <w:kern w:val="0"/>
                <w:sz w:val="24"/>
                <w:szCs w:val="24"/>
                <w:lang w:bidi="ar"/>
              </w:rPr>
              <w:t>项目</w:t>
            </w:r>
            <w:r>
              <w:rPr>
                <w:rFonts w:hint="default" w:ascii="Times New Roman" w:hAnsi="Times New Roman" w:cs="Times New Roman" w:eastAsiaTheme="minorEastAsia"/>
                <w:color w:val="auto"/>
                <w:kern w:val="0"/>
                <w:sz w:val="24"/>
                <w:szCs w:val="24"/>
                <w:lang w:val="en-US" w:eastAsia="zh-CN" w:bidi="ar"/>
              </w:rPr>
              <w:t>汽车冲洗废水经沉淀池处理后回用于项目洒水降尘；初期雨水经初期雨水收集池收集后回用于汽车冲洗及项目区内道路洒水降尘；</w:t>
            </w:r>
            <w:r>
              <w:rPr>
                <w:rFonts w:hint="eastAsia" w:ascii="Times New Roman" w:hAnsi="Times New Roman" w:cs="Times New Roman" w:eastAsiaTheme="minorEastAsia"/>
                <w:color w:val="auto"/>
                <w:kern w:val="0"/>
                <w:sz w:val="24"/>
                <w:szCs w:val="24"/>
                <w:lang w:val="en-US" w:eastAsia="zh-CN" w:bidi="ar"/>
              </w:rPr>
              <w:t>生活污水经化粪池预处理后经项目一体化污水处理设备处理后回用于项目生活区洒水降尘，不外排</w:t>
            </w:r>
            <w:r>
              <w:rPr>
                <w:rFonts w:hint="default" w:ascii="Times New Roman" w:hAnsi="Times New Roman" w:cs="Times New Roman" w:eastAsiaTheme="minorEastAsia"/>
                <w:color w:val="auto"/>
                <w:kern w:val="0"/>
                <w:sz w:val="24"/>
                <w:szCs w:val="24"/>
                <w:lang w:val="en-US" w:eastAsia="zh-CN" w:bidi="ar"/>
              </w:rPr>
              <w:t>；</w:t>
            </w:r>
            <w:r>
              <w:rPr>
                <w:rFonts w:hint="default" w:ascii="Times New Roman" w:hAnsi="Times New Roman" w:cs="Times New Roman"/>
                <w:color w:val="auto"/>
                <w:spacing w:val="-4"/>
                <w:sz w:val="24"/>
                <w:szCs w:val="24"/>
                <w:lang w:val="en-US" w:eastAsia="zh-CN"/>
              </w:rPr>
              <w:t>储煤过程中采取搭建晾晒棚、遮盖防尘网的防尘措施后，无组织粉尘</w:t>
            </w:r>
            <w:r>
              <w:rPr>
                <w:rFonts w:hint="default" w:ascii="Times New Roman" w:hAnsi="Times New Roman" w:eastAsia="宋体" w:cs="Times New Roman"/>
                <w:color w:val="auto"/>
                <w:spacing w:val="-4"/>
                <w:sz w:val="24"/>
                <w:szCs w:val="24"/>
                <w:lang w:val="en-US" w:eastAsia="zh-CN"/>
              </w:rPr>
              <w:t>可满足</w:t>
            </w:r>
            <w:r>
              <w:rPr>
                <w:rFonts w:hint="default" w:ascii="Times New Roman" w:hAnsi="Times New Roman" w:cs="Times New Roman"/>
                <w:sz w:val="24"/>
                <w:lang w:val="en-US" w:eastAsia="zh-CN"/>
              </w:rPr>
              <w:t>《煤炭工业污染物排放标准》（GB20426-2006）表5标准限值</w:t>
            </w:r>
            <w:r>
              <w:rPr>
                <w:rFonts w:hint="default" w:ascii="Times New Roman" w:hAnsi="Times New Roman" w:cs="Times New Roman"/>
                <w:color w:val="auto"/>
                <w:spacing w:val="-4"/>
                <w:sz w:val="24"/>
                <w:szCs w:val="24"/>
                <w:lang w:val="en-US" w:eastAsia="zh-CN"/>
              </w:rPr>
              <w:t>；</w:t>
            </w:r>
            <w:r>
              <w:rPr>
                <w:rFonts w:hint="default" w:ascii="Times New Roman" w:hAnsi="Times New Roman" w:cs="Times New Roman"/>
                <w:color w:val="auto"/>
                <w:sz w:val="24"/>
              </w:rPr>
              <w:t>在采取相关环保措施后，项目产生的废气、</w:t>
            </w:r>
            <w:r>
              <w:rPr>
                <w:rFonts w:hint="default" w:ascii="Times New Roman" w:hAnsi="Times New Roman" w:cs="Times New Roman"/>
                <w:color w:val="auto"/>
                <w:sz w:val="24"/>
                <w:lang w:val="en-US" w:eastAsia="zh-CN"/>
              </w:rPr>
              <w:t>废水、</w:t>
            </w:r>
            <w:r>
              <w:rPr>
                <w:rFonts w:hint="default" w:ascii="Times New Roman" w:hAnsi="Times New Roman" w:cs="Times New Roman"/>
                <w:color w:val="auto"/>
                <w:sz w:val="24"/>
              </w:rPr>
              <w:t>噪声能达标排放，固废妥善处置率100%，对所在区域的环境质量影响较小。</w:t>
            </w:r>
          </w:p>
          <w:p w14:paraId="03B395E8">
            <w:pPr>
              <w:pStyle w:val="36"/>
              <w:keepNext w:val="0"/>
              <w:keepLines w:val="0"/>
              <w:pageBreakBefore w:val="0"/>
              <w:widowControl w:val="0"/>
              <w:kinsoku/>
              <w:wordWrap w:val="0"/>
              <w:overflowPunct/>
              <w:topLinePunct w:val="0"/>
              <w:bidi w:val="0"/>
              <w:ind w:firstLine="480"/>
              <w:textAlignment w:val="auto"/>
              <w:rPr>
                <w:rFonts w:hint="default" w:ascii="Times New Roman" w:hAnsi="Times New Roman" w:eastAsia="宋体" w:cs="Times New Roman"/>
                <w:color w:val="auto"/>
                <w:spacing w:val="1"/>
                <w:sz w:val="24"/>
                <w:szCs w:val="24"/>
                <w:lang w:val="en-US" w:eastAsia="zh-CN"/>
              </w:rPr>
            </w:pPr>
            <w:r>
              <w:rPr>
                <w:rFonts w:hint="default" w:ascii="Times New Roman" w:hAnsi="Times New Roman" w:eastAsia="宋体" w:cs="Times New Roman"/>
                <w:color w:val="auto"/>
                <w:kern w:val="2"/>
                <w:sz w:val="24"/>
                <w:szCs w:val="22"/>
                <w:lang w:val="en-US" w:eastAsia="en-US" w:bidi="ar-SA"/>
              </w:rPr>
              <w:t>项目</w:t>
            </w:r>
            <w:r>
              <w:rPr>
                <w:rFonts w:hint="default" w:ascii="Times New Roman" w:hAnsi="Times New Roman" w:eastAsia="宋体" w:cs="Times New Roman"/>
                <w:color w:val="auto"/>
                <w:kern w:val="2"/>
                <w:sz w:val="24"/>
                <w:szCs w:val="22"/>
                <w:lang w:val="en-US" w:eastAsia="zh-CN" w:bidi="ar-SA"/>
              </w:rPr>
              <w:t>直接租用租用</w:t>
            </w:r>
            <w:r>
              <w:rPr>
                <w:rFonts w:hint="eastAsia" w:cs="Times New Roman"/>
                <w:color w:val="auto"/>
                <w:kern w:val="2"/>
                <w:sz w:val="24"/>
                <w:szCs w:val="22"/>
                <w:lang w:val="en-US" w:eastAsia="zh-CN" w:bidi="ar-SA"/>
              </w:rPr>
              <w:t>云南昆明亦标水泥有限公司</w:t>
            </w:r>
            <w:r>
              <w:rPr>
                <w:rFonts w:hint="default" w:ascii="Times New Roman" w:hAnsi="Times New Roman" w:eastAsia="宋体" w:cs="Times New Roman"/>
                <w:color w:val="auto"/>
                <w:kern w:val="2"/>
                <w:sz w:val="24"/>
                <w:szCs w:val="22"/>
                <w:lang w:val="en-US" w:eastAsia="zh-CN" w:bidi="ar-SA"/>
              </w:rPr>
              <w:t>原有占地</w:t>
            </w:r>
            <w:r>
              <w:rPr>
                <w:rFonts w:hint="default" w:ascii="Times New Roman" w:hAnsi="Times New Roman" w:cs="Times New Roman"/>
                <w:color w:val="auto"/>
                <w:kern w:val="2"/>
                <w:sz w:val="24"/>
                <w:szCs w:val="22"/>
                <w:lang w:val="en-US" w:eastAsia="zh-CN" w:bidi="ar-SA"/>
              </w:rPr>
              <w:t>进行煤炭仓储转运</w:t>
            </w:r>
            <w:r>
              <w:rPr>
                <w:rFonts w:hint="default" w:ascii="Times New Roman" w:hAnsi="Times New Roman" w:eastAsia="宋体" w:cs="Times New Roman"/>
                <w:color w:val="auto"/>
                <w:kern w:val="2"/>
                <w:sz w:val="24"/>
                <w:szCs w:val="22"/>
                <w:lang w:val="en-US" w:eastAsia="zh-CN" w:bidi="ar-SA"/>
              </w:rPr>
              <w:t>，</w:t>
            </w:r>
            <w:r>
              <w:rPr>
                <w:rFonts w:hint="default" w:ascii="Times New Roman" w:hAnsi="Times New Roman" w:cs="Times New Roman"/>
                <w:bCs/>
                <w:color w:val="auto"/>
                <w:kern w:val="0"/>
                <w:sz w:val="24"/>
                <w:lang w:val="en-US" w:eastAsia="zh-CN"/>
              </w:rPr>
              <w:t>不占用基本农田，不涉及新增占地</w:t>
            </w:r>
            <w:r>
              <w:rPr>
                <w:rFonts w:hint="default" w:ascii="Times New Roman" w:hAnsi="Times New Roman" w:cs="Times New Roman"/>
                <w:bCs/>
                <w:color w:val="auto"/>
                <w:kern w:val="0"/>
                <w:sz w:val="24"/>
                <w:lang w:eastAsia="zh-CN"/>
              </w:rPr>
              <w:t>；</w:t>
            </w:r>
            <w:r>
              <w:rPr>
                <w:rFonts w:hint="default" w:ascii="Times New Roman" w:hAnsi="Times New Roman" w:cs="Times New Roman"/>
                <w:bCs/>
                <w:color w:val="auto"/>
                <w:kern w:val="0"/>
                <w:sz w:val="24"/>
                <w:lang w:val="en-US" w:eastAsia="zh-CN"/>
              </w:rPr>
              <w:t>项目生产过程中仅涉及办公用水，用水量较少</w:t>
            </w:r>
            <w:r>
              <w:rPr>
                <w:rFonts w:hint="default" w:ascii="Times New Roman" w:hAnsi="Times New Roman" w:cs="Times New Roman"/>
                <w:bCs/>
                <w:color w:val="auto"/>
                <w:kern w:val="0"/>
                <w:sz w:val="24"/>
                <w:lang w:eastAsia="zh-CN"/>
              </w:rPr>
              <w:t>。</w:t>
            </w:r>
            <w:r>
              <w:rPr>
                <w:rFonts w:hint="default" w:ascii="Times New Roman" w:hAnsi="Times New Roman" w:cs="Times New Roman"/>
                <w:bCs/>
                <w:color w:val="auto"/>
                <w:kern w:val="0"/>
                <w:sz w:val="24"/>
              </w:rPr>
              <w:t>生产过程中</w:t>
            </w:r>
            <w:r>
              <w:rPr>
                <w:rFonts w:hint="default" w:ascii="Times New Roman" w:hAnsi="Times New Roman" w:cs="Times New Roman"/>
                <w:bCs/>
                <w:color w:val="auto"/>
                <w:kern w:val="0"/>
                <w:sz w:val="24"/>
                <w:lang w:val="en-US" w:eastAsia="zh-CN"/>
              </w:rPr>
              <w:t>使用能源为</w:t>
            </w:r>
            <w:r>
              <w:rPr>
                <w:rFonts w:hint="default" w:ascii="Times New Roman" w:hAnsi="Times New Roman" w:cs="Times New Roman"/>
                <w:bCs/>
                <w:color w:val="auto"/>
                <w:kern w:val="0"/>
                <w:sz w:val="24"/>
              </w:rPr>
              <w:t>电能，能耗不高</w:t>
            </w:r>
            <w:r>
              <w:rPr>
                <w:rFonts w:hint="default" w:ascii="Times New Roman" w:hAnsi="Times New Roman" w:cs="Times New Roman"/>
                <w:bCs/>
                <w:color w:val="auto"/>
                <w:kern w:val="0"/>
                <w:sz w:val="24"/>
                <w:lang w:eastAsia="zh-CN"/>
              </w:rPr>
              <w:t>。</w:t>
            </w:r>
            <w:r>
              <w:rPr>
                <w:rFonts w:hint="default" w:ascii="Times New Roman" w:hAnsi="Times New Roman" w:cs="Times New Roman"/>
                <w:bCs/>
                <w:color w:val="auto"/>
                <w:kern w:val="0"/>
                <w:sz w:val="24"/>
              </w:rPr>
              <w:t>项目建设不会突破区域的资源利用上限要求。</w:t>
            </w:r>
          </w:p>
          <w:p w14:paraId="0E4E7498">
            <w:pPr>
              <w:pStyle w:val="50"/>
              <w:keepNext w:val="0"/>
              <w:keepLines w:val="0"/>
              <w:pageBreakBefore w:val="0"/>
              <w:widowControl w:val="0"/>
              <w:kinsoku/>
              <w:wordWrap w:val="0"/>
              <w:overflowPunct/>
              <w:topLinePunct w:val="0"/>
              <w:bidi w:val="0"/>
              <w:spacing w:line="360" w:lineRule="auto"/>
              <w:ind w:left="0" w:firstLine="0"/>
              <w:rPr>
                <w:rFonts w:hint="default" w:ascii="Times New Roman" w:hAnsi="Times New Roman" w:cs="Times New Roman"/>
                <w:b/>
                <w:bCs/>
                <w:color w:val="auto"/>
                <w:kern w:val="2"/>
                <w:szCs w:val="24"/>
              </w:rPr>
            </w:pPr>
            <w:r>
              <w:rPr>
                <w:rFonts w:hint="default" w:ascii="Times New Roman" w:hAnsi="Times New Roman" w:cs="Times New Roman"/>
                <w:b/>
                <w:bCs/>
                <w:color w:val="auto"/>
                <w:kern w:val="2"/>
                <w:szCs w:val="24"/>
                <w:lang w:val="en-US" w:eastAsia="zh-CN"/>
              </w:rPr>
              <w:t>4</w:t>
            </w:r>
            <w:r>
              <w:rPr>
                <w:rFonts w:hint="default" w:ascii="Times New Roman" w:hAnsi="Times New Roman" w:cs="Times New Roman"/>
                <w:b/>
                <w:bCs/>
                <w:color w:val="auto"/>
                <w:kern w:val="2"/>
                <w:szCs w:val="24"/>
              </w:rPr>
              <w:t>、与《云南省牛栏江保护条例》符合性分析</w:t>
            </w:r>
          </w:p>
          <w:p w14:paraId="737F43C0">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根据《云南省牛栏江保护条例》，牛栏江流域上游保护区划分为水源保护核心区、重点污染控制区和重点水源涵养区，各分区范围节点如下：</w:t>
            </w:r>
          </w:p>
          <w:p w14:paraId="3836FD1D">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①水源保护核心区包括德泽水库库区和德泽水库以上牛栏江干流区。德泽水库库区为德泽水库正常蓄水位1790米水面及沿岸外延2000米的范围，区域范围超过一级山脊线的，按照一级山脊线划定；德泽水库以上牛栏江干流区指德泽水库以上干流（包括干流源头矣纳岔口至嘉丽泽对龙河河段）水域及两岸外延1000米的范围，区域范围超过一级山脊线的，按照一级山脊线划定。</w:t>
            </w:r>
          </w:p>
          <w:p w14:paraId="799509FE">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②重点污染控制区为水源保护核心区以外，流域范围内的坝区以及花庄河、果马河、普沙河、弥良河、对龙河、杨林河、匡郎河、前进河、马龙河水域及两岸外延3000米的区域，区域范围超过一级山脊线的，按照一级山脊线划定。</w:t>
            </w:r>
          </w:p>
          <w:p w14:paraId="53C5664A">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③重点水源涵养区为流域范围内除水源保护核心区、重点污染控制区以外的集水区域。</w:t>
            </w:r>
          </w:p>
          <w:p w14:paraId="3FAEE6B1">
            <w:pPr>
              <w:pageBreakBefore w:val="0"/>
              <w:kinsoku/>
              <w:wordWrap w:val="0"/>
              <w:overflowPunct/>
              <w:bidi w:val="0"/>
              <w:spacing w:line="360" w:lineRule="auto"/>
              <w:ind w:firstLine="480" w:firstLineChars="200"/>
              <w:rPr>
                <w:rFonts w:hint="default" w:ascii="Times New Roman" w:hAnsi="Times New Roman" w:eastAsia="Times New Roman" w:cs="Times New Roman"/>
                <w:b w:val="0"/>
                <w:bCs w:val="0"/>
                <w:snapToGrid w:val="0"/>
                <w:color w:val="auto"/>
                <w:kern w:val="0"/>
                <w:sz w:val="24"/>
                <w:szCs w:val="24"/>
                <w:lang w:val="en-US" w:eastAsia="zh-CN" w:bidi="ar-SA"/>
              </w:rPr>
            </w:pPr>
            <w:r>
              <w:rPr>
                <w:rFonts w:hint="default" w:ascii="Times New Roman" w:hAnsi="Times New Roman" w:eastAsia="Times New Roman" w:cs="Times New Roman"/>
                <w:b w:val="0"/>
                <w:bCs w:val="0"/>
                <w:snapToGrid w:val="0"/>
                <w:color w:val="auto"/>
                <w:kern w:val="0"/>
                <w:sz w:val="24"/>
                <w:szCs w:val="24"/>
                <w:lang w:val="en-US" w:eastAsia="zh-CN" w:bidi="ar-SA"/>
              </w:rPr>
              <w:t>本项目位于云南省昆明市寻甸县金所街道三月三路中段，根据牛栏江水系功能规划图可知，项目区属于重点污染控制区。根据《云南省牛栏江保护条例》中第三十二、三十三条中规定的禁止行为分析项目选址符合性。</w:t>
            </w:r>
          </w:p>
          <w:p w14:paraId="17B8B86C">
            <w:pPr>
              <w:pageBreakBefore w:val="0"/>
              <w:kinsoku/>
              <w:wordWrap w:val="0"/>
              <w:overflowPunct/>
              <w:bidi w:val="0"/>
              <w:spacing w:line="360" w:lineRule="auto"/>
              <w:ind w:firstLine="420" w:firstLineChars="200"/>
              <w:jc w:val="center"/>
              <w:rPr>
                <w:rFonts w:hint="default" w:ascii="Times New Roman" w:hAnsi="Times New Roman" w:eastAsia="Times New Roman" w:cs="Times New Roman"/>
                <w:b/>
                <w:bCs/>
                <w:snapToGrid w:val="0"/>
                <w:color w:val="auto"/>
                <w:kern w:val="0"/>
                <w:sz w:val="24"/>
                <w:szCs w:val="24"/>
                <w:lang w:val="en-US" w:eastAsia="zh-CN" w:bidi="ar-SA"/>
              </w:rPr>
            </w:pPr>
            <w:r>
              <w:rPr>
                <w:rFonts w:hint="default" w:ascii="Times New Roman" w:hAnsi="Times New Roman" w:eastAsia="Times New Roman" w:cs="Times New Roman"/>
                <w:b/>
                <w:bCs/>
                <w:snapToGrid w:val="0"/>
                <w:color w:val="auto"/>
                <w:kern w:val="0"/>
                <w:sz w:val="21"/>
                <w:szCs w:val="21"/>
                <w:lang w:val="en-US" w:eastAsia="zh-CN" w:bidi="ar-SA"/>
              </w:rPr>
              <w:t>表1-4 项目选址与《云南省牛栏江保护条例》对照分析</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3674"/>
              <w:gridCol w:w="2775"/>
              <w:gridCol w:w="905"/>
            </w:tblGrid>
            <w:tr w14:paraId="6FEEB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09" w:type="pct"/>
                  <w:vAlign w:val="center"/>
                </w:tcPr>
                <w:p w14:paraId="42F0E7FC">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2343" w:type="pct"/>
                  <w:vAlign w:val="center"/>
                </w:tcPr>
                <w:p w14:paraId="73153991">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云南省牛栏江保护条例》选址条件</w:t>
                  </w:r>
                </w:p>
              </w:tc>
              <w:tc>
                <w:tcPr>
                  <w:tcW w:w="1770" w:type="pct"/>
                  <w:vAlign w:val="center"/>
                </w:tcPr>
                <w:p w14:paraId="41E6D625">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本项目实际情况</w:t>
                  </w:r>
                </w:p>
              </w:tc>
              <w:tc>
                <w:tcPr>
                  <w:tcW w:w="576" w:type="pct"/>
                  <w:vAlign w:val="center"/>
                </w:tcPr>
                <w:p w14:paraId="26A0851F">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相符性</w:t>
                  </w:r>
                </w:p>
              </w:tc>
            </w:tr>
            <w:tr w14:paraId="3667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09" w:type="pct"/>
                  <w:vMerge w:val="restart"/>
                  <w:vAlign w:val="center"/>
                </w:tcPr>
                <w:p w14:paraId="6AE93A6A">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690" w:type="pct"/>
                  <w:gridSpan w:val="3"/>
                  <w:vAlign w:val="center"/>
                </w:tcPr>
                <w:p w14:paraId="219985FE">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三十二条重点水源涵养区禁止下列行为</w:t>
                  </w:r>
                </w:p>
              </w:tc>
            </w:tr>
            <w:tr w14:paraId="7E466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09" w:type="pct"/>
                  <w:vMerge w:val="continue"/>
                  <w:vAlign w:val="center"/>
                </w:tcPr>
                <w:p w14:paraId="5EDBC4C3">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p>
              </w:tc>
              <w:tc>
                <w:tcPr>
                  <w:tcW w:w="2343" w:type="pct"/>
                  <w:vAlign w:val="center"/>
                </w:tcPr>
                <w:p w14:paraId="7253FA8D">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（一）盗伐、滥伐林木和破坏草地；</w:t>
                  </w:r>
                </w:p>
              </w:tc>
              <w:tc>
                <w:tcPr>
                  <w:tcW w:w="1770" w:type="pct"/>
                  <w:vAlign w:val="center"/>
                </w:tcPr>
                <w:p w14:paraId="62B0E86D">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项目</w:t>
                  </w:r>
                  <w:r>
                    <w:rPr>
                      <w:rFonts w:hint="default" w:ascii="Times New Roman" w:hAnsi="Times New Roman" w:cs="Times New Roman"/>
                      <w:color w:val="auto"/>
                      <w:sz w:val="21"/>
                      <w:szCs w:val="21"/>
                      <w:lang w:val="en-US" w:eastAsia="zh-CN"/>
                    </w:rPr>
                    <w:t>租用</w:t>
                  </w:r>
                  <w:r>
                    <w:rPr>
                      <w:rFonts w:hint="eastAsia" w:cs="Times New Roman"/>
                      <w:color w:val="auto"/>
                      <w:sz w:val="21"/>
                      <w:szCs w:val="21"/>
                      <w:lang w:val="en-US" w:eastAsia="zh-CN"/>
                    </w:rPr>
                    <w:t>云南昆明亦标水泥有限公司</w:t>
                  </w:r>
                  <w:r>
                    <w:rPr>
                      <w:rFonts w:hint="default" w:ascii="Times New Roman" w:hAnsi="Times New Roman" w:eastAsia="宋体" w:cs="Times New Roman"/>
                      <w:color w:val="auto"/>
                      <w:kern w:val="2"/>
                      <w:sz w:val="21"/>
                      <w:szCs w:val="21"/>
                      <w:lang w:val="en-US" w:eastAsia="zh-CN" w:bidi="ar-SA"/>
                    </w:rPr>
                    <w:t>原有占地</w:t>
                  </w:r>
                  <w:r>
                    <w:rPr>
                      <w:rFonts w:hint="default" w:ascii="Times New Roman" w:hAnsi="Times New Roman" w:cs="Times New Roman"/>
                      <w:color w:val="auto"/>
                      <w:kern w:val="2"/>
                      <w:sz w:val="21"/>
                      <w:szCs w:val="21"/>
                      <w:lang w:val="en-US" w:eastAsia="zh-CN" w:bidi="ar-SA"/>
                    </w:rPr>
                    <w:t>进行煤炭仓储转运</w:t>
                  </w:r>
                  <w:r>
                    <w:rPr>
                      <w:rFonts w:hint="default" w:ascii="Times New Roman" w:hAnsi="Times New Roman" w:cs="Times New Roman"/>
                      <w:color w:val="auto"/>
                      <w:sz w:val="21"/>
                      <w:szCs w:val="21"/>
                      <w:lang w:val="en-US" w:eastAsia="zh-CN"/>
                    </w:rPr>
                    <w:t>，不新增占地，不涉及盗伐滥伐林木和草地项目。</w:t>
                  </w:r>
                </w:p>
              </w:tc>
              <w:tc>
                <w:tcPr>
                  <w:tcW w:w="576" w:type="pct"/>
                  <w:vAlign w:val="center"/>
                </w:tcPr>
                <w:p w14:paraId="4FD2AAEA">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F49A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09" w:type="pct"/>
                  <w:vMerge w:val="continue"/>
                  <w:vAlign w:val="center"/>
                </w:tcPr>
                <w:p w14:paraId="6ECE6FFB">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p>
              </w:tc>
              <w:tc>
                <w:tcPr>
                  <w:tcW w:w="2343" w:type="pct"/>
                  <w:vAlign w:val="center"/>
                </w:tcPr>
                <w:p w14:paraId="69367435">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（二）使用高毒、高残留农药；</w:t>
                  </w:r>
                </w:p>
              </w:tc>
              <w:tc>
                <w:tcPr>
                  <w:tcW w:w="1770" w:type="pct"/>
                  <w:vAlign w:val="center"/>
                </w:tcPr>
                <w:p w14:paraId="1FBA6A3A">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项目不涉及高毒、高残留农药</w:t>
                  </w:r>
                  <w:r>
                    <w:rPr>
                      <w:rFonts w:hint="default" w:ascii="Times New Roman" w:hAnsi="Times New Roman" w:cs="Times New Roman"/>
                      <w:color w:val="auto"/>
                      <w:sz w:val="21"/>
                      <w:szCs w:val="21"/>
                      <w:lang w:val="en-US" w:eastAsia="zh-CN"/>
                    </w:rPr>
                    <w:t>的使用。</w:t>
                  </w:r>
                </w:p>
              </w:tc>
              <w:tc>
                <w:tcPr>
                  <w:tcW w:w="576" w:type="pct"/>
                  <w:vAlign w:val="center"/>
                </w:tcPr>
                <w:p w14:paraId="509F655A">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51B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309" w:type="pct"/>
                  <w:vMerge w:val="continue"/>
                  <w:vAlign w:val="center"/>
                </w:tcPr>
                <w:p w14:paraId="7FC8AEE6">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p>
              </w:tc>
              <w:tc>
                <w:tcPr>
                  <w:tcW w:w="2343" w:type="pct"/>
                  <w:vAlign w:val="center"/>
                </w:tcPr>
                <w:p w14:paraId="09E6F0AA">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（三）利用溶洞、渗井、渗坑、裂隙排放、倾倒含有毒有害物质的废水、废渣；</w:t>
                  </w:r>
                </w:p>
              </w:tc>
              <w:tc>
                <w:tcPr>
                  <w:tcW w:w="1770" w:type="pct"/>
                  <w:vMerge w:val="restart"/>
                  <w:vAlign w:val="center"/>
                </w:tcPr>
                <w:p w14:paraId="07F2082C">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本项目不向地表水体直接排放废水。</w:t>
                  </w:r>
                </w:p>
              </w:tc>
              <w:tc>
                <w:tcPr>
                  <w:tcW w:w="576" w:type="pct"/>
                  <w:vAlign w:val="center"/>
                </w:tcPr>
                <w:p w14:paraId="1A597A55">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409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309" w:type="pct"/>
                  <w:vMerge w:val="continue"/>
                  <w:vAlign w:val="center"/>
                </w:tcPr>
                <w:p w14:paraId="6DAF1DE1">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p>
              </w:tc>
              <w:tc>
                <w:tcPr>
                  <w:tcW w:w="2343" w:type="pct"/>
                  <w:vAlign w:val="center"/>
                </w:tcPr>
                <w:p w14:paraId="284A73AC">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（四）向水体排放废水、倾倒工业废渣、城镇垃圾或者其他废弃物；</w:t>
                  </w:r>
                </w:p>
              </w:tc>
              <w:tc>
                <w:tcPr>
                  <w:tcW w:w="1770" w:type="pct"/>
                  <w:vMerge w:val="continue"/>
                  <w:vAlign w:val="center"/>
                </w:tcPr>
                <w:p w14:paraId="30AD86B7">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p>
              </w:tc>
              <w:tc>
                <w:tcPr>
                  <w:tcW w:w="576" w:type="pct"/>
                  <w:vAlign w:val="center"/>
                </w:tcPr>
                <w:p w14:paraId="4B544005">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04A7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09" w:type="pct"/>
                  <w:vMerge w:val="continue"/>
                  <w:vAlign w:val="center"/>
                </w:tcPr>
                <w:p w14:paraId="07E2F10B">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p>
              </w:tc>
              <w:tc>
                <w:tcPr>
                  <w:tcW w:w="2343" w:type="pct"/>
                  <w:vAlign w:val="center"/>
                </w:tcPr>
                <w:p w14:paraId="19EED3A9">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（五）在江河、渠道、水库最高水位线以下的滩地、岸坡堆放、存贮固体废弃物或者其他污染物；</w:t>
                  </w:r>
                </w:p>
              </w:tc>
              <w:tc>
                <w:tcPr>
                  <w:tcW w:w="1770" w:type="pct"/>
                  <w:vAlign w:val="center"/>
                </w:tcPr>
                <w:p w14:paraId="5E7CDC6C">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项目不在江河、渠道、水库最高水位线以下的滩地、岸坡堆放、存贮固体废弃物或者其他污染物。</w:t>
                  </w:r>
                </w:p>
              </w:tc>
              <w:tc>
                <w:tcPr>
                  <w:tcW w:w="576" w:type="pct"/>
                  <w:vAlign w:val="center"/>
                </w:tcPr>
                <w:p w14:paraId="54FC0F5C">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BB17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09" w:type="pct"/>
                  <w:vMerge w:val="continue"/>
                  <w:vAlign w:val="center"/>
                </w:tcPr>
                <w:p w14:paraId="2282AF99">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p>
              </w:tc>
              <w:tc>
                <w:tcPr>
                  <w:tcW w:w="2343" w:type="pct"/>
                  <w:vAlign w:val="center"/>
                </w:tcPr>
                <w:p w14:paraId="4D4C2749">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（六）利用无防渗漏措施的沟渠、坑塘等输送或者存贮含有毒污染物的废水、含病原体的污水或者其他废弃物。"</w:t>
                  </w:r>
                </w:p>
              </w:tc>
              <w:tc>
                <w:tcPr>
                  <w:tcW w:w="1770" w:type="pct"/>
                  <w:vAlign w:val="center"/>
                </w:tcPr>
                <w:p w14:paraId="546009BA">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项目项目不</w:t>
                  </w:r>
                  <w:r>
                    <w:rPr>
                      <w:rFonts w:hint="default" w:ascii="Times New Roman" w:hAnsi="Times New Roman" w:cs="Times New Roman"/>
                      <w:color w:val="auto"/>
                      <w:sz w:val="21"/>
                      <w:szCs w:val="21"/>
                      <w:lang w:val="en-US" w:eastAsia="zh-CN"/>
                    </w:rPr>
                    <w:t>涉及</w:t>
                  </w:r>
                  <w:r>
                    <w:rPr>
                      <w:rFonts w:hint="default" w:ascii="Times New Roman" w:hAnsi="Times New Roman" w:eastAsia="宋体" w:cs="Times New Roman"/>
                      <w:color w:val="auto"/>
                      <w:sz w:val="21"/>
                      <w:szCs w:val="21"/>
                    </w:rPr>
                    <w:t>含</w:t>
                  </w:r>
                  <w:r>
                    <w:rPr>
                      <w:rFonts w:hint="default" w:ascii="Times New Roman" w:hAnsi="Times New Roman" w:eastAsia="宋体" w:cs="Times New Roman"/>
                      <w:color w:val="auto"/>
                      <w:sz w:val="21"/>
                      <w:szCs w:val="21"/>
                    </w:rPr>
                    <w:cr/>
                  </w:r>
                  <w:r>
                    <w:rPr>
                      <w:rFonts w:hint="default" w:ascii="Times New Roman" w:hAnsi="Times New Roman" w:eastAsia="宋体" w:cs="Times New Roman"/>
                      <w:color w:val="auto"/>
                      <w:sz w:val="21"/>
                      <w:szCs w:val="21"/>
                    </w:rPr>
                    <w:t>毒、病原体的污水。</w:t>
                  </w:r>
                </w:p>
              </w:tc>
              <w:tc>
                <w:tcPr>
                  <w:tcW w:w="576" w:type="pct"/>
                  <w:vAlign w:val="center"/>
                </w:tcPr>
                <w:p w14:paraId="70855988">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FFF2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309" w:type="pct"/>
                  <w:vMerge w:val="restart"/>
                  <w:vAlign w:val="center"/>
                </w:tcPr>
                <w:p w14:paraId="32697A44">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4690" w:type="pct"/>
                  <w:gridSpan w:val="3"/>
                  <w:vAlign w:val="center"/>
                </w:tcPr>
                <w:p w14:paraId="7AAFC75B">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第三十三条重点污染控制区内除重点水源涵养区禁止的行为外，还禁止下列行为：</w:t>
                  </w:r>
                </w:p>
              </w:tc>
            </w:tr>
            <w:tr w14:paraId="097C2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09" w:type="pct"/>
                  <w:vMerge w:val="continue"/>
                  <w:vAlign w:val="center"/>
                </w:tcPr>
                <w:p w14:paraId="1240AC85">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p>
              </w:tc>
              <w:tc>
                <w:tcPr>
                  <w:tcW w:w="2343" w:type="pct"/>
                  <w:vAlign w:val="center"/>
                </w:tcPr>
                <w:p w14:paraId="7B108761">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（一）新建、扩建工业园区；</w:t>
                  </w:r>
                </w:p>
              </w:tc>
              <w:tc>
                <w:tcPr>
                  <w:tcW w:w="1770" w:type="pct"/>
                  <w:vAlign w:val="center"/>
                </w:tcPr>
                <w:p w14:paraId="786DD8EF">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项目</w:t>
                  </w:r>
                  <w:r>
                    <w:rPr>
                      <w:rFonts w:hint="default" w:ascii="Times New Roman" w:hAnsi="Times New Roman" w:cs="Times New Roman"/>
                      <w:color w:val="auto"/>
                      <w:sz w:val="21"/>
                      <w:szCs w:val="21"/>
                      <w:lang w:val="en-US" w:eastAsia="zh-CN"/>
                    </w:rPr>
                    <w:t>不涉及新建扩建工业园区</w:t>
                  </w:r>
                </w:p>
              </w:tc>
              <w:tc>
                <w:tcPr>
                  <w:tcW w:w="576" w:type="pct"/>
                  <w:vAlign w:val="center"/>
                </w:tcPr>
                <w:p w14:paraId="22FAB1BB">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4389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309" w:type="pct"/>
                  <w:vMerge w:val="continue"/>
                  <w:vAlign w:val="center"/>
                </w:tcPr>
                <w:p w14:paraId="560B679A">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p>
              </w:tc>
              <w:tc>
                <w:tcPr>
                  <w:tcW w:w="2343" w:type="pct"/>
                  <w:vAlign w:val="center"/>
                </w:tcPr>
                <w:p w14:paraId="514C4FDE">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（二）新建、扩建重点水污染物排放的工业项目；</w:t>
                  </w:r>
                </w:p>
              </w:tc>
              <w:tc>
                <w:tcPr>
                  <w:tcW w:w="1770" w:type="pct"/>
                  <w:vAlign w:val="center"/>
                </w:tcPr>
                <w:p w14:paraId="205B585B">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highlight w:val="none"/>
                      <w:u w:val="none"/>
                      <w:lang w:val="en-US" w:eastAsia="zh-CN"/>
                    </w:rPr>
                    <w:t>根据《国民经济行业分类与代码》（GB/T4754-2017），本项目属于</w:t>
                  </w:r>
                  <w:r>
                    <w:rPr>
                      <w:rFonts w:hint="eastAsia" w:cs="Times New Roman"/>
                      <w:color w:val="auto"/>
                      <w:sz w:val="21"/>
                      <w:szCs w:val="21"/>
                      <w:highlight w:val="none"/>
                      <w:u w:val="none"/>
                      <w:lang w:val="en-US" w:eastAsia="zh-CN"/>
                    </w:rPr>
                    <w:t>B0620褐煤开采洗选</w:t>
                  </w:r>
                  <w:r>
                    <w:rPr>
                      <w:rFonts w:hint="default" w:ascii="Times New Roman" w:hAnsi="Times New Roman"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rPr>
                    <w:t>不属于重点水污染物排放工业项目</w:t>
                  </w:r>
                </w:p>
              </w:tc>
              <w:tc>
                <w:tcPr>
                  <w:tcW w:w="576" w:type="pct"/>
                  <w:vAlign w:val="center"/>
                </w:tcPr>
                <w:p w14:paraId="3030EE8C">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C05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309" w:type="pct"/>
                  <w:vMerge w:val="continue"/>
                  <w:vAlign w:val="center"/>
                </w:tcPr>
                <w:p w14:paraId="3A47D54F">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p>
              </w:tc>
              <w:tc>
                <w:tcPr>
                  <w:tcW w:w="2343" w:type="pct"/>
                  <w:vAlign w:val="center"/>
                </w:tcPr>
                <w:p w14:paraId="3C928020">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（三）新建、改建、扩建经营性陵园、公墓。</w:t>
                  </w:r>
                </w:p>
              </w:tc>
              <w:tc>
                <w:tcPr>
                  <w:tcW w:w="1770" w:type="pct"/>
                  <w:vAlign w:val="center"/>
                </w:tcPr>
                <w:p w14:paraId="35F888DD">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项目不属于陵园、公墓</w:t>
                  </w:r>
                </w:p>
              </w:tc>
              <w:tc>
                <w:tcPr>
                  <w:tcW w:w="576" w:type="pct"/>
                  <w:vAlign w:val="center"/>
                </w:tcPr>
                <w:p w14:paraId="284CED3B">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7DAD806E">
            <w:pPr>
              <w:pStyle w:val="36"/>
              <w:keepNext w:val="0"/>
              <w:keepLines w:val="0"/>
              <w:pageBreakBefore w:val="0"/>
              <w:widowControl w:val="0"/>
              <w:kinsoku/>
              <w:wordWrap w:val="0"/>
              <w:overflowPunct/>
              <w:topLinePunct w:val="0"/>
              <w:bidi w:val="0"/>
              <w:ind w:firstLine="480"/>
              <w:textAlignment w:val="auto"/>
              <w:rPr>
                <w:rFonts w:hint="default" w:ascii="Times New Roman" w:hAnsi="Times New Roman" w:eastAsia="宋体" w:cs="Times New Roman"/>
                <w:color w:val="auto"/>
                <w:spacing w:val="1"/>
                <w:sz w:val="24"/>
                <w:szCs w:val="24"/>
                <w:lang w:val="en-US" w:eastAsia="zh-CN"/>
              </w:rPr>
            </w:pPr>
            <w:r>
              <w:rPr>
                <w:rFonts w:hint="default" w:ascii="Times New Roman" w:hAnsi="Times New Roman" w:cs="Times New Roman"/>
                <w:color w:val="auto"/>
                <w:kern w:val="0"/>
                <w:sz w:val="24"/>
              </w:rPr>
              <w:t>由上表可知，项目不违反《云南省牛栏江保护条例》规定。项目的建设与《云南省牛栏江保护条例》相符。</w:t>
            </w:r>
          </w:p>
          <w:p w14:paraId="05D618B9">
            <w:pPr>
              <w:keepNext w:val="0"/>
              <w:keepLines w:val="0"/>
              <w:pageBreakBefore w:val="0"/>
              <w:widowControl w:val="0"/>
              <w:kinsoku/>
              <w:wordWrap w:val="0"/>
              <w:overflowPunct/>
              <w:topLinePunct w:val="0"/>
              <w:autoSpaceDE w:val="0"/>
              <w:autoSpaceDN w:val="0"/>
              <w:bidi w:val="0"/>
              <w:adjustRightInd w:val="0"/>
              <w:snapToGrid w:val="0"/>
              <w:spacing w:line="360" w:lineRule="auto"/>
              <w:textAlignment w:val="auto"/>
              <w:rPr>
                <w:rFonts w:hint="default" w:ascii="Times New Roman" w:hAnsi="Times New Roman" w:cs="Times New Roman"/>
                <w:b/>
                <w:bCs/>
                <w:color w:val="auto"/>
                <w:sz w:val="24"/>
                <w:szCs w:val="24"/>
              </w:rPr>
            </w:pPr>
            <w:r>
              <w:rPr>
                <w:rFonts w:hint="default" w:ascii="Times New Roman" w:hAnsi="Times New Roman" w:cs="Times New Roman"/>
                <w:b/>
                <w:color w:val="auto"/>
                <w:kern w:val="0"/>
                <w:sz w:val="24"/>
                <w:szCs w:val="24"/>
                <w:lang w:val="en-US" w:eastAsia="zh-CN"/>
              </w:rPr>
              <w:t>5</w:t>
            </w:r>
            <w:r>
              <w:rPr>
                <w:rFonts w:hint="default" w:ascii="Times New Roman" w:hAnsi="Times New Roman" w:cs="Times New Roman"/>
                <w:b/>
                <w:color w:val="auto"/>
                <w:kern w:val="0"/>
                <w:sz w:val="24"/>
                <w:szCs w:val="24"/>
              </w:rPr>
              <w:t>、</w:t>
            </w:r>
            <w:r>
              <w:rPr>
                <w:rFonts w:hint="default" w:ascii="Times New Roman" w:hAnsi="Times New Roman" w:cs="Times New Roman"/>
                <w:b/>
                <w:bCs/>
                <w:color w:val="auto"/>
                <w:sz w:val="24"/>
                <w:szCs w:val="24"/>
              </w:rPr>
              <w:t>与《牛栏江流域（云南部分）水环境保护规划（2009~2030）》的相符性分析</w:t>
            </w:r>
          </w:p>
          <w:p w14:paraId="395462CC">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根据流域具体情况及环境保护管理的需要，将牛栏江流域（云南部分）水环境保护划分为两大控制区，即牛栏江上游（德泽水库坝址以上）重点保护区、牛栏江下游生态与环境保护区，各分区范围节点如下：</w:t>
            </w:r>
          </w:p>
          <w:p w14:paraId="6B79766F">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fldChar w:fldCharType="begin"/>
            </w:r>
            <w:r>
              <w:rPr>
                <w:rFonts w:hint="default" w:ascii="Times New Roman" w:hAnsi="Times New Roman" w:cs="Times New Roman"/>
                <w:b/>
                <w:bCs/>
                <w:color w:val="auto"/>
                <w:sz w:val="24"/>
                <w:szCs w:val="24"/>
              </w:rPr>
              <w:instrText xml:space="preserve">=1\*ROMAN</w:instrText>
            </w:r>
            <w:r>
              <w:rPr>
                <w:rFonts w:hint="default" w:ascii="Times New Roman" w:hAnsi="Times New Roman" w:cs="Times New Roman"/>
                <w:b/>
                <w:bCs/>
                <w:color w:val="auto"/>
                <w:sz w:val="24"/>
                <w:szCs w:val="24"/>
              </w:rPr>
              <w:fldChar w:fldCharType="separate"/>
            </w:r>
            <w:r>
              <w:rPr>
                <w:rFonts w:hint="default" w:ascii="Times New Roman" w:hAnsi="Times New Roman" w:cs="Times New Roman"/>
                <w:b/>
                <w:bCs/>
                <w:color w:val="auto"/>
                <w:sz w:val="24"/>
                <w:szCs w:val="24"/>
              </w:rPr>
              <w:t>I</w:t>
            </w:r>
            <w:r>
              <w:rPr>
                <w:rFonts w:hint="default" w:ascii="Times New Roman" w:hAnsi="Times New Roman" w:cs="Times New Roman"/>
                <w:b/>
                <w:bCs/>
                <w:color w:val="auto"/>
                <w:sz w:val="24"/>
                <w:szCs w:val="24"/>
              </w:rPr>
              <w:fldChar w:fldCharType="end"/>
            </w:r>
            <w:r>
              <w:rPr>
                <w:rFonts w:hint="default" w:ascii="Times New Roman" w:hAnsi="Times New Roman" w:cs="Times New Roman"/>
                <w:b/>
                <w:bCs/>
                <w:color w:val="auto"/>
                <w:sz w:val="24"/>
                <w:szCs w:val="24"/>
              </w:rPr>
              <w:t>区：牛栏江上游（德泽水库坝址以上）重点保护区</w:t>
            </w:r>
            <w:r>
              <w:rPr>
                <w:rFonts w:hint="default" w:ascii="Times New Roman" w:hAnsi="Times New Roman" w:cs="Times New Roman"/>
                <w:color w:val="auto"/>
                <w:sz w:val="24"/>
                <w:szCs w:val="24"/>
              </w:rPr>
              <w:t>，为牛栏江上游（德泽水库坝址以上）调水水源区流域范围，河长172km，流域面积4551km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p>
          <w:p w14:paraId="08548698">
            <w:pPr>
              <w:pStyle w:val="9"/>
              <w:keepNext w:val="0"/>
              <w:keepLines w:val="0"/>
              <w:pageBreakBefore w:val="0"/>
              <w:widowControl w:val="0"/>
              <w:kinsoku/>
              <w:wordWrap w:val="0"/>
              <w:overflowPunct/>
              <w:topLinePunct w:val="0"/>
              <w:bidi w:val="0"/>
              <w:spacing w:before="0" w:after="0"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b/>
                <w:bCs/>
                <w:color w:val="auto"/>
                <w:kern w:val="2"/>
                <w:sz w:val="24"/>
                <w:szCs w:val="24"/>
              </w:rPr>
              <w:t>I</w:t>
            </w:r>
            <w:r>
              <w:rPr>
                <w:rFonts w:hint="default" w:ascii="Times New Roman" w:hAnsi="Times New Roman" w:cs="Times New Roman"/>
                <w:b/>
                <w:bCs/>
                <w:color w:val="auto"/>
                <w:kern w:val="2"/>
                <w:sz w:val="24"/>
                <w:szCs w:val="24"/>
                <w:vertAlign w:val="subscript"/>
              </w:rPr>
              <w:t>1</w:t>
            </w:r>
            <w:r>
              <w:rPr>
                <w:rFonts w:hint="default" w:ascii="Times New Roman" w:hAnsi="Times New Roman" w:cs="Times New Roman"/>
                <w:b/>
                <w:bCs/>
                <w:color w:val="auto"/>
                <w:kern w:val="2"/>
                <w:sz w:val="24"/>
                <w:szCs w:val="24"/>
              </w:rPr>
              <w:t>水源保护核心区：</w:t>
            </w:r>
            <w:r>
              <w:rPr>
                <w:rFonts w:hint="default" w:ascii="Times New Roman" w:hAnsi="Times New Roman" w:cs="Times New Roman"/>
                <w:color w:val="auto"/>
                <w:sz w:val="24"/>
                <w:szCs w:val="24"/>
              </w:rPr>
              <w:t>包</w:t>
            </w:r>
            <w:r>
              <w:rPr>
                <w:rFonts w:hint="default" w:ascii="Times New Roman" w:hAnsi="Times New Roman" w:cs="Times New Roman"/>
                <w:color w:val="auto"/>
                <w:kern w:val="2"/>
                <w:sz w:val="24"/>
                <w:szCs w:val="24"/>
              </w:rPr>
              <w:t>括牛栏江干流水面，河岸外围陆域1000米范围；德泽水库水面，库岸外围陆域2000m范围。涉及乡镇主要有牛栏江镇、塘子镇、河口乡、七星乡、德泽乡，面积为625.3km</w:t>
            </w:r>
            <w:r>
              <w:rPr>
                <w:rFonts w:hint="default" w:ascii="Times New Roman" w:hAnsi="Times New Roman" w:cs="Times New Roman"/>
                <w:color w:val="auto"/>
                <w:kern w:val="2"/>
                <w:sz w:val="24"/>
                <w:szCs w:val="24"/>
                <w:vertAlign w:val="superscript"/>
              </w:rPr>
              <w:t>2</w:t>
            </w:r>
            <w:r>
              <w:rPr>
                <w:rFonts w:hint="default" w:ascii="Times New Roman" w:hAnsi="Times New Roman" w:cs="Times New Roman"/>
                <w:color w:val="auto"/>
                <w:kern w:val="2"/>
                <w:sz w:val="24"/>
                <w:szCs w:val="24"/>
              </w:rPr>
              <w:t>，属于本规划的重点保护区。</w:t>
            </w:r>
          </w:p>
          <w:p w14:paraId="6FC33917">
            <w:pPr>
              <w:pStyle w:val="15"/>
              <w:keepNext w:val="0"/>
              <w:keepLines w:val="0"/>
              <w:pageBreakBefore w:val="0"/>
              <w:widowControl w:val="0"/>
              <w:kinsoku/>
              <w:wordWrap w:val="0"/>
              <w:overflowPunct/>
              <w:topLinePunct w:val="0"/>
              <w:bidi w:val="0"/>
              <w:spacing w:after="0" w:line="360" w:lineRule="auto"/>
              <w:ind w:left="0" w:leftChars="0" w:firstLine="482"/>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I</w:t>
            </w:r>
            <w:r>
              <w:rPr>
                <w:rFonts w:hint="default" w:ascii="Times New Roman" w:hAnsi="Times New Roman" w:cs="Times New Roman"/>
                <w:b/>
                <w:color w:val="auto"/>
                <w:sz w:val="24"/>
                <w:szCs w:val="24"/>
                <w:vertAlign w:val="subscript"/>
              </w:rPr>
              <w:t>2</w:t>
            </w:r>
            <w:r>
              <w:rPr>
                <w:rFonts w:hint="default" w:ascii="Times New Roman" w:hAnsi="Times New Roman" w:cs="Times New Roman"/>
                <w:b/>
                <w:color w:val="auto"/>
                <w:sz w:val="24"/>
                <w:szCs w:val="24"/>
              </w:rPr>
              <w:t>重点污染控制区：</w:t>
            </w:r>
            <w:r>
              <w:rPr>
                <w:rFonts w:hint="default" w:ascii="Times New Roman" w:hAnsi="Times New Roman" w:cs="Times New Roman"/>
                <w:color w:val="auto"/>
                <w:sz w:val="24"/>
                <w:szCs w:val="24"/>
              </w:rPr>
              <w:t>主要是水源保护核心区边界外的坝区。涉及小哨乡、嵩阳镇、小街镇、杨桥乡、羊街镇、金所乡、月望乡、大坡乡、菱角乡、田坝乡十个乡镇，面积1892.56km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，属于本规划的污染重点治理区。</w:t>
            </w:r>
          </w:p>
          <w:p w14:paraId="7C2B8634">
            <w:pPr>
              <w:pStyle w:val="15"/>
              <w:keepNext w:val="0"/>
              <w:keepLines w:val="0"/>
              <w:pageBreakBefore w:val="0"/>
              <w:widowControl w:val="0"/>
              <w:kinsoku/>
              <w:wordWrap w:val="0"/>
              <w:overflowPunct/>
              <w:topLinePunct w:val="0"/>
              <w:bidi w:val="0"/>
              <w:spacing w:after="0" w:line="360" w:lineRule="auto"/>
              <w:ind w:left="0" w:leftChars="0" w:firstLine="482"/>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I</w:t>
            </w:r>
            <w:r>
              <w:rPr>
                <w:rFonts w:hint="default" w:ascii="Times New Roman" w:hAnsi="Times New Roman" w:cs="Times New Roman"/>
                <w:b/>
                <w:color w:val="auto"/>
                <w:sz w:val="24"/>
                <w:szCs w:val="24"/>
                <w:vertAlign w:val="subscript"/>
              </w:rPr>
              <w:t>3</w:t>
            </w:r>
            <w:r>
              <w:rPr>
                <w:rFonts w:hint="default" w:ascii="Times New Roman" w:hAnsi="Times New Roman" w:cs="Times New Roman"/>
                <w:b/>
                <w:color w:val="auto"/>
                <w:sz w:val="24"/>
                <w:szCs w:val="24"/>
              </w:rPr>
              <w:t>水源涵养区：</w:t>
            </w:r>
            <w:r>
              <w:rPr>
                <w:rFonts w:hint="default" w:ascii="Times New Roman" w:hAnsi="Times New Roman" w:cs="Times New Roman"/>
                <w:color w:val="auto"/>
                <w:sz w:val="24"/>
                <w:szCs w:val="24"/>
              </w:rPr>
              <w:t>包括除水源保护核心区、重点污染控制区以外的山地。涉及杨林镇、仁德镇、通泉镇、王家庄镇、马过河镇、旧县镇六个乡镇，面积1764.16km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。重点实施退耕还林、水土保持、营造水源涵养林等工程，引导农业生态化发展，加强区域生态保护。</w:t>
            </w:r>
          </w:p>
          <w:p w14:paraId="67CBAFC2">
            <w:pPr>
              <w:pStyle w:val="9"/>
              <w:keepNext w:val="0"/>
              <w:keepLines w:val="0"/>
              <w:pageBreakBefore w:val="0"/>
              <w:widowControl w:val="0"/>
              <w:kinsoku/>
              <w:wordWrap w:val="0"/>
              <w:overflowPunct/>
              <w:topLinePunct w:val="0"/>
              <w:bidi w:val="0"/>
              <w:spacing w:before="0" w:after="0" w:line="360" w:lineRule="auto"/>
              <w:ind w:firstLine="482"/>
              <w:textAlignment w:val="auto"/>
              <w:rPr>
                <w:rFonts w:hint="default" w:ascii="Times New Roman" w:hAnsi="Times New Roman" w:cs="Times New Roman"/>
                <w:bCs/>
                <w:color w:val="auto"/>
                <w:sz w:val="24"/>
                <w:szCs w:val="24"/>
              </w:rPr>
            </w:pPr>
            <w:r>
              <w:rPr>
                <w:rFonts w:hint="default" w:ascii="Times New Roman" w:hAnsi="Times New Roman" w:cs="Times New Roman"/>
                <w:b/>
                <w:color w:val="auto"/>
                <w:sz w:val="24"/>
                <w:szCs w:val="24"/>
              </w:rPr>
              <w:fldChar w:fldCharType="begin"/>
            </w:r>
            <w:r>
              <w:rPr>
                <w:rFonts w:hint="default" w:ascii="Times New Roman" w:hAnsi="Times New Roman" w:cs="Times New Roman"/>
                <w:b/>
                <w:color w:val="auto"/>
                <w:sz w:val="24"/>
                <w:szCs w:val="24"/>
              </w:rPr>
              <w:instrText xml:space="preserve">=2\*ROMAN</w:instrText>
            </w:r>
            <w:r>
              <w:rPr>
                <w:rFonts w:hint="default" w:ascii="Times New Roman" w:hAnsi="Times New Roman" w:cs="Times New Roman"/>
                <w:b/>
                <w:color w:val="auto"/>
                <w:sz w:val="24"/>
                <w:szCs w:val="24"/>
              </w:rPr>
              <w:fldChar w:fldCharType="separate"/>
            </w:r>
            <w:r>
              <w:rPr>
                <w:rFonts w:hint="default" w:ascii="Times New Roman" w:hAnsi="Times New Roman" w:cs="Times New Roman"/>
                <w:b/>
                <w:color w:val="auto"/>
                <w:sz w:val="24"/>
                <w:szCs w:val="24"/>
              </w:rPr>
              <w:t>II</w:t>
            </w:r>
            <w:r>
              <w:rPr>
                <w:rFonts w:hint="default" w:ascii="Times New Roman" w:hAnsi="Times New Roman" w:cs="Times New Roman"/>
                <w:b/>
                <w:color w:val="auto"/>
                <w:sz w:val="24"/>
                <w:szCs w:val="24"/>
              </w:rPr>
              <w:fldChar w:fldCharType="end"/>
            </w:r>
            <w:r>
              <w:rPr>
                <w:rFonts w:hint="default" w:ascii="Times New Roman" w:hAnsi="Times New Roman" w:cs="Times New Roman"/>
                <w:b/>
                <w:color w:val="auto"/>
                <w:sz w:val="24"/>
                <w:szCs w:val="24"/>
              </w:rPr>
              <w:t>区牛栏江下游生态与环境保护区：</w:t>
            </w:r>
            <w:r>
              <w:rPr>
                <w:rFonts w:hint="default" w:ascii="Times New Roman" w:hAnsi="Times New Roman" w:cs="Times New Roman"/>
                <w:color w:val="auto"/>
                <w:sz w:val="24"/>
                <w:szCs w:val="24"/>
              </w:rPr>
              <w:t>为</w:t>
            </w:r>
            <w:r>
              <w:rPr>
                <w:rFonts w:hint="default" w:ascii="Times New Roman" w:hAnsi="Times New Roman" w:cs="Times New Roman"/>
                <w:bCs/>
                <w:color w:val="auto"/>
                <w:sz w:val="24"/>
                <w:szCs w:val="24"/>
              </w:rPr>
              <w:t>牛栏江下游（德泽水库坝址以下）</w:t>
            </w:r>
            <w:r>
              <w:rPr>
                <w:rFonts w:hint="default" w:ascii="Times New Roman" w:hAnsi="Times New Roman" w:cs="Times New Roman"/>
                <w:color w:val="auto"/>
                <w:sz w:val="24"/>
                <w:szCs w:val="24"/>
              </w:rPr>
              <w:t>至金沙江入口流域范围</w:t>
            </w:r>
            <w:r>
              <w:rPr>
                <w:rFonts w:hint="default" w:ascii="Times New Roman" w:hAnsi="Times New Roman" w:cs="Times New Roman"/>
                <w:bCs/>
                <w:color w:val="auto"/>
                <w:sz w:val="24"/>
                <w:szCs w:val="24"/>
              </w:rPr>
              <w:t>。河长268</w:t>
            </w:r>
            <w:r>
              <w:rPr>
                <w:rFonts w:hint="default" w:ascii="Times New Roman" w:hAnsi="Times New Roman" w:cs="Times New Roman"/>
                <w:color w:val="auto"/>
                <w:sz w:val="24"/>
                <w:szCs w:val="24"/>
              </w:rPr>
              <w:t>km，流域面积9121km</w:t>
            </w:r>
            <w:r>
              <w:rPr>
                <w:rFonts w:hint="default" w:ascii="Times New Roman" w:hAnsi="Times New Roman" w:cs="Times New Roman"/>
                <w:color w:val="auto"/>
                <w:sz w:val="24"/>
                <w:szCs w:val="24"/>
                <w:vertAlign w:val="superscript"/>
              </w:rPr>
              <w:t>2</w:t>
            </w:r>
            <w:r>
              <w:rPr>
                <w:rFonts w:hint="default" w:ascii="Times New Roman" w:hAnsi="Times New Roman" w:cs="Times New Roman"/>
                <w:bCs/>
                <w:color w:val="auto"/>
                <w:sz w:val="24"/>
                <w:szCs w:val="24"/>
              </w:rPr>
              <w:t>。</w:t>
            </w:r>
          </w:p>
          <w:p w14:paraId="0D8D060A">
            <w:pPr>
              <w:pStyle w:val="5"/>
              <w:keepNext w:val="0"/>
              <w:keepLines w:val="0"/>
              <w:pageBreakBefore w:val="0"/>
              <w:widowControl w:val="0"/>
              <w:kinsoku/>
              <w:wordWrap w:val="0"/>
              <w:overflowPunct/>
              <w:topLinePunct w:val="0"/>
              <w:bidi w:val="0"/>
              <w:spacing w:line="360" w:lineRule="auto"/>
              <w:ind w:firstLine="482" w:firstLineChars="200"/>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fldChar w:fldCharType="begin"/>
            </w:r>
            <w:r>
              <w:rPr>
                <w:rFonts w:hint="default" w:ascii="Times New Roman" w:hAnsi="Times New Roman" w:cs="Times New Roman"/>
                <w:b/>
                <w:color w:val="auto"/>
                <w:sz w:val="24"/>
                <w:szCs w:val="24"/>
              </w:rPr>
              <w:instrText xml:space="preserve">=2\*ROMAN</w:instrText>
            </w:r>
            <w:r>
              <w:rPr>
                <w:rFonts w:hint="default" w:ascii="Times New Roman" w:hAnsi="Times New Roman" w:cs="Times New Roman"/>
                <w:b/>
                <w:color w:val="auto"/>
                <w:sz w:val="24"/>
                <w:szCs w:val="24"/>
              </w:rPr>
              <w:fldChar w:fldCharType="separate"/>
            </w:r>
            <w:r>
              <w:rPr>
                <w:rFonts w:hint="default" w:ascii="Times New Roman" w:hAnsi="Times New Roman" w:cs="Times New Roman"/>
                <w:b/>
                <w:color w:val="auto"/>
                <w:sz w:val="24"/>
                <w:szCs w:val="24"/>
              </w:rPr>
              <w:t>II</w:t>
            </w:r>
            <w:r>
              <w:rPr>
                <w:rFonts w:hint="default" w:ascii="Times New Roman" w:hAnsi="Times New Roman" w:cs="Times New Roman"/>
                <w:b/>
                <w:color w:val="auto"/>
                <w:sz w:val="24"/>
                <w:szCs w:val="24"/>
              </w:rPr>
              <w:fldChar w:fldCharType="end"/>
            </w:r>
            <w:r>
              <w:rPr>
                <w:rFonts w:hint="default" w:ascii="Times New Roman" w:hAnsi="Times New Roman" w:cs="Times New Roman"/>
                <w:b/>
                <w:color w:val="auto"/>
                <w:sz w:val="24"/>
                <w:szCs w:val="24"/>
                <w:vertAlign w:val="subscript"/>
              </w:rPr>
              <w:t>1</w:t>
            </w:r>
            <w:r>
              <w:rPr>
                <w:rFonts w:hint="default" w:ascii="Times New Roman" w:hAnsi="Times New Roman" w:cs="Times New Roman"/>
                <w:b/>
                <w:color w:val="auto"/>
                <w:sz w:val="24"/>
                <w:szCs w:val="24"/>
              </w:rPr>
              <w:t>下游重点污染控制区：</w:t>
            </w:r>
            <w:r>
              <w:rPr>
                <w:rFonts w:hint="default" w:ascii="Times New Roman" w:hAnsi="Times New Roman" w:cs="Times New Roman"/>
                <w:color w:val="auto"/>
                <w:sz w:val="24"/>
                <w:szCs w:val="24"/>
              </w:rPr>
              <w:t>主要是牛栏江下游河谷区坝区。涉及梭山乡、小河镇、务德镇、西泽乡、热水镇、上村乡、雨碌乡、纸厂乡、马路、火红乡、鲁纳乡、火德红乡、龙头山镇、乐红乡、红山乡、田坝乡十六个乡镇，面积1387.78km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p>
          <w:p w14:paraId="25C642EE">
            <w:pPr>
              <w:keepNext w:val="0"/>
              <w:keepLines w:val="0"/>
              <w:pageBreakBefore w:val="0"/>
              <w:widowControl w:val="0"/>
              <w:kinsoku/>
              <w:wordWrap w:val="0"/>
              <w:overflowPunct/>
              <w:topLinePunct w:val="0"/>
              <w:bidi w:val="0"/>
              <w:spacing w:line="360" w:lineRule="auto"/>
              <w:ind w:firstLine="472" w:firstLineChars="196"/>
              <w:textAlignment w:val="auto"/>
              <w:rPr>
                <w:rFonts w:hint="default" w:ascii="Times New Roman" w:hAnsi="Times New Roman" w:cs="Times New Roman"/>
                <w:color w:val="auto"/>
                <w:sz w:val="24"/>
                <w:szCs w:val="24"/>
              </w:rPr>
            </w:pPr>
            <w:r>
              <w:rPr>
                <w:rFonts w:hint="default" w:ascii="Times New Roman" w:hAnsi="Times New Roman" w:cs="Times New Roman"/>
                <w:b/>
                <w:color w:val="auto"/>
                <w:kern w:val="0"/>
                <w:sz w:val="24"/>
                <w:szCs w:val="24"/>
              </w:rPr>
              <w:fldChar w:fldCharType="begin"/>
            </w:r>
            <w:r>
              <w:rPr>
                <w:rFonts w:hint="default" w:ascii="Times New Roman" w:hAnsi="Times New Roman" w:cs="Times New Roman"/>
                <w:b/>
                <w:color w:val="auto"/>
                <w:kern w:val="0"/>
                <w:sz w:val="24"/>
                <w:szCs w:val="24"/>
              </w:rPr>
              <w:instrText xml:space="preserve">=2\*ROMAN</w:instrText>
            </w:r>
            <w:r>
              <w:rPr>
                <w:rFonts w:hint="default" w:ascii="Times New Roman" w:hAnsi="Times New Roman" w:cs="Times New Roman"/>
                <w:b/>
                <w:color w:val="auto"/>
                <w:kern w:val="0"/>
                <w:sz w:val="24"/>
                <w:szCs w:val="24"/>
              </w:rPr>
              <w:fldChar w:fldCharType="separate"/>
            </w:r>
            <w:r>
              <w:rPr>
                <w:rFonts w:hint="default" w:ascii="Times New Roman" w:hAnsi="Times New Roman" w:cs="Times New Roman"/>
                <w:b/>
                <w:color w:val="auto"/>
                <w:kern w:val="0"/>
                <w:sz w:val="24"/>
                <w:szCs w:val="24"/>
              </w:rPr>
              <w:t>II</w:t>
            </w:r>
            <w:r>
              <w:rPr>
                <w:rFonts w:hint="default" w:ascii="Times New Roman" w:hAnsi="Times New Roman" w:cs="Times New Roman"/>
                <w:b/>
                <w:color w:val="auto"/>
                <w:kern w:val="0"/>
                <w:sz w:val="24"/>
                <w:szCs w:val="24"/>
              </w:rPr>
              <w:fldChar w:fldCharType="end"/>
            </w:r>
            <w:r>
              <w:rPr>
                <w:rFonts w:hint="default" w:ascii="Times New Roman" w:hAnsi="Times New Roman" w:cs="Times New Roman"/>
                <w:b/>
                <w:color w:val="auto"/>
                <w:kern w:val="0"/>
                <w:sz w:val="24"/>
                <w:szCs w:val="24"/>
                <w:vertAlign w:val="subscript"/>
              </w:rPr>
              <w:t>2</w:t>
            </w:r>
            <w:r>
              <w:rPr>
                <w:rFonts w:hint="default" w:ascii="Times New Roman" w:hAnsi="Times New Roman" w:cs="Times New Roman"/>
                <w:b/>
                <w:color w:val="auto"/>
                <w:sz w:val="24"/>
                <w:szCs w:val="24"/>
              </w:rPr>
              <w:t>水源涵养区：</w:t>
            </w:r>
            <w:r>
              <w:rPr>
                <w:rFonts w:hint="default" w:ascii="Times New Roman" w:hAnsi="Times New Roman" w:cs="Times New Roman"/>
                <w:color w:val="auto"/>
                <w:sz w:val="24"/>
                <w:szCs w:val="24"/>
              </w:rPr>
              <w:t>主要是重点污染控制区</w:t>
            </w:r>
            <w:r>
              <w:rPr>
                <w:rFonts w:hint="default" w:ascii="Times New Roman" w:hAnsi="Times New Roman" w:cs="Times New Roman"/>
                <w:color w:val="auto"/>
                <w:kern w:val="0"/>
                <w:sz w:val="24"/>
                <w:szCs w:val="24"/>
              </w:rPr>
              <w:t>以外</w:t>
            </w:r>
            <w:r>
              <w:rPr>
                <w:rFonts w:hint="default" w:ascii="Times New Roman" w:hAnsi="Times New Roman" w:cs="Times New Roman"/>
                <w:color w:val="auto"/>
                <w:sz w:val="24"/>
                <w:szCs w:val="24"/>
              </w:rPr>
              <w:t>的山地，涉及乐业镇、大桥乡、大井镇、矿山镇、迤车镇、新店乡、老店乡、包谷垴乡八个乡镇，面积5078.12km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p>
          <w:p w14:paraId="020BFB98">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bCs/>
                <w:color w:val="auto"/>
                <w:kern w:val="0"/>
                <w:sz w:val="24"/>
                <w:szCs w:val="24"/>
              </w:rPr>
              <w:t>本项目位于</w:t>
            </w:r>
            <w:r>
              <w:rPr>
                <w:rFonts w:hint="default" w:ascii="Times New Roman" w:hAnsi="Times New Roman" w:eastAsia="Times New Roman" w:cs="Times New Roman"/>
                <w:b w:val="0"/>
                <w:bCs w:val="0"/>
                <w:snapToGrid w:val="0"/>
                <w:color w:val="auto"/>
                <w:kern w:val="0"/>
                <w:sz w:val="24"/>
                <w:szCs w:val="24"/>
                <w:lang w:val="en-US" w:eastAsia="zh-CN" w:bidi="ar-SA"/>
              </w:rPr>
              <w:t>云南省昆明市寻甸县金所街道三月三路中段</w:t>
            </w:r>
            <w:r>
              <w:rPr>
                <w:rFonts w:hint="default" w:ascii="Times New Roman" w:hAnsi="Times New Roman" w:cs="Times New Roman"/>
                <w:bCs/>
                <w:color w:val="auto"/>
                <w:kern w:val="0"/>
                <w:sz w:val="24"/>
                <w:szCs w:val="24"/>
              </w:rPr>
              <w:t>，</w:t>
            </w:r>
            <w:r>
              <w:rPr>
                <w:rFonts w:hint="default" w:ascii="Times New Roman" w:hAnsi="Times New Roman" w:cs="Times New Roman"/>
                <w:color w:val="auto"/>
                <w:sz w:val="24"/>
                <w:szCs w:val="24"/>
              </w:rPr>
              <w:t>牛栏江位于本项目的</w:t>
            </w:r>
            <w:r>
              <w:rPr>
                <w:rFonts w:hint="default" w:ascii="Times New Roman" w:hAnsi="Times New Roman" w:cs="Times New Roman"/>
                <w:color w:val="auto"/>
                <w:sz w:val="24"/>
                <w:szCs w:val="24"/>
                <w:lang w:val="en-US" w:eastAsia="zh-CN"/>
              </w:rPr>
              <w:t>东侧8.2k</w:t>
            </w:r>
            <w:r>
              <w:rPr>
                <w:rFonts w:hint="default" w:ascii="Times New Roman" w:hAnsi="Times New Roman" w:cs="Times New Roman"/>
                <w:color w:val="auto"/>
                <w:sz w:val="24"/>
                <w:szCs w:val="24"/>
              </w:rPr>
              <w:t>m处，属于牛栏江流域重点污染控制区。</w:t>
            </w:r>
          </w:p>
          <w:p w14:paraId="1902C162">
            <w:pPr>
              <w:pageBreakBefore w:val="0"/>
              <w:kinsoku/>
              <w:wordWrap w:val="0"/>
              <w:overflowPunct/>
              <w:bidi w:val="0"/>
              <w:spacing w:line="360" w:lineRule="auto"/>
              <w:ind w:firstLine="420" w:firstLineChars="200"/>
              <w:jc w:val="center"/>
              <w:rPr>
                <w:rFonts w:hint="default" w:ascii="Times New Roman" w:hAnsi="Times New Roman" w:eastAsia="Times New Roman" w:cs="Times New Roman"/>
                <w:b/>
                <w:bCs/>
                <w:snapToGrid w:val="0"/>
                <w:color w:val="auto"/>
                <w:kern w:val="0"/>
                <w:sz w:val="21"/>
                <w:szCs w:val="21"/>
                <w:lang w:val="en-US" w:eastAsia="zh-CN" w:bidi="ar-SA"/>
              </w:rPr>
            </w:pPr>
            <w:r>
              <w:rPr>
                <w:rFonts w:hint="default" w:ascii="Times New Roman" w:hAnsi="Times New Roman" w:eastAsia="Times New Roman" w:cs="Times New Roman"/>
                <w:b/>
                <w:bCs/>
                <w:snapToGrid w:val="0"/>
                <w:color w:val="auto"/>
                <w:kern w:val="0"/>
                <w:sz w:val="21"/>
                <w:szCs w:val="21"/>
                <w:lang w:val="en-US" w:eastAsia="zh-CN" w:bidi="ar-SA"/>
              </w:rPr>
              <w:t>表1-5 本项目与牛栏江流域（云南部分）水环境保护规划符合性分析</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6"/>
              <w:gridCol w:w="3360"/>
              <w:gridCol w:w="1032"/>
            </w:tblGrid>
            <w:tr w14:paraId="13EA2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198" w:type="pct"/>
                  <w:tcBorders>
                    <w:top w:val="single" w:color="auto" w:sz="4" w:space="0"/>
                    <w:left w:val="single" w:color="auto" w:sz="4" w:space="0"/>
                    <w:bottom w:val="single" w:color="auto" w:sz="4" w:space="0"/>
                    <w:right w:val="single" w:color="auto" w:sz="4" w:space="0"/>
                  </w:tcBorders>
                  <w:vAlign w:val="center"/>
                </w:tcPr>
                <w:p w14:paraId="1A797090">
                  <w:pPr>
                    <w:pageBreakBefore w:val="0"/>
                    <w:kinsoku/>
                    <w:wordWrap w:val="0"/>
                    <w:overflowPunct/>
                    <w:bidi w:val="0"/>
                    <w:spacing w:line="240" w:lineRule="auto"/>
                    <w:ind w:firstLine="0" w:firstLineChars="0"/>
                    <w:jc w:val="center"/>
                    <w:rPr>
                      <w:rFonts w:hint="default" w:ascii="Times New Roman" w:hAnsi="Times New Roman" w:cs="Times New Roman"/>
                      <w:b/>
                      <w:color w:val="auto"/>
                      <w:sz w:val="21"/>
                      <w:szCs w:val="21"/>
                      <w:lang w:val="zh-CN"/>
                    </w:rPr>
                  </w:pPr>
                  <w:r>
                    <w:rPr>
                      <w:rFonts w:hint="default" w:ascii="Times New Roman" w:hAnsi="Times New Roman" w:cs="Times New Roman"/>
                      <w:b/>
                      <w:color w:val="auto"/>
                      <w:sz w:val="21"/>
                      <w:szCs w:val="21"/>
                      <w:lang w:val="zh-CN"/>
                    </w:rPr>
                    <w:t>重点</w:t>
                  </w:r>
                  <w:r>
                    <w:rPr>
                      <w:rFonts w:hint="default" w:ascii="Times New Roman" w:hAnsi="Times New Roman" w:cs="Times New Roman"/>
                      <w:b/>
                      <w:color w:val="auto"/>
                      <w:sz w:val="21"/>
                      <w:szCs w:val="21"/>
                    </w:rPr>
                    <w:t>污染控制区禁止行为</w:t>
                  </w:r>
                </w:p>
              </w:tc>
              <w:tc>
                <w:tcPr>
                  <w:tcW w:w="2143" w:type="pct"/>
                  <w:tcBorders>
                    <w:top w:val="single" w:color="auto" w:sz="4" w:space="0"/>
                    <w:left w:val="single" w:color="auto" w:sz="4" w:space="0"/>
                    <w:bottom w:val="single" w:color="auto" w:sz="4" w:space="0"/>
                    <w:right w:val="single" w:color="auto" w:sz="4" w:space="0"/>
                  </w:tcBorders>
                  <w:vAlign w:val="center"/>
                </w:tcPr>
                <w:p w14:paraId="2B322994">
                  <w:pPr>
                    <w:pageBreakBefore w:val="0"/>
                    <w:kinsoku/>
                    <w:wordWrap w:val="0"/>
                    <w:overflowPunct/>
                    <w:bidi w:val="0"/>
                    <w:spacing w:line="240" w:lineRule="auto"/>
                    <w:ind w:firstLine="0" w:firstLineChars="0"/>
                    <w:jc w:val="center"/>
                    <w:rPr>
                      <w:rFonts w:hint="default" w:ascii="Times New Roman" w:hAnsi="Times New Roman" w:cs="Times New Roman"/>
                      <w:b/>
                      <w:color w:val="auto"/>
                      <w:sz w:val="21"/>
                      <w:szCs w:val="21"/>
                      <w:lang w:val="zh-CN"/>
                    </w:rPr>
                  </w:pPr>
                  <w:r>
                    <w:rPr>
                      <w:rFonts w:hint="default" w:ascii="Times New Roman" w:hAnsi="Times New Roman" w:cs="Times New Roman"/>
                      <w:b/>
                      <w:color w:val="auto"/>
                      <w:sz w:val="21"/>
                      <w:szCs w:val="21"/>
                      <w:lang w:val="zh-CN"/>
                    </w:rPr>
                    <w:t>本项目情况</w:t>
                  </w:r>
                </w:p>
              </w:tc>
              <w:tc>
                <w:tcPr>
                  <w:tcW w:w="658" w:type="pct"/>
                  <w:tcBorders>
                    <w:top w:val="single" w:color="auto" w:sz="4" w:space="0"/>
                    <w:left w:val="single" w:color="auto" w:sz="4" w:space="0"/>
                    <w:bottom w:val="single" w:color="auto" w:sz="4" w:space="0"/>
                    <w:right w:val="single" w:color="auto" w:sz="4" w:space="0"/>
                  </w:tcBorders>
                  <w:vAlign w:val="center"/>
                </w:tcPr>
                <w:p w14:paraId="2971E208">
                  <w:pPr>
                    <w:pageBreakBefore w:val="0"/>
                    <w:kinsoku/>
                    <w:wordWrap w:val="0"/>
                    <w:overflowPunct/>
                    <w:bidi w:val="0"/>
                    <w:spacing w:line="240" w:lineRule="auto"/>
                    <w:ind w:firstLine="0" w:firstLineChars="0"/>
                    <w:jc w:val="center"/>
                    <w:rPr>
                      <w:rFonts w:hint="default" w:ascii="Times New Roman" w:hAnsi="Times New Roman" w:cs="Times New Roman"/>
                      <w:b/>
                      <w:color w:val="auto"/>
                      <w:sz w:val="21"/>
                      <w:szCs w:val="21"/>
                      <w:lang w:val="zh-CN"/>
                    </w:rPr>
                  </w:pPr>
                  <w:r>
                    <w:rPr>
                      <w:rFonts w:hint="default" w:ascii="Times New Roman" w:hAnsi="Times New Roman" w:cs="Times New Roman"/>
                      <w:b/>
                      <w:color w:val="auto"/>
                      <w:sz w:val="21"/>
                      <w:szCs w:val="21"/>
                      <w:lang w:val="zh-CN"/>
                    </w:rPr>
                    <w:t>符合性分析</w:t>
                  </w:r>
                </w:p>
              </w:tc>
            </w:tr>
            <w:tr w14:paraId="2C1E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5" w:hRule="atLeast"/>
                <w:jc w:val="center"/>
              </w:trPr>
              <w:tc>
                <w:tcPr>
                  <w:tcW w:w="2198" w:type="pct"/>
                  <w:tcBorders>
                    <w:top w:val="single" w:color="auto" w:sz="4" w:space="0"/>
                    <w:left w:val="single" w:color="auto" w:sz="4" w:space="0"/>
                    <w:bottom w:val="single" w:color="auto" w:sz="4" w:space="0"/>
                    <w:right w:val="single" w:color="auto" w:sz="4" w:space="0"/>
                  </w:tcBorders>
                  <w:vAlign w:val="center"/>
                </w:tcPr>
                <w:p w14:paraId="74F004D1">
                  <w:pPr>
                    <w:pageBreakBefore w:val="0"/>
                    <w:kinsoku/>
                    <w:wordWrap w:val="0"/>
                    <w:overflowPunct/>
                    <w:bidi w:val="0"/>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严格环境准入政策，避免新污染物输入。调水水源区不得建设不符合国家产业政策的工业项目及高污染工业项目，包括污染严重的钢铁、有色冶金、基础化工、农药、电镀、造纸制浆、制革、印染、石棉制品、土硫磺、土磷肥和染料等企业和项目；新建工业项目必须进入工业园区或废水实现“零”排放，改扩建项目不得新增化学需氧量、总氮、总磷排放量；新建、改建、扩建工业项目应采用先进的生产工艺和污染防治技术，其清洁生产水平应达到国家清洁生产标准中的国内先进水平。</w:t>
                  </w:r>
                </w:p>
              </w:tc>
              <w:tc>
                <w:tcPr>
                  <w:tcW w:w="2143" w:type="pct"/>
                  <w:tcBorders>
                    <w:top w:val="single" w:color="auto" w:sz="4" w:space="0"/>
                    <w:left w:val="single" w:color="auto" w:sz="4" w:space="0"/>
                    <w:bottom w:val="single" w:color="auto" w:sz="4" w:space="0"/>
                    <w:right w:val="single" w:color="auto" w:sz="4" w:space="0"/>
                  </w:tcBorders>
                  <w:vAlign w:val="center"/>
                </w:tcPr>
                <w:p w14:paraId="502C265A">
                  <w:pPr>
                    <w:pageBreakBefore w:val="0"/>
                    <w:kinsoku/>
                    <w:wordWrap w:val="0"/>
                    <w:overflowPunct/>
                    <w:bidi w:val="0"/>
                    <w:spacing w:line="240" w:lineRule="auto"/>
                    <w:ind w:firstLine="0" w:firstLineChars="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u w:val="none"/>
                      <w:lang w:val="en-US" w:eastAsia="zh-CN"/>
                    </w:rPr>
                    <w:t>根</w:t>
                  </w:r>
                  <w:r>
                    <w:rPr>
                      <w:rFonts w:hint="default" w:ascii="Times New Roman" w:hAnsi="Times New Roman" w:cs="Times New Roman"/>
                      <w:color w:val="0000FF"/>
                      <w:sz w:val="21"/>
                      <w:szCs w:val="21"/>
                      <w:highlight w:val="none"/>
                      <w:u w:val="none"/>
                      <w:lang w:val="en-US" w:eastAsia="zh-CN"/>
                    </w:rPr>
                    <w:t>据《国民经济行业分类与代码》（GB/T4754-2017），本项目</w:t>
                  </w:r>
                  <w:r>
                    <w:rPr>
                      <w:rFonts w:hint="default" w:ascii="Times New Roman" w:hAnsi="Times New Roman" w:cs="Times New Roman"/>
                      <w:color w:val="0000FF"/>
                      <w:sz w:val="21"/>
                      <w:szCs w:val="21"/>
                      <w:lang w:val="en-US" w:eastAsia="zh-CN"/>
                    </w:rPr>
                    <w:t>不属于工业项目。</w:t>
                  </w:r>
                </w:p>
                <w:p w14:paraId="226D9A35">
                  <w:pPr>
                    <w:pageBreakBefore w:val="0"/>
                    <w:kinsoku/>
                    <w:wordWrap w:val="0"/>
                    <w:overflowPunct/>
                    <w:bidi w:val="0"/>
                    <w:spacing w:line="240" w:lineRule="auto"/>
                    <w:ind w:firstLine="0" w:firstLineChars="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对照《产业结构调整指导目录(2024年本)》，项目属于允许类项目，符合国家产业政策。</w:t>
                  </w:r>
                </w:p>
                <w:p w14:paraId="6467B82E">
                  <w:pPr>
                    <w:pageBreakBefore w:val="0"/>
                    <w:kinsoku/>
                    <w:wordWrap w:val="0"/>
                    <w:overflowPunct/>
                    <w:bidi w:val="0"/>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eastAsiaTheme="minorEastAsia"/>
                      <w:color w:val="auto"/>
                      <w:kern w:val="0"/>
                      <w:sz w:val="21"/>
                      <w:szCs w:val="21"/>
                      <w:lang w:bidi="ar"/>
                    </w:rPr>
                    <w:t>项目</w:t>
                  </w:r>
                  <w:r>
                    <w:rPr>
                      <w:rFonts w:hint="default" w:ascii="Times New Roman" w:hAnsi="Times New Roman" w:cs="Times New Roman" w:eastAsiaTheme="minorEastAsia"/>
                      <w:color w:val="auto"/>
                      <w:kern w:val="0"/>
                      <w:sz w:val="21"/>
                      <w:szCs w:val="21"/>
                      <w:lang w:val="en-US" w:eastAsia="zh-CN" w:bidi="ar"/>
                    </w:rPr>
                    <w:t>汽车冲洗废水经沉淀池处理后回用于项目洒水降尘；初期雨水经初期雨水收集池收集后回用于汽车冲洗及项目区内道路洒水降尘；</w:t>
                  </w:r>
                  <w:r>
                    <w:rPr>
                      <w:rFonts w:hint="eastAsia" w:cs="Times New Roman" w:eastAsiaTheme="minorEastAsia"/>
                      <w:color w:val="0000FF"/>
                      <w:kern w:val="0"/>
                      <w:sz w:val="21"/>
                      <w:szCs w:val="21"/>
                      <w:lang w:val="en-US" w:eastAsia="zh-CN" w:bidi="ar"/>
                    </w:rPr>
                    <w:t>生活污水经化粪池预处理后经项目一体化污水处理设备处理后回用于项目生活区洒水降尘，不外排</w:t>
                  </w:r>
                  <w:r>
                    <w:rPr>
                      <w:rFonts w:hint="default" w:ascii="Times New Roman" w:hAnsi="Times New Roman" w:cs="Times New Roman" w:eastAsiaTheme="minorEastAsia"/>
                      <w:color w:val="0000FF"/>
                      <w:kern w:val="0"/>
                      <w:sz w:val="21"/>
                      <w:szCs w:val="21"/>
                      <w:lang w:val="en-US" w:eastAsia="zh-CN" w:bidi="ar"/>
                    </w:rPr>
                    <w:t>；</w:t>
                  </w:r>
                  <w:r>
                    <w:rPr>
                      <w:rFonts w:hint="default" w:ascii="Times New Roman" w:hAnsi="Times New Roman" w:cs="Times New Roman"/>
                      <w:color w:val="auto"/>
                      <w:sz w:val="21"/>
                      <w:szCs w:val="21"/>
                      <w:lang w:val="en-US" w:eastAsia="zh-CN"/>
                    </w:rPr>
                    <w:t>项目</w:t>
                  </w:r>
                  <w:r>
                    <w:rPr>
                      <w:rFonts w:hint="default" w:ascii="Times New Roman" w:hAnsi="Times New Roman" w:cs="Times New Roman"/>
                      <w:color w:val="auto"/>
                      <w:sz w:val="21"/>
                      <w:szCs w:val="21"/>
                    </w:rPr>
                    <w:t>水污染物总量控制指标纳入</w:t>
                  </w:r>
                  <w:r>
                    <w:rPr>
                      <w:rFonts w:hint="default" w:ascii="Times New Roman" w:hAnsi="Times New Roman" w:cs="Times New Roman"/>
                      <w:color w:val="auto"/>
                      <w:sz w:val="21"/>
                      <w:szCs w:val="21"/>
                      <w:lang w:val="en-US" w:eastAsia="zh-CN"/>
                    </w:rPr>
                    <w:t>寻甸县水质净化厂总量控制指标</w:t>
                  </w:r>
                  <w:r>
                    <w:rPr>
                      <w:rFonts w:hint="default" w:ascii="Times New Roman" w:hAnsi="Times New Roman" w:cs="Times New Roman"/>
                      <w:color w:val="auto"/>
                      <w:sz w:val="21"/>
                      <w:szCs w:val="21"/>
                      <w:lang w:eastAsia="zh-CN"/>
                    </w:rPr>
                    <w:t>。</w:t>
                  </w:r>
                </w:p>
              </w:tc>
              <w:tc>
                <w:tcPr>
                  <w:tcW w:w="658" w:type="pct"/>
                  <w:tcBorders>
                    <w:top w:val="single" w:color="auto" w:sz="4" w:space="0"/>
                    <w:left w:val="single" w:color="auto" w:sz="4" w:space="0"/>
                    <w:bottom w:val="single" w:color="auto" w:sz="4" w:space="0"/>
                    <w:right w:val="single" w:color="auto" w:sz="4" w:space="0"/>
                  </w:tcBorders>
                  <w:vAlign w:val="center"/>
                </w:tcPr>
                <w:p w14:paraId="7983665E">
                  <w:pPr>
                    <w:pageBreakBefore w:val="0"/>
                    <w:kinsoku/>
                    <w:wordWrap w:val="0"/>
                    <w:overflowPunct/>
                    <w:bidi w:val="0"/>
                    <w:spacing w:line="240" w:lineRule="auto"/>
                    <w:ind w:firstLine="0" w:firstLineChars="0"/>
                    <w:jc w:val="left"/>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符合</w:t>
                  </w:r>
                </w:p>
              </w:tc>
            </w:tr>
          </w:tbl>
          <w:p w14:paraId="59950F69">
            <w:pPr>
              <w:pStyle w:val="36"/>
              <w:keepNext w:val="0"/>
              <w:keepLines w:val="0"/>
              <w:pageBreakBefore w:val="0"/>
              <w:widowControl w:val="0"/>
              <w:kinsoku/>
              <w:wordWrap w:val="0"/>
              <w:overflowPunct/>
              <w:topLinePunct w:val="0"/>
              <w:bidi w:val="0"/>
              <w:ind w:firstLine="480"/>
              <w:textAlignment w:val="auto"/>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rPr>
              <w:t>由上表可知，项目不违反《牛栏江流域（云南部分）水环境保护规划》（2009-2030年）对重点污染控制区的水环境保护要求。项目的建设与《牛栏江流域（云南部分）水环境保护规划》（2009-2030年）相符。</w:t>
            </w:r>
          </w:p>
          <w:p w14:paraId="0E4562EB">
            <w:pPr>
              <w:pStyle w:val="36"/>
              <w:keepNext w:val="0"/>
              <w:keepLines w:val="0"/>
              <w:pageBreakBefore w:val="0"/>
              <w:widowControl w:val="0"/>
              <w:kinsoku/>
              <w:wordWrap w:val="0"/>
              <w:overflowPunct/>
              <w:topLinePunct w:val="0"/>
              <w:bidi w:val="0"/>
              <w:ind w:firstLine="480"/>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lang w:val="en-US" w:eastAsia="zh-CN"/>
              </w:rPr>
              <w:t>6</w:t>
            </w:r>
            <w:r>
              <w:rPr>
                <w:rFonts w:hint="default" w:ascii="Times New Roman" w:hAnsi="Times New Roman" w:cs="Times New Roman"/>
                <w:b/>
                <w:bCs/>
                <w:color w:val="auto"/>
                <w:kern w:val="0"/>
                <w:sz w:val="24"/>
              </w:rPr>
              <w:t>、与《牛栏江流域（昆明段）水环境保护规划（20</w:t>
            </w:r>
            <w:r>
              <w:rPr>
                <w:rFonts w:hint="default" w:ascii="Times New Roman" w:hAnsi="Times New Roman" w:cs="Times New Roman"/>
                <w:b/>
                <w:bCs/>
                <w:color w:val="auto"/>
                <w:kern w:val="0"/>
                <w:sz w:val="24"/>
                <w:lang w:val="en-US" w:eastAsia="zh-CN"/>
              </w:rPr>
              <w:t>11</w:t>
            </w:r>
            <w:r>
              <w:rPr>
                <w:rFonts w:hint="default" w:ascii="Times New Roman" w:hAnsi="Times New Roman" w:cs="Times New Roman"/>
                <w:b/>
                <w:bCs/>
                <w:color w:val="auto"/>
                <w:kern w:val="0"/>
                <w:sz w:val="24"/>
              </w:rPr>
              <w:t>~2030）》的相符性分析</w:t>
            </w:r>
          </w:p>
          <w:p w14:paraId="4AFA7235">
            <w:pPr>
              <w:pStyle w:val="36"/>
              <w:keepNext w:val="0"/>
              <w:keepLines w:val="0"/>
              <w:pageBreakBefore w:val="0"/>
              <w:widowControl w:val="0"/>
              <w:kinsoku/>
              <w:wordWrap w:val="0"/>
              <w:overflowPunct/>
              <w:topLinePunct w:val="0"/>
              <w:bidi w:val="0"/>
              <w:ind w:firstLine="48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项目与《牛栏江流域（昆明段）水污染防治工作方案》分析情况如表下。</w:t>
            </w:r>
          </w:p>
          <w:p w14:paraId="44D65C32">
            <w:pPr>
              <w:pStyle w:val="36"/>
              <w:keepNext w:val="0"/>
              <w:keepLines w:val="0"/>
              <w:pageBreakBefore w:val="0"/>
              <w:widowControl w:val="0"/>
              <w:kinsoku/>
              <w:wordWrap w:val="0"/>
              <w:overflowPunct/>
              <w:topLinePunct w:val="0"/>
              <w:bidi w:val="0"/>
              <w:ind w:firstLine="48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表1-</w:t>
            </w:r>
            <w:r>
              <w:rPr>
                <w:rFonts w:hint="default" w:ascii="Times New Roman" w:hAnsi="Times New Roman" w:cs="Times New Roman"/>
                <w:b/>
                <w:bCs/>
                <w:color w:val="auto"/>
                <w:kern w:val="0"/>
                <w:sz w:val="21"/>
                <w:szCs w:val="21"/>
                <w:lang w:val="en-US" w:eastAsia="zh-CN"/>
              </w:rPr>
              <w:t xml:space="preserve">6 </w:t>
            </w:r>
            <w:r>
              <w:rPr>
                <w:rFonts w:hint="default" w:ascii="Times New Roman" w:hAnsi="Times New Roman" w:cs="Times New Roman"/>
                <w:b/>
                <w:bCs/>
                <w:color w:val="auto"/>
                <w:kern w:val="0"/>
                <w:sz w:val="21"/>
                <w:szCs w:val="21"/>
                <w:lang w:val="zh-CN"/>
              </w:rPr>
              <w:t>本项目与</w:t>
            </w:r>
            <w:r>
              <w:rPr>
                <w:rFonts w:hint="default" w:ascii="Times New Roman" w:hAnsi="Times New Roman" w:cs="Times New Roman"/>
                <w:b/>
                <w:bCs/>
                <w:color w:val="auto"/>
                <w:kern w:val="0"/>
                <w:sz w:val="21"/>
                <w:szCs w:val="21"/>
              </w:rPr>
              <w:t>《牛栏江流域（昆明段）水污染防治工作方案》的</w:t>
            </w:r>
            <w:r>
              <w:rPr>
                <w:rFonts w:hint="default" w:ascii="Times New Roman" w:hAnsi="Times New Roman" w:cs="Times New Roman"/>
                <w:b/>
                <w:bCs/>
                <w:color w:val="auto"/>
                <w:kern w:val="0"/>
                <w:sz w:val="21"/>
                <w:szCs w:val="21"/>
                <w:lang w:val="zh-CN"/>
              </w:rPr>
              <w:t>符合性分析</w:t>
            </w:r>
          </w:p>
          <w:tbl>
            <w:tblPr>
              <w:tblStyle w:val="23"/>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31"/>
              <w:gridCol w:w="2988"/>
              <w:gridCol w:w="2636"/>
              <w:gridCol w:w="872"/>
            </w:tblGrid>
            <w:tr w14:paraId="198446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3" w:hRule="atLeast"/>
                <w:jc w:val="center"/>
              </w:trPr>
              <w:tc>
                <w:tcPr>
                  <w:tcW w:w="850" w:type="pct"/>
                  <w:tcBorders>
                    <w:top w:val="single" w:color="auto" w:sz="8" w:space="0"/>
                    <w:left w:val="single" w:color="auto" w:sz="8" w:space="0"/>
                    <w:bottom w:val="single" w:color="auto" w:sz="8" w:space="0"/>
                    <w:right w:val="single" w:color="auto" w:sz="8" w:space="0"/>
                  </w:tcBorders>
                  <w:vAlign w:val="center"/>
                </w:tcPr>
                <w:p w14:paraId="35F3CE15">
                  <w:pPr>
                    <w:pageBreakBefore w:val="0"/>
                    <w:kinsoku/>
                    <w:wordWrap w:val="0"/>
                    <w:overflowPunct/>
                    <w:bidi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项目</w:t>
                  </w:r>
                </w:p>
              </w:tc>
              <w:tc>
                <w:tcPr>
                  <w:tcW w:w="1908" w:type="pct"/>
                  <w:tcBorders>
                    <w:top w:val="single" w:color="auto" w:sz="8" w:space="0"/>
                    <w:left w:val="single" w:color="auto" w:sz="8" w:space="0"/>
                    <w:bottom w:val="single" w:color="auto" w:sz="8" w:space="0"/>
                    <w:right w:val="single" w:color="auto" w:sz="8" w:space="0"/>
                  </w:tcBorders>
                  <w:vAlign w:val="center"/>
                </w:tcPr>
                <w:p w14:paraId="535E01B8">
                  <w:pPr>
                    <w:pageBreakBefore w:val="0"/>
                    <w:kinsoku/>
                    <w:wordWrap w:val="0"/>
                    <w:overflowPunct/>
                    <w:bidi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方案内容</w:t>
                  </w:r>
                </w:p>
              </w:tc>
              <w:tc>
                <w:tcPr>
                  <w:tcW w:w="1683" w:type="pct"/>
                  <w:tcBorders>
                    <w:top w:val="single" w:color="auto" w:sz="8" w:space="0"/>
                    <w:left w:val="single" w:color="auto" w:sz="8" w:space="0"/>
                    <w:bottom w:val="single" w:color="auto" w:sz="8" w:space="0"/>
                    <w:right w:val="single" w:color="auto" w:sz="8" w:space="0"/>
                  </w:tcBorders>
                  <w:vAlign w:val="center"/>
                </w:tcPr>
                <w:p w14:paraId="003CC1D2">
                  <w:pPr>
                    <w:pageBreakBefore w:val="0"/>
                    <w:kinsoku/>
                    <w:wordWrap w:val="0"/>
                    <w:overflowPunct/>
                    <w:bidi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本项目情况</w:t>
                  </w:r>
                </w:p>
              </w:tc>
              <w:tc>
                <w:tcPr>
                  <w:tcW w:w="557" w:type="pct"/>
                  <w:tcBorders>
                    <w:top w:val="single" w:color="auto" w:sz="8" w:space="0"/>
                    <w:left w:val="single" w:color="auto" w:sz="8" w:space="0"/>
                    <w:bottom w:val="single" w:color="auto" w:sz="8" w:space="0"/>
                    <w:right w:val="single" w:color="auto" w:sz="8" w:space="0"/>
                  </w:tcBorders>
                  <w:vAlign w:val="center"/>
                </w:tcPr>
                <w:p w14:paraId="059E708F">
                  <w:pPr>
                    <w:pageBreakBefore w:val="0"/>
                    <w:kinsoku/>
                    <w:wordWrap w:val="0"/>
                    <w:overflowPunct/>
                    <w:bidi w:val="0"/>
                    <w:spacing w:line="240" w:lineRule="auto"/>
                    <w:ind w:firstLine="0" w:firstLineChars="0"/>
                    <w:jc w:val="center"/>
                    <w:rPr>
                      <w:rFonts w:hint="default"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lang w:val="en-US" w:eastAsia="zh-CN"/>
                    </w:rPr>
                    <w:t>符合性</w:t>
                  </w:r>
                </w:p>
              </w:tc>
            </w:tr>
            <w:tr w14:paraId="250215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7" w:hRule="atLeast"/>
                <w:jc w:val="center"/>
              </w:trPr>
              <w:tc>
                <w:tcPr>
                  <w:tcW w:w="850" w:type="pct"/>
                  <w:tcBorders>
                    <w:top w:val="single" w:color="auto" w:sz="8" w:space="0"/>
                    <w:left w:val="single" w:color="auto" w:sz="8" w:space="0"/>
                    <w:bottom w:val="single" w:color="auto" w:sz="8" w:space="0"/>
                    <w:right w:val="single" w:color="auto" w:sz="8" w:space="0"/>
                  </w:tcBorders>
                  <w:vAlign w:val="center"/>
                </w:tcPr>
                <w:p w14:paraId="30B04C6C">
                  <w:pPr>
                    <w:pageBreakBefore w:val="0"/>
                    <w:kinsoku/>
                    <w:wordWrap w:val="0"/>
                    <w:overflowPunct/>
                    <w:bidi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建立污染物总量控制机制</w:t>
                  </w:r>
                </w:p>
              </w:tc>
              <w:tc>
                <w:tcPr>
                  <w:tcW w:w="1908" w:type="pct"/>
                  <w:tcBorders>
                    <w:top w:val="single" w:color="auto" w:sz="8" w:space="0"/>
                    <w:left w:val="single" w:color="auto" w:sz="8" w:space="0"/>
                    <w:bottom w:val="single" w:color="auto" w:sz="8" w:space="0"/>
                    <w:right w:val="single" w:color="auto" w:sz="8" w:space="0"/>
                  </w:tcBorders>
                  <w:vAlign w:val="center"/>
                </w:tcPr>
                <w:p w14:paraId="5D2EBBD5">
                  <w:pPr>
                    <w:pageBreakBefore w:val="0"/>
                    <w:kinsoku/>
                    <w:wordWrap w:val="0"/>
                    <w:overflowPunct/>
                    <w:bidi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逐步削减氨氮、总磷、化学需氧量排放量，牛栏江流域（昆明段）氨氮、总磷、化学需氧量控制在规定范围内。新改扩建项目不得新增氨氮、总磷、化学需氧量排放量。</w:t>
                  </w:r>
                </w:p>
              </w:tc>
              <w:tc>
                <w:tcPr>
                  <w:tcW w:w="1683" w:type="pct"/>
                  <w:tcBorders>
                    <w:top w:val="single" w:color="auto" w:sz="8" w:space="0"/>
                    <w:left w:val="single" w:color="auto" w:sz="8" w:space="0"/>
                    <w:bottom w:val="single" w:color="auto" w:sz="8" w:space="0"/>
                    <w:right w:val="single" w:color="auto" w:sz="8" w:space="0"/>
                  </w:tcBorders>
                  <w:vAlign w:val="center"/>
                </w:tcPr>
                <w:p w14:paraId="3653A129">
                  <w:pPr>
                    <w:pageBreakBefore w:val="0"/>
                    <w:kinsoku/>
                    <w:wordWrap w:val="0"/>
                    <w:overflowPunct/>
                    <w:bidi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eastAsiaTheme="minorEastAsia"/>
                      <w:color w:val="auto"/>
                      <w:kern w:val="0"/>
                      <w:sz w:val="21"/>
                      <w:szCs w:val="21"/>
                      <w:lang w:bidi="ar"/>
                    </w:rPr>
                    <w:t>项目</w:t>
                  </w:r>
                  <w:r>
                    <w:rPr>
                      <w:rFonts w:hint="default" w:ascii="Times New Roman" w:hAnsi="Times New Roman" w:cs="Times New Roman" w:eastAsiaTheme="minorEastAsia"/>
                      <w:color w:val="auto"/>
                      <w:kern w:val="0"/>
                      <w:sz w:val="21"/>
                      <w:szCs w:val="21"/>
                      <w:lang w:val="en-US" w:eastAsia="zh-CN" w:bidi="ar"/>
                    </w:rPr>
                    <w:t>汽车冲洗废水经沉淀池处理后回用于项目洒水降尘；初期雨水经初期雨水收集池收集后回用于汽车冲洗及项目区内道路洒水降尘；</w:t>
                  </w:r>
                  <w:r>
                    <w:rPr>
                      <w:rFonts w:hint="eastAsia" w:cs="Times New Roman" w:eastAsiaTheme="minorEastAsia"/>
                      <w:color w:val="0000FF"/>
                      <w:kern w:val="0"/>
                      <w:sz w:val="21"/>
                      <w:szCs w:val="21"/>
                      <w:lang w:val="en-US" w:eastAsia="zh-CN" w:bidi="ar"/>
                    </w:rPr>
                    <w:t>生活污水经化粪池预处理后经项目一体化污水处理设备处理后回用于项目生活区洒水降尘，不外排</w:t>
                  </w:r>
                  <w:r>
                    <w:rPr>
                      <w:rFonts w:hint="default" w:ascii="Times New Roman" w:hAnsi="Times New Roman" w:cs="Times New Roman" w:eastAsiaTheme="minorEastAsia"/>
                      <w:color w:val="0000FF"/>
                      <w:kern w:val="0"/>
                      <w:sz w:val="21"/>
                      <w:szCs w:val="21"/>
                      <w:lang w:val="en-US" w:eastAsia="zh-CN" w:bidi="ar"/>
                    </w:rPr>
                    <w:t>；</w:t>
                  </w:r>
                  <w:r>
                    <w:rPr>
                      <w:rFonts w:hint="default" w:ascii="Times New Roman" w:hAnsi="Times New Roman" w:cs="Times New Roman"/>
                      <w:color w:val="auto"/>
                      <w:sz w:val="21"/>
                      <w:szCs w:val="21"/>
                      <w:lang w:val="en-US" w:eastAsia="zh-CN"/>
                    </w:rPr>
                    <w:t>项目</w:t>
                  </w:r>
                  <w:r>
                    <w:rPr>
                      <w:rFonts w:hint="default" w:ascii="Times New Roman" w:hAnsi="Times New Roman" w:cs="Times New Roman"/>
                      <w:color w:val="auto"/>
                      <w:sz w:val="21"/>
                      <w:szCs w:val="21"/>
                    </w:rPr>
                    <w:t>水污染物总量控制指标纳入</w:t>
                  </w:r>
                  <w:r>
                    <w:rPr>
                      <w:rFonts w:hint="default" w:ascii="Times New Roman" w:hAnsi="Times New Roman" w:cs="Times New Roman"/>
                      <w:color w:val="auto"/>
                      <w:sz w:val="21"/>
                      <w:szCs w:val="21"/>
                      <w:lang w:val="en-US" w:eastAsia="zh-CN"/>
                    </w:rPr>
                    <w:t>寻甸县水质净化厂总量控制指标</w:t>
                  </w:r>
                  <w:r>
                    <w:rPr>
                      <w:rFonts w:hint="default" w:ascii="Times New Roman" w:hAnsi="Times New Roman" w:cs="Times New Roman"/>
                      <w:color w:val="auto"/>
                      <w:sz w:val="21"/>
                      <w:szCs w:val="21"/>
                      <w:lang w:eastAsia="zh-CN"/>
                    </w:rPr>
                    <w:t>。</w:t>
                  </w:r>
                </w:p>
              </w:tc>
              <w:tc>
                <w:tcPr>
                  <w:tcW w:w="557" w:type="pct"/>
                  <w:tcBorders>
                    <w:top w:val="single" w:color="auto" w:sz="8" w:space="0"/>
                    <w:left w:val="single" w:color="auto" w:sz="8" w:space="0"/>
                    <w:bottom w:val="single" w:color="auto" w:sz="8" w:space="0"/>
                    <w:right w:val="single" w:color="auto" w:sz="8" w:space="0"/>
                  </w:tcBorders>
                  <w:vAlign w:val="center"/>
                </w:tcPr>
                <w:p w14:paraId="7E376ECB">
                  <w:pPr>
                    <w:pageBreakBefore w:val="0"/>
                    <w:kinsoku/>
                    <w:wordWrap w:val="0"/>
                    <w:overflowPunct/>
                    <w:bidi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bl>
          <w:p w14:paraId="058EF6D5">
            <w:pPr>
              <w:keepNext w:val="0"/>
              <w:keepLines w:val="0"/>
              <w:pageBreakBefore w:val="0"/>
              <w:widowControl w:val="0"/>
              <w:kinsoku/>
              <w:wordWrap w:val="0"/>
              <w:overflowPunct/>
              <w:topLinePunct w:val="0"/>
              <w:autoSpaceDE/>
              <w:autoSpaceDN/>
              <w:bidi w:val="0"/>
              <w:adjustRightInd/>
              <w:snapToGrid/>
              <w:spacing w:before="157" w:beforeLines="50"/>
              <w:ind w:left="0" w:leftChars="0"/>
              <w:textAlignment w:val="auto"/>
              <w:rPr>
                <w:rFonts w:hint="default" w:ascii="Times New Roman" w:hAnsi="Times New Roman" w:cs="Times New Roman"/>
                <w:lang w:val="en-US" w:eastAsia="zh-CN"/>
              </w:rPr>
            </w:pPr>
            <w:r>
              <w:rPr>
                <w:rFonts w:hint="default" w:ascii="Times New Roman" w:hAnsi="Times New Roman" w:cs="Times New Roman"/>
                <w:bCs/>
                <w:color w:val="auto"/>
                <w:kern w:val="0"/>
                <w:sz w:val="24"/>
              </w:rPr>
              <w:t>由上表可知，项目符合《牛栏江流域（昆明段）水污染防治工作方案》的要求。</w:t>
            </w:r>
          </w:p>
          <w:p w14:paraId="67AFD0E1">
            <w:pPr>
              <w:pStyle w:val="12"/>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kern w:val="0"/>
                <w:sz w:val="24"/>
              </w:rPr>
            </w:pPr>
            <w:r>
              <w:rPr>
                <w:rFonts w:hint="default" w:ascii="Times New Roman" w:hAnsi="Times New Roman" w:cs="Times New Roman"/>
                <w:b/>
                <w:color w:val="auto"/>
                <w:kern w:val="0"/>
                <w:sz w:val="24"/>
                <w:lang w:val="en-US" w:eastAsia="zh-CN"/>
              </w:rPr>
              <w:t>7</w:t>
            </w:r>
            <w:r>
              <w:rPr>
                <w:rFonts w:hint="default" w:ascii="Times New Roman" w:hAnsi="Times New Roman" w:cs="Times New Roman"/>
                <w:b/>
                <w:color w:val="auto"/>
                <w:kern w:val="0"/>
                <w:sz w:val="24"/>
              </w:rPr>
              <w:t>、</w:t>
            </w:r>
            <w:r>
              <w:rPr>
                <w:rFonts w:hint="default" w:ascii="Times New Roman" w:hAnsi="Times New Roman" w:eastAsia="宋体" w:cs="Times New Roman"/>
                <w:b/>
                <w:bCs w:val="0"/>
                <w:color w:val="auto"/>
                <w:sz w:val="24"/>
                <w:szCs w:val="24"/>
                <w:highlight w:val="none"/>
                <w:lang w:val="en-US" w:eastAsia="zh-CN"/>
              </w:rPr>
              <w:t>与《牛栏江流域（寻甸段）水环境保护规划（2011~2030）》的相符性分析</w:t>
            </w:r>
          </w:p>
          <w:p w14:paraId="2F02BCBC">
            <w:pPr>
              <w:pageBreakBefore w:val="0"/>
              <w:kinsoku/>
              <w:wordWrap w:val="0"/>
              <w:overflowPunct/>
              <w:autoSpaceDE w:val="0"/>
              <w:autoSpaceDN w:val="0"/>
              <w:bidi w:val="0"/>
              <w:adjustRightInd w:val="0"/>
              <w:snapToGrid w:val="0"/>
              <w:spacing w:line="360" w:lineRule="auto"/>
              <w:ind w:firstLine="480" w:firstLineChars="200"/>
              <w:rPr>
                <w:rFonts w:hint="default" w:ascii="Times New Roman" w:hAnsi="Times New Roman" w:cs="Times New Roman"/>
                <w:bCs/>
                <w:color w:val="auto"/>
                <w:kern w:val="0"/>
                <w:sz w:val="24"/>
              </w:rPr>
            </w:pPr>
            <w:r>
              <w:rPr>
                <w:rFonts w:hint="default" w:ascii="Times New Roman" w:hAnsi="Times New Roman" w:eastAsia="宋体" w:cs="Times New Roman"/>
                <w:color w:val="auto"/>
                <w:kern w:val="0"/>
                <w:sz w:val="24"/>
                <w:szCs w:val="24"/>
                <w:highlight w:val="none"/>
                <w:lang w:val="en-US" w:eastAsia="zh-CN" w:bidi="ar-SA"/>
              </w:rPr>
              <w:t>根据《牛栏江流域（寻甸段）水环境保护规划（2011~2030）》分区结果</w:t>
            </w:r>
            <w:r>
              <w:rPr>
                <w:rFonts w:hint="default" w:ascii="Times New Roman" w:hAnsi="Times New Roman" w:cs="Times New Roman"/>
                <w:bCs/>
                <w:color w:val="auto"/>
                <w:kern w:val="0"/>
                <w:sz w:val="24"/>
              </w:rPr>
              <w:t>，牛栏江流域（</w:t>
            </w:r>
            <w:r>
              <w:rPr>
                <w:rFonts w:hint="default" w:ascii="Times New Roman" w:hAnsi="Times New Roman" w:cs="Times New Roman"/>
                <w:bCs/>
                <w:color w:val="auto"/>
                <w:kern w:val="0"/>
                <w:sz w:val="24"/>
                <w:lang w:val="en-US" w:eastAsia="zh-CN"/>
              </w:rPr>
              <w:t>寻甸</w:t>
            </w:r>
            <w:r>
              <w:rPr>
                <w:rFonts w:hint="default" w:ascii="Times New Roman" w:hAnsi="Times New Roman" w:cs="Times New Roman"/>
                <w:bCs/>
                <w:color w:val="auto"/>
                <w:kern w:val="0"/>
                <w:sz w:val="24"/>
              </w:rPr>
              <w:t>段）共分为三个区进行保护，包括水源保护核心区（禁建区、限建区）、重点污染控制区和重点水源涵养区，根据前文可知，本项目所在地位于牛栏江流域（</w:t>
            </w:r>
            <w:r>
              <w:rPr>
                <w:rFonts w:hint="default" w:ascii="Times New Roman" w:hAnsi="Times New Roman" w:cs="Times New Roman"/>
                <w:bCs/>
                <w:color w:val="auto"/>
                <w:kern w:val="0"/>
                <w:sz w:val="24"/>
                <w:lang w:val="en-US" w:eastAsia="zh-CN"/>
              </w:rPr>
              <w:t>寻甸</w:t>
            </w:r>
            <w:r>
              <w:rPr>
                <w:rFonts w:hint="default" w:ascii="Times New Roman" w:hAnsi="Times New Roman" w:cs="Times New Roman"/>
                <w:bCs/>
                <w:color w:val="auto"/>
                <w:kern w:val="0"/>
                <w:sz w:val="24"/>
              </w:rPr>
              <w:t>段）重点污染控制区范围内，本项目与</w:t>
            </w:r>
            <w:r>
              <w:rPr>
                <w:rFonts w:hint="default" w:ascii="Times New Roman" w:hAnsi="Times New Roman" w:eastAsia="宋体" w:cs="Times New Roman"/>
                <w:color w:val="auto"/>
                <w:kern w:val="0"/>
                <w:sz w:val="24"/>
                <w:szCs w:val="24"/>
                <w:highlight w:val="none"/>
                <w:lang w:val="en-US" w:eastAsia="zh-CN" w:bidi="ar-SA"/>
              </w:rPr>
              <w:t>《牛栏江流域（寻甸段）水环境保护规划（2011~2030）</w:t>
            </w:r>
            <w:r>
              <w:rPr>
                <w:rFonts w:hint="default" w:ascii="Times New Roman" w:hAnsi="Times New Roman" w:cs="Times New Roman"/>
                <w:bCs/>
                <w:color w:val="auto"/>
                <w:kern w:val="0"/>
                <w:sz w:val="24"/>
              </w:rPr>
              <w:t>规定的牛栏江流域重点污染控制区保护要求符合性如下：</w:t>
            </w:r>
          </w:p>
          <w:p w14:paraId="66E70B44">
            <w:pPr>
              <w:pageBreakBefore w:val="0"/>
              <w:kinsoku/>
              <w:wordWrap w:val="0"/>
              <w:overflowPunct/>
              <w:bidi w:val="0"/>
              <w:spacing w:line="288"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表1-</w:t>
            </w:r>
            <w:r>
              <w:rPr>
                <w:rFonts w:hint="default" w:ascii="Times New Roman" w:hAnsi="Times New Roman" w:cs="Times New Roman"/>
                <w:b/>
                <w:bCs/>
                <w:color w:val="auto"/>
                <w:sz w:val="21"/>
                <w:szCs w:val="21"/>
                <w:lang w:val="en-US" w:eastAsia="zh-CN"/>
              </w:rPr>
              <w:t>7</w:t>
            </w:r>
            <w:r>
              <w:rPr>
                <w:rFonts w:hint="default" w:ascii="Times New Roman" w:hAnsi="Times New Roman" w:cs="Times New Roman"/>
                <w:b/>
                <w:bCs/>
                <w:color w:val="auto"/>
                <w:sz w:val="21"/>
                <w:szCs w:val="21"/>
              </w:rPr>
              <w:t>本项目与牛栏江流域</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寻甸</w:t>
            </w:r>
            <w:r>
              <w:rPr>
                <w:rFonts w:hint="default" w:ascii="Times New Roman" w:hAnsi="Times New Roman" w:eastAsia="宋体" w:cs="Times New Roman"/>
                <w:b/>
                <w:bCs/>
                <w:color w:val="auto"/>
                <w:sz w:val="21"/>
                <w:szCs w:val="21"/>
              </w:rPr>
              <w:t>段）重</w:t>
            </w:r>
            <w:r>
              <w:rPr>
                <w:rFonts w:hint="default" w:ascii="Times New Roman" w:hAnsi="Times New Roman" w:cs="Times New Roman"/>
                <w:b/>
                <w:bCs/>
                <w:color w:val="auto"/>
                <w:sz w:val="21"/>
                <w:szCs w:val="21"/>
              </w:rPr>
              <w:t>点污染控制区保护要求分析</w:t>
            </w:r>
          </w:p>
          <w:tbl>
            <w:tblPr>
              <w:tblStyle w:val="23"/>
              <w:tblpPr w:leftFromText="181" w:rightFromText="181" w:bottomFromText="113" w:vertAnchor="text" w:tblpX="1"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887"/>
              <w:gridCol w:w="2915"/>
              <w:gridCol w:w="1035"/>
            </w:tblGrid>
            <w:tr w14:paraId="3A815B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479" w:type="pct"/>
                  <w:vAlign w:val="center"/>
                </w:tcPr>
                <w:p w14:paraId="3ED3B0BF">
                  <w:pPr>
                    <w:pStyle w:val="7"/>
                    <w:pageBreakBefore w:val="0"/>
                    <w:kinsoku/>
                    <w:wordWrap w:val="0"/>
                    <w:overflowPunct/>
                    <w:bidi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重点污染控制区的保护要求</w:t>
                  </w:r>
                </w:p>
              </w:tc>
              <w:tc>
                <w:tcPr>
                  <w:tcW w:w="1859" w:type="pct"/>
                  <w:vAlign w:val="center"/>
                </w:tcPr>
                <w:p w14:paraId="28151279">
                  <w:pPr>
                    <w:pStyle w:val="7"/>
                    <w:pageBreakBefore w:val="0"/>
                    <w:kinsoku/>
                    <w:wordWrap w:val="0"/>
                    <w:overflowPunct/>
                    <w:bidi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本项目情况</w:t>
                  </w:r>
                </w:p>
              </w:tc>
              <w:tc>
                <w:tcPr>
                  <w:tcW w:w="660" w:type="pct"/>
                  <w:vAlign w:val="center"/>
                </w:tcPr>
                <w:p w14:paraId="7ECA6D26">
                  <w:pPr>
                    <w:pStyle w:val="7"/>
                    <w:pageBreakBefore w:val="0"/>
                    <w:kinsoku/>
                    <w:wordWrap w:val="0"/>
                    <w:overflowPunct/>
                    <w:bidi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符合性分析</w:t>
                  </w:r>
                </w:p>
              </w:tc>
            </w:tr>
            <w:tr w14:paraId="0C325E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479" w:type="pct"/>
                  <w:vAlign w:val="center"/>
                </w:tcPr>
                <w:p w14:paraId="1FB669D9">
                  <w:pPr>
                    <w:pageBreakBefore w:val="0"/>
                    <w:kinsoku/>
                    <w:wordWrap w:val="0"/>
                    <w:overflowPunct/>
                    <w:bidi w:val="0"/>
                    <w:spacing w:line="240" w:lineRule="auto"/>
                    <w:ind w:firstLine="0" w:firstLineChars="0"/>
                    <w:rPr>
                      <w:rFonts w:hint="default" w:ascii="Times New Roman" w:hAnsi="Times New Roman" w:eastAsia="宋体" w:cs="Times New Roman"/>
                      <w:color w:val="auto"/>
                      <w:spacing w:val="4"/>
                      <w:kern w:val="0"/>
                      <w:sz w:val="21"/>
                      <w:szCs w:val="21"/>
                      <w:lang w:val="en-US" w:eastAsia="zh-CN" w:bidi="ar-SA"/>
                    </w:rPr>
                  </w:pPr>
                  <w:r>
                    <w:rPr>
                      <w:rFonts w:hint="default" w:ascii="Times New Roman" w:hAnsi="Times New Roman" w:eastAsia="宋体" w:cs="Times New Roman"/>
                      <w:color w:val="auto"/>
                      <w:spacing w:val="4"/>
                      <w:kern w:val="0"/>
                      <w:sz w:val="21"/>
                      <w:szCs w:val="21"/>
                      <w:lang w:val="en-US" w:eastAsia="zh-CN" w:bidi="ar-SA"/>
                    </w:rPr>
                    <w:t>1）重点工业污染源的监督与管理</w:t>
                  </w:r>
                </w:p>
                <w:p w14:paraId="22132106">
                  <w:pPr>
                    <w:pageBreakBefore w:val="0"/>
                    <w:kinsoku/>
                    <w:wordWrap w:val="0"/>
                    <w:overflowPunct/>
                    <w:bidi w:val="0"/>
                    <w:spacing w:line="240" w:lineRule="auto"/>
                    <w:ind w:firstLine="0" w:firstLineChars="0"/>
                    <w:rPr>
                      <w:rFonts w:hint="default" w:ascii="Times New Roman" w:hAnsi="Times New Roman" w:eastAsia="宋体" w:cs="Times New Roman"/>
                      <w:color w:val="auto"/>
                      <w:spacing w:val="4"/>
                      <w:kern w:val="0"/>
                      <w:sz w:val="21"/>
                      <w:szCs w:val="21"/>
                      <w:lang w:val="en-US" w:eastAsia="zh-CN" w:bidi="ar-SA"/>
                    </w:rPr>
                  </w:pPr>
                  <w:r>
                    <w:rPr>
                      <w:rFonts w:hint="default" w:ascii="Times New Roman" w:hAnsi="Times New Roman" w:eastAsia="宋体" w:cs="Times New Roman"/>
                      <w:color w:val="auto"/>
                      <w:spacing w:val="4"/>
                      <w:kern w:val="0"/>
                      <w:sz w:val="21"/>
                      <w:szCs w:val="21"/>
                      <w:lang w:val="en-US" w:eastAsia="zh-CN" w:bidi="ar-SA"/>
                    </w:rPr>
                    <w:t>加强对重点工业污染源的监督，确保牛栏江流域（寻甸段）内重点企业污水稳定达标排放并实现“零排放”，固体废弃物最大程度重复利用和安全处置，消除工业企业的环境安全隐患，确保环保设施的正常运行，杜绝工业企业偷排、漏排污染物的现象。</w:t>
                  </w:r>
                </w:p>
              </w:tc>
              <w:tc>
                <w:tcPr>
                  <w:tcW w:w="1859" w:type="pct"/>
                  <w:vAlign w:val="center"/>
                </w:tcPr>
                <w:p w14:paraId="00D60D3C">
                  <w:pPr>
                    <w:pageBreakBefore w:val="0"/>
                    <w:kinsoku/>
                    <w:wordWrap w:val="0"/>
                    <w:overflowPunct/>
                    <w:bidi w:val="0"/>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eastAsiaTheme="minorEastAsia"/>
                      <w:color w:val="auto"/>
                      <w:kern w:val="0"/>
                      <w:sz w:val="21"/>
                      <w:szCs w:val="21"/>
                      <w:lang w:bidi="ar"/>
                    </w:rPr>
                    <w:t>项目</w:t>
                  </w:r>
                  <w:r>
                    <w:rPr>
                      <w:rFonts w:hint="default" w:ascii="Times New Roman" w:hAnsi="Times New Roman" w:cs="Times New Roman" w:eastAsiaTheme="minorEastAsia"/>
                      <w:color w:val="auto"/>
                      <w:kern w:val="0"/>
                      <w:sz w:val="21"/>
                      <w:szCs w:val="21"/>
                      <w:lang w:val="en-US" w:eastAsia="zh-CN" w:bidi="ar"/>
                    </w:rPr>
                    <w:t>汽车冲洗废水经沉淀池处理后回用于项目洒水降尘；初期雨水经初期雨水收集池收集后回用于汽车冲洗及项目区内道路洒水降尘；</w:t>
                  </w:r>
                  <w:r>
                    <w:rPr>
                      <w:rFonts w:hint="eastAsia" w:cs="Times New Roman" w:eastAsiaTheme="minorEastAsia"/>
                      <w:color w:val="0000FF"/>
                      <w:kern w:val="0"/>
                      <w:sz w:val="21"/>
                      <w:szCs w:val="21"/>
                      <w:lang w:val="en-US" w:eastAsia="zh-CN" w:bidi="ar"/>
                    </w:rPr>
                    <w:t>生活污水经化粪池预处理后经项目一体化污水处理设备处理后回用于项目生活区洒水降尘，不外排</w:t>
                  </w:r>
                  <w:r>
                    <w:rPr>
                      <w:rFonts w:hint="default" w:ascii="Times New Roman" w:hAnsi="Times New Roman" w:cs="Times New Roman" w:eastAsiaTheme="minorEastAsia"/>
                      <w:color w:val="0000FF"/>
                      <w:kern w:val="0"/>
                      <w:sz w:val="21"/>
                      <w:szCs w:val="21"/>
                      <w:lang w:val="en-US" w:eastAsia="zh-CN" w:bidi="ar"/>
                    </w:rPr>
                    <w:t>；</w:t>
                  </w:r>
                  <w:r>
                    <w:rPr>
                      <w:rFonts w:hint="default" w:ascii="Times New Roman" w:hAnsi="Times New Roman" w:cs="Times New Roman"/>
                      <w:color w:val="auto"/>
                      <w:sz w:val="21"/>
                      <w:szCs w:val="21"/>
                      <w:lang w:val="en-US" w:eastAsia="zh-CN"/>
                    </w:rPr>
                    <w:t>项目</w:t>
                  </w:r>
                  <w:r>
                    <w:rPr>
                      <w:rFonts w:hint="default" w:ascii="Times New Roman" w:hAnsi="Times New Roman" w:cs="Times New Roman"/>
                      <w:color w:val="auto"/>
                      <w:sz w:val="21"/>
                      <w:szCs w:val="21"/>
                    </w:rPr>
                    <w:t>水污染物总量控制指标纳入</w:t>
                  </w:r>
                  <w:r>
                    <w:rPr>
                      <w:rFonts w:hint="default" w:ascii="Times New Roman" w:hAnsi="Times New Roman" w:cs="Times New Roman"/>
                      <w:color w:val="auto"/>
                      <w:sz w:val="21"/>
                      <w:szCs w:val="21"/>
                      <w:lang w:val="en-US" w:eastAsia="zh-CN"/>
                    </w:rPr>
                    <w:t>寻甸县水质净化厂总量控制指标</w:t>
                  </w:r>
                  <w:r>
                    <w:rPr>
                      <w:rFonts w:hint="default" w:ascii="Times New Roman" w:hAnsi="Times New Roman" w:cs="Times New Roman"/>
                      <w:color w:val="auto"/>
                      <w:sz w:val="21"/>
                      <w:szCs w:val="21"/>
                      <w:lang w:eastAsia="zh-CN"/>
                    </w:rPr>
                    <w:t>。</w:t>
                  </w:r>
                </w:p>
                <w:p w14:paraId="1817291F">
                  <w:pPr>
                    <w:pageBreakBefore w:val="0"/>
                    <w:kinsoku/>
                    <w:wordWrap w:val="0"/>
                    <w:overflowPunct/>
                    <w:bidi w:val="0"/>
                    <w:spacing w:line="240" w:lineRule="auto"/>
                    <w:ind w:firstLine="0" w:firstLineChars="0"/>
                    <w:rPr>
                      <w:rFonts w:hint="default" w:ascii="Times New Roman" w:hAnsi="Times New Roman" w:eastAsia="宋体" w:cs="Times New Roman"/>
                      <w:color w:val="auto"/>
                      <w:spacing w:val="4"/>
                      <w:kern w:val="0"/>
                      <w:sz w:val="21"/>
                      <w:szCs w:val="21"/>
                      <w:lang w:val="en-US" w:eastAsia="zh-CN" w:bidi="ar-SA"/>
                    </w:rPr>
                  </w:pPr>
                  <w:r>
                    <w:rPr>
                      <w:rFonts w:hint="default" w:ascii="Times New Roman" w:hAnsi="Times New Roman" w:eastAsia="宋体" w:cs="Times New Roman"/>
                      <w:color w:val="auto"/>
                      <w:spacing w:val="4"/>
                      <w:kern w:val="0"/>
                      <w:sz w:val="21"/>
                      <w:szCs w:val="21"/>
                      <w:lang w:val="en-US" w:eastAsia="zh-CN" w:bidi="ar-SA"/>
                    </w:rPr>
                    <w:t>项目</w:t>
                  </w:r>
                  <w:r>
                    <w:rPr>
                      <w:rFonts w:hint="default" w:ascii="Times New Roman" w:hAnsi="Times New Roman" w:cs="Times New Roman"/>
                      <w:color w:val="auto"/>
                      <w:spacing w:val="4"/>
                      <w:kern w:val="0"/>
                      <w:sz w:val="21"/>
                      <w:szCs w:val="21"/>
                      <w:lang w:val="en-US" w:eastAsia="zh-CN" w:bidi="ar-SA"/>
                    </w:rPr>
                    <w:t>废机油</w:t>
                  </w:r>
                  <w:r>
                    <w:rPr>
                      <w:rFonts w:hint="default" w:ascii="Times New Roman" w:hAnsi="Times New Roman" w:eastAsia="宋体" w:cs="Times New Roman"/>
                      <w:color w:val="auto"/>
                      <w:spacing w:val="4"/>
                      <w:kern w:val="0"/>
                      <w:sz w:val="21"/>
                      <w:szCs w:val="21"/>
                      <w:lang w:val="en-US" w:eastAsia="zh-CN" w:bidi="ar-SA"/>
                    </w:rPr>
                    <w:t>储存于危废暂存间，最终委托有资质的单位清运处置；生活垃圾统一收集</w:t>
                  </w:r>
                  <w:r>
                    <w:rPr>
                      <w:rFonts w:hint="default" w:ascii="Times New Roman" w:hAnsi="Times New Roman" w:cs="Times New Roman"/>
                      <w:color w:val="auto"/>
                      <w:spacing w:val="4"/>
                      <w:kern w:val="0"/>
                      <w:sz w:val="21"/>
                      <w:szCs w:val="21"/>
                      <w:lang w:val="en-US" w:eastAsia="zh-CN" w:bidi="ar-SA"/>
                    </w:rPr>
                    <w:t>于生活垃圾桶</w:t>
                  </w:r>
                  <w:r>
                    <w:rPr>
                      <w:rFonts w:hint="default" w:ascii="Times New Roman" w:hAnsi="Times New Roman" w:eastAsia="宋体" w:cs="Times New Roman"/>
                      <w:color w:val="auto"/>
                      <w:spacing w:val="4"/>
                      <w:kern w:val="0"/>
                      <w:sz w:val="21"/>
                      <w:szCs w:val="21"/>
                      <w:lang w:val="en-US" w:eastAsia="zh-CN" w:bidi="ar-SA"/>
                    </w:rPr>
                    <w:t>后由当地环卫部门定期清运处置，固废处置率100%。</w:t>
                  </w:r>
                </w:p>
              </w:tc>
              <w:tc>
                <w:tcPr>
                  <w:tcW w:w="660" w:type="pct"/>
                  <w:vAlign w:val="center"/>
                </w:tcPr>
                <w:p w14:paraId="316E0056">
                  <w:pPr>
                    <w:pageBreakBefore w:val="0"/>
                    <w:kinsoku/>
                    <w:wordWrap w:val="0"/>
                    <w:overflowPunct/>
                    <w:bidi w:val="0"/>
                    <w:spacing w:line="240" w:lineRule="auto"/>
                    <w:ind w:firstLine="0" w:firstLineChars="0"/>
                    <w:jc w:val="center"/>
                    <w:rPr>
                      <w:rFonts w:hint="default" w:ascii="Times New Roman" w:hAnsi="Times New Roman" w:eastAsia="宋体" w:cs="Times New Roman"/>
                      <w:color w:val="auto"/>
                      <w:spacing w:val="4"/>
                      <w:kern w:val="0"/>
                      <w:sz w:val="21"/>
                      <w:szCs w:val="21"/>
                      <w:lang w:val="en-US" w:eastAsia="zh-CN" w:bidi="ar-SA"/>
                    </w:rPr>
                  </w:pPr>
                  <w:r>
                    <w:rPr>
                      <w:rFonts w:hint="default" w:ascii="Times New Roman" w:hAnsi="Times New Roman" w:eastAsia="宋体" w:cs="Times New Roman"/>
                      <w:color w:val="auto"/>
                      <w:spacing w:val="4"/>
                      <w:kern w:val="0"/>
                      <w:sz w:val="21"/>
                      <w:szCs w:val="21"/>
                      <w:lang w:val="en-US" w:eastAsia="zh-CN" w:bidi="ar-SA"/>
                    </w:rPr>
                    <w:t>符合</w:t>
                  </w:r>
                </w:p>
              </w:tc>
            </w:tr>
          </w:tbl>
          <w:p w14:paraId="6EA6E8EE">
            <w:pPr>
              <w:pageBreakBefore w:val="0"/>
              <w:kinsoku/>
              <w:wordWrap w:val="0"/>
              <w:overflowPunct/>
              <w:autoSpaceDE w:val="0"/>
              <w:autoSpaceDN w:val="0"/>
              <w:bidi w:val="0"/>
              <w:adjustRightInd w:val="0"/>
              <w:snapToGrid w:val="0"/>
              <w:spacing w:line="360" w:lineRule="auto"/>
              <w:ind w:firstLine="480" w:firstLineChars="200"/>
              <w:rPr>
                <w:rFonts w:hint="default" w:ascii="Times New Roman" w:hAnsi="Times New Roman" w:cs="Times New Roman"/>
                <w:b/>
                <w:bCs/>
                <w:color w:val="auto"/>
                <w:kern w:val="0"/>
                <w:sz w:val="24"/>
                <w:lang w:val="en-US" w:eastAsia="zh-CN"/>
              </w:rPr>
            </w:pPr>
            <w:r>
              <w:rPr>
                <w:rFonts w:hint="default" w:ascii="Times New Roman" w:hAnsi="Times New Roman" w:eastAsia="宋体" w:cs="Times New Roman"/>
                <w:color w:val="auto"/>
                <w:kern w:val="0"/>
                <w:sz w:val="24"/>
                <w:szCs w:val="24"/>
                <w:highlight w:val="none"/>
                <w:lang w:val="en-US" w:eastAsia="zh-CN" w:bidi="ar-SA"/>
              </w:rPr>
              <w:t>综上所述，项目符合《牛栏江流域（寻甸段）水环境保护规划》对重点污染控制区的相关要求。</w:t>
            </w:r>
          </w:p>
          <w:p w14:paraId="6FF3AFF7">
            <w:pPr>
              <w:pageBreakBefore w:val="0"/>
              <w:kinsoku/>
              <w:wordWrap w:val="0"/>
              <w:overflowPunct/>
              <w:autoSpaceDE w:val="0"/>
              <w:autoSpaceDN w:val="0"/>
              <w:bidi w:val="0"/>
              <w:adjustRightInd w:val="0"/>
              <w:snapToGrid w:val="0"/>
              <w:spacing w:line="360" w:lineRule="auto"/>
              <w:ind w:firstLine="482" w:firstLineChars="200"/>
              <w:rPr>
                <w:rFonts w:hint="default" w:ascii="Times New Roman" w:hAnsi="Times New Roman" w:cs="Times New Roman"/>
                <w:b/>
                <w:bCs/>
                <w:color w:val="auto"/>
                <w:kern w:val="0"/>
                <w:sz w:val="24"/>
                <w:lang w:val="en-US" w:eastAsia="zh-CN"/>
              </w:rPr>
            </w:pPr>
            <w:r>
              <w:rPr>
                <w:rFonts w:hint="default" w:ascii="Times New Roman" w:hAnsi="Times New Roman" w:cs="Times New Roman"/>
                <w:b/>
                <w:bCs/>
                <w:color w:val="auto"/>
                <w:kern w:val="0"/>
                <w:sz w:val="24"/>
                <w:lang w:val="en-US" w:eastAsia="zh-CN"/>
              </w:rPr>
              <w:t>8、</w:t>
            </w:r>
            <w:r>
              <w:rPr>
                <w:rFonts w:hint="default" w:ascii="Times New Roman" w:hAnsi="Times New Roman" w:eastAsia="宋体" w:cs="Times New Roman"/>
                <w:b/>
                <w:bCs/>
                <w:color w:val="auto"/>
                <w:sz w:val="24"/>
                <w:szCs w:val="24"/>
                <w:lang w:eastAsia="zh-CN"/>
              </w:rPr>
              <w:t>与《长江经济带发展负面清单指南（试行，</w:t>
            </w:r>
            <w:r>
              <w:rPr>
                <w:rFonts w:hint="default" w:ascii="Times New Roman" w:hAnsi="Times New Roman" w:eastAsia="宋体" w:cs="Times New Roman"/>
                <w:b/>
                <w:bCs/>
                <w:color w:val="auto"/>
                <w:sz w:val="24"/>
                <w:szCs w:val="24"/>
                <w:lang w:val="en-US" w:eastAsia="zh-CN"/>
              </w:rPr>
              <w:t>2022年版</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符合性分析</w:t>
            </w:r>
          </w:p>
          <w:p w14:paraId="6C4B36C7">
            <w:pPr>
              <w:pageBreakBefore w:val="0"/>
              <w:kinsoku/>
              <w:wordWrap w:val="0"/>
              <w:overflowPunct/>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本项目与《长江经济带发展负面清单指南（试行，2022年版）》的符合性分析如</w:t>
            </w:r>
            <w:r>
              <w:rPr>
                <w:rFonts w:hint="default" w:ascii="Times New Roman" w:hAnsi="Times New Roman" w:cs="Times New Roman"/>
                <w:color w:val="auto"/>
                <w:kern w:val="0"/>
                <w:sz w:val="24"/>
                <w:szCs w:val="24"/>
                <w:highlight w:val="none"/>
                <w:lang w:val="en-US" w:eastAsia="zh-CN" w:bidi="ar-SA"/>
              </w:rPr>
              <w:t>下表</w:t>
            </w:r>
            <w:r>
              <w:rPr>
                <w:rFonts w:hint="default" w:ascii="Times New Roman" w:hAnsi="Times New Roman" w:eastAsia="宋体" w:cs="Times New Roman"/>
                <w:color w:val="auto"/>
                <w:kern w:val="0"/>
                <w:sz w:val="24"/>
                <w:szCs w:val="24"/>
                <w:highlight w:val="none"/>
                <w:lang w:val="en-US" w:eastAsia="zh-CN" w:bidi="ar-SA"/>
              </w:rPr>
              <w:t>所示。</w:t>
            </w:r>
          </w:p>
          <w:p w14:paraId="7786C505">
            <w:pPr>
              <w:pageBreakBefore w:val="0"/>
              <w:kinsoku/>
              <w:wordWrap w:val="0"/>
              <w:overflowPunct/>
              <w:autoSpaceDE w:val="0"/>
              <w:autoSpaceDN w:val="0"/>
              <w:bidi w:val="0"/>
              <w:adjustRightInd w:val="0"/>
              <w:snapToGrid w:val="0"/>
              <w:spacing w:line="360" w:lineRule="auto"/>
              <w:ind w:firstLine="422" w:firstLineChars="200"/>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表1-</w:t>
            </w:r>
            <w:r>
              <w:rPr>
                <w:rFonts w:hint="default" w:ascii="Times New Roman" w:hAnsi="Times New Roman" w:cs="Times New Roman"/>
                <w:b/>
                <w:bCs/>
                <w:color w:val="auto"/>
                <w:kern w:val="0"/>
                <w:sz w:val="21"/>
                <w:szCs w:val="21"/>
                <w:highlight w:val="none"/>
                <w:lang w:val="en-US" w:eastAsia="zh-CN" w:bidi="ar-SA"/>
              </w:rPr>
              <w:t>8</w:t>
            </w:r>
            <w:r>
              <w:rPr>
                <w:rFonts w:hint="default" w:ascii="Times New Roman" w:hAnsi="Times New Roman" w:eastAsia="宋体" w:cs="Times New Roman"/>
                <w:b/>
                <w:bCs/>
                <w:color w:val="auto"/>
                <w:kern w:val="0"/>
                <w:sz w:val="21"/>
                <w:szCs w:val="21"/>
                <w:highlight w:val="none"/>
                <w:lang w:val="en-US" w:eastAsia="zh-CN" w:bidi="ar-SA"/>
              </w:rPr>
              <w:t>与《长江经济带发展负面清单指南（试行，2022年版）》相符性分析</w:t>
            </w:r>
          </w:p>
          <w:tbl>
            <w:tblPr>
              <w:tblStyle w:val="24"/>
              <w:tblW w:w="78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3980"/>
              <w:gridCol w:w="2302"/>
              <w:gridCol w:w="823"/>
            </w:tblGrid>
            <w:tr w14:paraId="140DA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Borders>
                    <w:tl2br w:val="nil"/>
                    <w:tr2bl w:val="nil"/>
                  </w:tcBorders>
                  <w:vAlign w:val="center"/>
                </w:tcPr>
                <w:p w14:paraId="61800A2E">
                  <w:pPr>
                    <w:pStyle w:val="33"/>
                    <w:pageBreakBefore w:val="0"/>
                    <w:kinsoku/>
                    <w:wordWrap w:val="0"/>
                    <w:overflowPunct/>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序号</w:t>
                  </w:r>
                </w:p>
              </w:tc>
              <w:tc>
                <w:tcPr>
                  <w:tcW w:w="3980" w:type="dxa"/>
                  <w:tcBorders>
                    <w:tl2br w:val="nil"/>
                    <w:tr2bl w:val="nil"/>
                  </w:tcBorders>
                  <w:vAlign w:val="center"/>
                </w:tcPr>
                <w:p w14:paraId="1E6422A3">
                  <w:pPr>
                    <w:pStyle w:val="33"/>
                    <w:pageBreakBefore w:val="0"/>
                    <w:kinsoku/>
                    <w:wordWrap w:val="0"/>
                    <w:overflowPunct/>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实施细则</w:t>
                  </w:r>
                </w:p>
              </w:tc>
              <w:tc>
                <w:tcPr>
                  <w:tcW w:w="2302" w:type="dxa"/>
                  <w:tcBorders>
                    <w:tl2br w:val="nil"/>
                    <w:tr2bl w:val="nil"/>
                  </w:tcBorders>
                  <w:vAlign w:val="center"/>
                </w:tcPr>
                <w:p w14:paraId="38933E25">
                  <w:pPr>
                    <w:pStyle w:val="33"/>
                    <w:pageBreakBefore w:val="0"/>
                    <w:kinsoku/>
                    <w:wordWrap w:val="0"/>
                    <w:overflowPunct/>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本项目</w:t>
                  </w:r>
                </w:p>
              </w:tc>
              <w:tc>
                <w:tcPr>
                  <w:tcW w:w="823" w:type="dxa"/>
                  <w:tcBorders>
                    <w:tl2br w:val="nil"/>
                    <w:tr2bl w:val="nil"/>
                  </w:tcBorders>
                  <w:vAlign w:val="center"/>
                </w:tcPr>
                <w:p w14:paraId="46B0B148">
                  <w:pPr>
                    <w:pStyle w:val="33"/>
                    <w:pageBreakBefore w:val="0"/>
                    <w:kinsoku/>
                    <w:wordWrap w:val="0"/>
                    <w:overflowPunct/>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符合性</w:t>
                  </w:r>
                </w:p>
              </w:tc>
            </w:tr>
            <w:tr w14:paraId="3859A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Borders>
                    <w:tl2br w:val="nil"/>
                    <w:tr2bl w:val="nil"/>
                  </w:tcBorders>
                  <w:vAlign w:val="center"/>
                </w:tcPr>
                <w:p w14:paraId="65B9189E">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3980" w:type="dxa"/>
                  <w:tcBorders>
                    <w:tl2br w:val="nil"/>
                    <w:tr2bl w:val="nil"/>
                  </w:tcBorders>
                  <w:vAlign w:val="center"/>
                </w:tcPr>
                <w:p w14:paraId="093D5989">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禁止建设不符合全国和省级港口布局规划以及港口总体规划的码头项目，禁止建设不符合《长江干线过江通道布局规划》的过长江通道项目。</w:t>
                  </w:r>
                </w:p>
              </w:tc>
              <w:tc>
                <w:tcPr>
                  <w:tcW w:w="2302" w:type="dxa"/>
                  <w:tcBorders>
                    <w:tl2br w:val="nil"/>
                    <w:tr2bl w:val="nil"/>
                  </w:tcBorders>
                  <w:vAlign w:val="center"/>
                </w:tcPr>
                <w:p w14:paraId="1A5B745B">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sz w:val="21"/>
                      <w:szCs w:val="21"/>
                      <w:lang w:val="en-US" w:eastAsia="zh-CN"/>
                    </w:rPr>
                    <w:t>本项目位于</w:t>
                  </w:r>
                  <w:r>
                    <w:rPr>
                      <w:rFonts w:hint="default" w:ascii="Times New Roman" w:hAnsi="Times New Roman" w:cs="Times New Roman"/>
                      <w:sz w:val="21"/>
                      <w:szCs w:val="21"/>
                      <w:u w:val="none"/>
                      <w:vertAlign w:val="baseline"/>
                      <w:lang w:val="en-US" w:eastAsia="zh-CN"/>
                    </w:rPr>
                    <w:t>昆明市</w:t>
                  </w:r>
                  <w:r>
                    <w:rPr>
                      <w:rFonts w:hint="default" w:ascii="Times New Roman" w:hAnsi="Times New Roman" w:eastAsia="宋体" w:cs="Times New Roman"/>
                      <w:sz w:val="21"/>
                      <w:szCs w:val="21"/>
                      <w:u w:val="none"/>
                      <w:vertAlign w:val="baseline"/>
                      <w:lang w:val="en-US" w:eastAsia="zh-CN"/>
                    </w:rPr>
                    <w:t>寻甸县</w:t>
                  </w:r>
                  <w:r>
                    <w:rPr>
                      <w:rFonts w:hint="default" w:ascii="Times New Roman" w:hAnsi="Times New Roman" w:cs="Times New Roman"/>
                      <w:b w:val="0"/>
                      <w:bCs w:val="0"/>
                      <w:sz w:val="21"/>
                      <w:szCs w:val="21"/>
                      <w:lang w:val="en-US" w:eastAsia="zh-CN"/>
                    </w:rPr>
                    <w:t>金所街道三月三路中段，</w:t>
                  </w:r>
                  <w:r>
                    <w:rPr>
                      <w:rFonts w:hint="default" w:ascii="Times New Roman" w:hAnsi="Times New Roman" w:cs="Times New Roman"/>
                      <w:lang w:val="en-US" w:eastAsia="zh-CN"/>
                    </w:rPr>
                    <w:t>不涉及码头和长江通道项目。</w:t>
                  </w:r>
                </w:p>
              </w:tc>
              <w:tc>
                <w:tcPr>
                  <w:tcW w:w="823" w:type="dxa"/>
                  <w:tcBorders>
                    <w:tl2br w:val="nil"/>
                    <w:tr2bl w:val="nil"/>
                  </w:tcBorders>
                  <w:vAlign w:val="center"/>
                </w:tcPr>
                <w:p w14:paraId="0B4FFB1F">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14:paraId="3C55B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Borders>
                    <w:tl2br w:val="nil"/>
                    <w:tr2bl w:val="nil"/>
                  </w:tcBorders>
                  <w:vAlign w:val="center"/>
                </w:tcPr>
                <w:p w14:paraId="1FA36CEB">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2</w:t>
                  </w:r>
                </w:p>
              </w:tc>
              <w:tc>
                <w:tcPr>
                  <w:tcW w:w="3980" w:type="dxa"/>
                  <w:tcBorders>
                    <w:tl2br w:val="nil"/>
                    <w:tr2bl w:val="nil"/>
                  </w:tcBorders>
                  <w:vAlign w:val="center"/>
                </w:tcPr>
                <w:p w14:paraId="735AAECE">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禁止在自然保护区核心区、缓冲区的岸线和河段范围内投资建设旅游和生产经营项目。禁止在风景名胜区核心景区的岸线和河段范围内投资建设风景名胜资源保护无关的项目</w:t>
                  </w:r>
                </w:p>
              </w:tc>
              <w:tc>
                <w:tcPr>
                  <w:tcW w:w="2302" w:type="dxa"/>
                  <w:tcBorders>
                    <w:tl2br w:val="nil"/>
                    <w:tr2bl w:val="nil"/>
                  </w:tcBorders>
                  <w:vAlign w:val="center"/>
                </w:tcPr>
                <w:p w14:paraId="1FC73D98">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sz w:val="21"/>
                      <w:szCs w:val="21"/>
                      <w:lang w:val="en-US" w:eastAsia="zh-CN"/>
                    </w:rPr>
                    <w:t>本项目位于</w:t>
                  </w:r>
                  <w:r>
                    <w:rPr>
                      <w:rFonts w:hint="default" w:ascii="Times New Roman" w:hAnsi="Times New Roman" w:cs="Times New Roman"/>
                      <w:sz w:val="21"/>
                      <w:szCs w:val="21"/>
                      <w:u w:val="none"/>
                      <w:vertAlign w:val="baseline"/>
                      <w:lang w:val="en-US" w:eastAsia="zh-CN"/>
                    </w:rPr>
                    <w:t>昆明市</w:t>
                  </w:r>
                  <w:r>
                    <w:rPr>
                      <w:rFonts w:hint="default" w:ascii="Times New Roman" w:hAnsi="Times New Roman" w:eastAsia="宋体" w:cs="Times New Roman"/>
                      <w:sz w:val="21"/>
                      <w:szCs w:val="21"/>
                      <w:u w:val="none"/>
                      <w:vertAlign w:val="baseline"/>
                      <w:lang w:val="en-US" w:eastAsia="zh-CN"/>
                    </w:rPr>
                    <w:t>寻甸县</w:t>
                  </w:r>
                  <w:r>
                    <w:rPr>
                      <w:rFonts w:hint="default" w:ascii="Times New Roman" w:hAnsi="Times New Roman" w:cs="Times New Roman"/>
                      <w:b w:val="0"/>
                      <w:bCs w:val="0"/>
                      <w:sz w:val="21"/>
                      <w:szCs w:val="21"/>
                      <w:lang w:val="en-US" w:eastAsia="zh-CN"/>
                    </w:rPr>
                    <w:t>金所街道三月三路中段，</w:t>
                  </w:r>
                  <w:r>
                    <w:rPr>
                      <w:rFonts w:hint="default" w:ascii="Times New Roman" w:hAnsi="Times New Roman" w:cs="Times New Roman"/>
                      <w:lang w:val="en-US" w:eastAsia="zh-CN"/>
                    </w:rPr>
                    <w:t>不涉及自然保护区和风景名胜区。</w:t>
                  </w:r>
                </w:p>
              </w:tc>
              <w:tc>
                <w:tcPr>
                  <w:tcW w:w="823" w:type="dxa"/>
                  <w:tcBorders>
                    <w:tl2br w:val="nil"/>
                    <w:tr2bl w:val="nil"/>
                  </w:tcBorders>
                  <w:vAlign w:val="center"/>
                </w:tcPr>
                <w:p w14:paraId="1BFB52A0">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14:paraId="6547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Borders>
                    <w:tl2br w:val="nil"/>
                    <w:tr2bl w:val="nil"/>
                  </w:tcBorders>
                  <w:vAlign w:val="center"/>
                </w:tcPr>
                <w:p w14:paraId="75546695">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3</w:t>
                  </w:r>
                </w:p>
              </w:tc>
              <w:tc>
                <w:tcPr>
                  <w:tcW w:w="3980" w:type="dxa"/>
                  <w:tcBorders>
                    <w:tl2br w:val="nil"/>
                    <w:tr2bl w:val="nil"/>
                  </w:tcBorders>
                  <w:vAlign w:val="center"/>
                </w:tcPr>
                <w:p w14:paraId="550650C8">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302" w:type="dxa"/>
                  <w:tcBorders>
                    <w:tl2br w:val="nil"/>
                    <w:tr2bl w:val="nil"/>
                  </w:tcBorders>
                  <w:vAlign w:val="center"/>
                </w:tcPr>
                <w:p w14:paraId="6569E823">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sz w:val="21"/>
                      <w:szCs w:val="21"/>
                      <w:lang w:val="en-US" w:eastAsia="zh-CN"/>
                    </w:rPr>
                    <w:t>本项目位于</w:t>
                  </w:r>
                  <w:r>
                    <w:rPr>
                      <w:rFonts w:hint="default" w:ascii="Times New Roman" w:hAnsi="Times New Roman" w:cs="Times New Roman"/>
                      <w:sz w:val="21"/>
                      <w:szCs w:val="21"/>
                      <w:u w:val="none"/>
                      <w:vertAlign w:val="baseline"/>
                      <w:lang w:val="en-US" w:eastAsia="zh-CN"/>
                    </w:rPr>
                    <w:t>昆明市</w:t>
                  </w:r>
                  <w:r>
                    <w:rPr>
                      <w:rFonts w:hint="default" w:ascii="Times New Roman" w:hAnsi="Times New Roman" w:eastAsia="宋体" w:cs="Times New Roman"/>
                      <w:sz w:val="21"/>
                      <w:szCs w:val="21"/>
                      <w:u w:val="none"/>
                      <w:vertAlign w:val="baseline"/>
                      <w:lang w:val="en-US" w:eastAsia="zh-CN"/>
                    </w:rPr>
                    <w:t>寻甸县</w:t>
                  </w:r>
                  <w:r>
                    <w:rPr>
                      <w:rFonts w:hint="default" w:ascii="Times New Roman" w:hAnsi="Times New Roman" w:cs="Times New Roman"/>
                      <w:b w:val="0"/>
                      <w:bCs w:val="0"/>
                      <w:sz w:val="21"/>
                      <w:szCs w:val="21"/>
                      <w:lang w:val="en-US" w:eastAsia="zh-CN"/>
                    </w:rPr>
                    <w:t>金所街道三月三路中段，</w:t>
                  </w:r>
                  <w:r>
                    <w:rPr>
                      <w:rFonts w:hint="default" w:ascii="Times New Roman" w:hAnsi="Times New Roman" w:cs="Times New Roman"/>
                      <w:lang w:val="en-US" w:eastAsia="zh-CN"/>
                    </w:rPr>
                    <w:t>不涉及饮用水水源保护区。</w:t>
                  </w:r>
                </w:p>
              </w:tc>
              <w:tc>
                <w:tcPr>
                  <w:tcW w:w="823" w:type="dxa"/>
                  <w:tcBorders>
                    <w:tl2br w:val="nil"/>
                    <w:tr2bl w:val="nil"/>
                  </w:tcBorders>
                  <w:vAlign w:val="center"/>
                </w:tcPr>
                <w:p w14:paraId="4E033360">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14:paraId="6DD47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Borders>
                    <w:tl2br w:val="nil"/>
                    <w:tr2bl w:val="nil"/>
                  </w:tcBorders>
                  <w:vAlign w:val="center"/>
                </w:tcPr>
                <w:p w14:paraId="7376068E">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4</w:t>
                  </w:r>
                </w:p>
              </w:tc>
              <w:tc>
                <w:tcPr>
                  <w:tcW w:w="3980" w:type="dxa"/>
                  <w:tcBorders>
                    <w:tl2br w:val="nil"/>
                    <w:tr2bl w:val="nil"/>
                  </w:tcBorders>
                  <w:vAlign w:val="center"/>
                </w:tcPr>
                <w:p w14:paraId="22CC4DBD">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302" w:type="dxa"/>
                  <w:tcBorders>
                    <w:tl2br w:val="nil"/>
                    <w:tr2bl w:val="nil"/>
                  </w:tcBorders>
                  <w:vAlign w:val="center"/>
                </w:tcPr>
                <w:p w14:paraId="15BCDABC">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sz w:val="21"/>
                      <w:szCs w:val="21"/>
                      <w:lang w:val="en-US" w:eastAsia="zh-CN"/>
                    </w:rPr>
                    <w:t>本项目位于</w:t>
                  </w:r>
                  <w:r>
                    <w:rPr>
                      <w:rFonts w:hint="default" w:ascii="Times New Roman" w:hAnsi="Times New Roman" w:cs="Times New Roman"/>
                      <w:sz w:val="21"/>
                      <w:szCs w:val="21"/>
                      <w:u w:val="none"/>
                      <w:vertAlign w:val="baseline"/>
                      <w:lang w:val="en-US" w:eastAsia="zh-CN"/>
                    </w:rPr>
                    <w:t>昆明市</w:t>
                  </w:r>
                  <w:r>
                    <w:rPr>
                      <w:rFonts w:hint="default" w:ascii="Times New Roman" w:hAnsi="Times New Roman" w:eastAsia="宋体" w:cs="Times New Roman"/>
                      <w:sz w:val="21"/>
                      <w:szCs w:val="21"/>
                      <w:u w:val="none"/>
                      <w:vertAlign w:val="baseline"/>
                      <w:lang w:val="en-US" w:eastAsia="zh-CN"/>
                    </w:rPr>
                    <w:t>寻甸县</w:t>
                  </w:r>
                  <w:r>
                    <w:rPr>
                      <w:rFonts w:hint="default" w:ascii="Times New Roman" w:hAnsi="Times New Roman" w:cs="Times New Roman"/>
                      <w:b w:val="0"/>
                      <w:bCs w:val="0"/>
                      <w:sz w:val="21"/>
                      <w:szCs w:val="21"/>
                      <w:lang w:val="en-US" w:eastAsia="zh-CN"/>
                    </w:rPr>
                    <w:t>金所街道三月三路中段，</w:t>
                  </w:r>
                  <w:r>
                    <w:rPr>
                      <w:rFonts w:hint="default" w:ascii="Times New Roman" w:hAnsi="Times New Roman" w:cs="Times New Roman"/>
                      <w:lang w:val="en-US" w:eastAsia="zh-CN"/>
                    </w:rPr>
                    <w:t>不涉及水产种质资源保护区和国家湿地公园。</w:t>
                  </w:r>
                </w:p>
              </w:tc>
              <w:tc>
                <w:tcPr>
                  <w:tcW w:w="823" w:type="dxa"/>
                  <w:tcBorders>
                    <w:tl2br w:val="nil"/>
                    <w:tr2bl w:val="nil"/>
                  </w:tcBorders>
                  <w:vAlign w:val="center"/>
                </w:tcPr>
                <w:p w14:paraId="0FB57B22">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14:paraId="6988F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Borders>
                    <w:tl2br w:val="nil"/>
                    <w:tr2bl w:val="nil"/>
                  </w:tcBorders>
                  <w:vAlign w:val="center"/>
                </w:tcPr>
                <w:p w14:paraId="6D00E092">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5</w:t>
                  </w:r>
                </w:p>
              </w:tc>
              <w:tc>
                <w:tcPr>
                  <w:tcW w:w="3980" w:type="dxa"/>
                  <w:tcBorders>
                    <w:tl2br w:val="nil"/>
                    <w:tr2bl w:val="nil"/>
                  </w:tcBorders>
                  <w:vAlign w:val="center"/>
                </w:tcPr>
                <w:p w14:paraId="2C87FC0E">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302" w:type="dxa"/>
                  <w:tcBorders>
                    <w:tl2br w:val="nil"/>
                    <w:tr2bl w:val="nil"/>
                  </w:tcBorders>
                  <w:vAlign w:val="center"/>
                </w:tcPr>
                <w:p w14:paraId="09EC8E56">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sz w:val="21"/>
                      <w:szCs w:val="21"/>
                      <w:lang w:val="en-US" w:eastAsia="zh-CN"/>
                    </w:rPr>
                    <w:t>本项目位于</w:t>
                  </w:r>
                  <w:r>
                    <w:rPr>
                      <w:rFonts w:hint="default" w:ascii="Times New Roman" w:hAnsi="Times New Roman" w:cs="Times New Roman"/>
                      <w:sz w:val="21"/>
                      <w:szCs w:val="21"/>
                      <w:u w:val="none"/>
                      <w:vertAlign w:val="baseline"/>
                      <w:lang w:val="en-US" w:eastAsia="zh-CN"/>
                    </w:rPr>
                    <w:t>昆明市</w:t>
                  </w:r>
                  <w:r>
                    <w:rPr>
                      <w:rFonts w:hint="default" w:ascii="Times New Roman" w:hAnsi="Times New Roman" w:eastAsia="宋体" w:cs="Times New Roman"/>
                      <w:sz w:val="21"/>
                      <w:szCs w:val="21"/>
                      <w:u w:val="none"/>
                      <w:vertAlign w:val="baseline"/>
                      <w:lang w:val="en-US" w:eastAsia="zh-CN"/>
                    </w:rPr>
                    <w:t>寻甸县</w:t>
                  </w:r>
                  <w:r>
                    <w:rPr>
                      <w:rFonts w:hint="default" w:ascii="Times New Roman" w:hAnsi="Times New Roman" w:cs="Times New Roman"/>
                      <w:b w:val="0"/>
                      <w:bCs w:val="0"/>
                      <w:sz w:val="21"/>
                      <w:szCs w:val="21"/>
                      <w:lang w:val="en-US" w:eastAsia="zh-CN"/>
                    </w:rPr>
                    <w:t>金所街道三月三路中段，</w:t>
                  </w:r>
                  <w:r>
                    <w:rPr>
                      <w:rFonts w:hint="default" w:ascii="Times New Roman" w:hAnsi="Times New Roman" w:cs="Times New Roman"/>
                      <w:lang w:val="en-US" w:eastAsia="zh-CN"/>
                    </w:rPr>
                    <w:t>不涉及《长江岸线保护和开发利用总体规划》划定的岸线保护区和保留区，《全国重要江河湖泊水功能区划》划定的河段及湖泊保护区、保留区。</w:t>
                  </w:r>
                </w:p>
              </w:tc>
              <w:tc>
                <w:tcPr>
                  <w:tcW w:w="823" w:type="dxa"/>
                  <w:tcBorders>
                    <w:tl2br w:val="nil"/>
                    <w:tr2bl w:val="nil"/>
                  </w:tcBorders>
                  <w:vAlign w:val="center"/>
                </w:tcPr>
                <w:p w14:paraId="47974586">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14:paraId="5664C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Borders>
                    <w:tl2br w:val="nil"/>
                    <w:tr2bl w:val="nil"/>
                  </w:tcBorders>
                  <w:vAlign w:val="center"/>
                </w:tcPr>
                <w:p w14:paraId="7C6758BA">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6</w:t>
                  </w:r>
                </w:p>
              </w:tc>
              <w:tc>
                <w:tcPr>
                  <w:tcW w:w="3980" w:type="dxa"/>
                  <w:tcBorders>
                    <w:tl2br w:val="nil"/>
                    <w:tr2bl w:val="nil"/>
                  </w:tcBorders>
                  <w:vAlign w:val="center"/>
                </w:tcPr>
                <w:p w14:paraId="264976C4">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禁止未经许可在长江干支流及湖泊新设、改设或扩大排污口。</w:t>
                  </w:r>
                </w:p>
              </w:tc>
              <w:tc>
                <w:tcPr>
                  <w:tcW w:w="2302" w:type="dxa"/>
                  <w:tcBorders>
                    <w:tl2br w:val="nil"/>
                    <w:tr2bl w:val="nil"/>
                  </w:tcBorders>
                  <w:vAlign w:val="center"/>
                </w:tcPr>
                <w:p w14:paraId="0E593D83">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本项目废水均回用不外排，不涉及排污口。</w:t>
                  </w:r>
                </w:p>
              </w:tc>
              <w:tc>
                <w:tcPr>
                  <w:tcW w:w="823" w:type="dxa"/>
                  <w:tcBorders>
                    <w:tl2br w:val="nil"/>
                    <w:tr2bl w:val="nil"/>
                  </w:tcBorders>
                  <w:vAlign w:val="center"/>
                </w:tcPr>
                <w:p w14:paraId="17704A78">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14:paraId="05A39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Borders>
                    <w:tl2br w:val="nil"/>
                    <w:tr2bl w:val="nil"/>
                  </w:tcBorders>
                  <w:vAlign w:val="center"/>
                </w:tcPr>
                <w:p w14:paraId="05B34A53">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7</w:t>
                  </w:r>
                </w:p>
              </w:tc>
              <w:tc>
                <w:tcPr>
                  <w:tcW w:w="3980" w:type="dxa"/>
                  <w:tcBorders>
                    <w:tl2br w:val="nil"/>
                    <w:tr2bl w:val="nil"/>
                  </w:tcBorders>
                  <w:vAlign w:val="center"/>
                </w:tcPr>
                <w:p w14:paraId="48A2CD75">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禁止在“一江一口两湖七河”和332个水生生物保护区开展生产性捕捞。</w:t>
                  </w:r>
                </w:p>
              </w:tc>
              <w:tc>
                <w:tcPr>
                  <w:tcW w:w="2302" w:type="dxa"/>
                  <w:tcBorders>
                    <w:tl2br w:val="nil"/>
                    <w:tr2bl w:val="nil"/>
                  </w:tcBorders>
                  <w:vAlign w:val="center"/>
                </w:tcPr>
                <w:p w14:paraId="3A9823FC">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sz w:val="21"/>
                      <w:szCs w:val="21"/>
                      <w:lang w:val="en-US" w:eastAsia="zh-CN"/>
                    </w:rPr>
                    <w:t>本项目位于</w:t>
                  </w:r>
                  <w:r>
                    <w:rPr>
                      <w:rFonts w:hint="default" w:ascii="Times New Roman" w:hAnsi="Times New Roman" w:cs="Times New Roman"/>
                      <w:sz w:val="21"/>
                      <w:szCs w:val="21"/>
                      <w:u w:val="none"/>
                      <w:vertAlign w:val="baseline"/>
                      <w:lang w:val="en-US" w:eastAsia="zh-CN"/>
                    </w:rPr>
                    <w:t>昆明市</w:t>
                  </w:r>
                  <w:r>
                    <w:rPr>
                      <w:rFonts w:hint="default" w:ascii="Times New Roman" w:hAnsi="Times New Roman" w:eastAsia="宋体" w:cs="Times New Roman"/>
                      <w:sz w:val="21"/>
                      <w:szCs w:val="21"/>
                      <w:u w:val="none"/>
                      <w:vertAlign w:val="baseline"/>
                      <w:lang w:val="en-US" w:eastAsia="zh-CN"/>
                    </w:rPr>
                    <w:t>寻甸县</w:t>
                  </w:r>
                  <w:r>
                    <w:rPr>
                      <w:rFonts w:hint="default" w:ascii="Times New Roman" w:hAnsi="Times New Roman" w:cs="Times New Roman"/>
                      <w:b w:val="0"/>
                      <w:bCs w:val="0"/>
                      <w:sz w:val="21"/>
                      <w:szCs w:val="21"/>
                      <w:lang w:val="en-US" w:eastAsia="zh-CN"/>
                    </w:rPr>
                    <w:t>金所街道三月三路中段，</w:t>
                  </w:r>
                  <w:r>
                    <w:rPr>
                      <w:rFonts w:hint="default" w:ascii="Times New Roman" w:hAnsi="Times New Roman" w:cs="Times New Roman"/>
                      <w:lang w:val="en-US" w:eastAsia="zh-CN"/>
                    </w:rPr>
                    <w:t>不涉及“一江一口两湖七河”和332个水生生物保护区，不涉及生产性捕捞。</w:t>
                  </w:r>
                </w:p>
              </w:tc>
              <w:tc>
                <w:tcPr>
                  <w:tcW w:w="823" w:type="dxa"/>
                  <w:tcBorders>
                    <w:tl2br w:val="nil"/>
                    <w:tr2bl w:val="nil"/>
                  </w:tcBorders>
                  <w:vAlign w:val="center"/>
                </w:tcPr>
                <w:p w14:paraId="52CD306E">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14:paraId="73C4C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Borders>
                    <w:tl2br w:val="nil"/>
                    <w:tr2bl w:val="nil"/>
                  </w:tcBorders>
                  <w:vAlign w:val="center"/>
                </w:tcPr>
                <w:p w14:paraId="2484E06E">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8</w:t>
                  </w:r>
                </w:p>
              </w:tc>
              <w:tc>
                <w:tcPr>
                  <w:tcW w:w="3980" w:type="dxa"/>
                  <w:tcBorders>
                    <w:tl2br w:val="nil"/>
                    <w:tr2bl w:val="nil"/>
                  </w:tcBorders>
                  <w:vAlign w:val="center"/>
                </w:tcPr>
                <w:p w14:paraId="217AD7B7">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302" w:type="dxa"/>
                  <w:tcBorders>
                    <w:tl2br w:val="nil"/>
                    <w:tr2bl w:val="nil"/>
                  </w:tcBorders>
                  <w:vAlign w:val="center"/>
                </w:tcPr>
                <w:p w14:paraId="6C8AD30B">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本项目不涉及在长江干支流、重要湖泊岸线一公里范围内新建、扩建化工园区和化工项目。不涉及在长江干流岸线三公里范围内和重要支流岸线一公里范围内新建、改建、扩建尾矿库、冶炼渣库和磷石膏库。</w:t>
                  </w:r>
                </w:p>
              </w:tc>
              <w:tc>
                <w:tcPr>
                  <w:tcW w:w="823" w:type="dxa"/>
                  <w:tcBorders>
                    <w:tl2br w:val="nil"/>
                    <w:tr2bl w:val="nil"/>
                  </w:tcBorders>
                  <w:vAlign w:val="center"/>
                </w:tcPr>
                <w:p w14:paraId="510DF554">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14:paraId="3E718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Borders>
                    <w:tl2br w:val="nil"/>
                    <w:tr2bl w:val="nil"/>
                  </w:tcBorders>
                  <w:vAlign w:val="center"/>
                </w:tcPr>
                <w:p w14:paraId="228F2196">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9</w:t>
                  </w:r>
                </w:p>
              </w:tc>
              <w:tc>
                <w:tcPr>
                  <w:tcW w:w="3980" w:type="dxa"/>
                  <w:tcBorders>
                    <w:tl2br w:val="nil"/>
                    <w:tr2bl w:val="nil"/>
                  </w:tcBorders>
                  <w:vAlign w:val="center"/>
                </w:tcPr>
                <w:p w14:paraId="2B71A609">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禁止在合规园区外新建、扩建钢铁、石化、化工、焦化、建材、有色、制浆造纸等高污染项目。</w:t>
                  </w:r>
                </w:p>
              </w:tc>
              <w:tc>
                <w:tcPr>
                  <w:tcW w:w="2302" w:type="dxa"/>
                  <w:tcBorders>
                    <w:tl2br w:val="nil"/>
                    <w:tr2bl w:val="nil"/>
                  </w:tcBorders>
                  <w:vAlign w:val="center"/>
                </w:tcPr>
                <w:p w14:paraId="060A50E5">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本项目不属于钢铁、石化、化工、焦化、建材、有色、制浆造纸等高污染项目。</w:t>
                  </w:r>
                </w:p>
              </w:tc>
              <w:tc>
                <w:tcPr>
                  <w:tcW w:w="823" w:type="dxa"/>
                  <w:tcBorders>
                    <w:tl2br w:val="nil"/>
                    <w:tr2bl w:val="nil"/>
                  </w:tcBorders>
                  <w:vAlign w:val="center"/>
                </w:tcPr>
                <w:p w14:paraId="030E0650">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14:paraId="04BD8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Borders>
                    <w:tl2br w:val="nil"/>
                    <w:tr2bl w:val="nil"/>
                  </w:tcBorders>
                  <w:vAlign w:val="center"/>
                </w:tcPr>
                <w:p w14:paraId="6F446FF4">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10</w:t>
                  </w:r>
                </w:p>
              </w:tc>
              <w:tc>
                <w:tcPr>
                  <w:tcW w:w="3980" w:type="dxa"/>
                  <w:tcBorders>
                    <w:tl2br w:val="nil"/>
                    <w:tr2bl w:val="nil"/>
                  </w:tcBorders>
                  <w:vAlign w:val="center"/>
                </w:tcPr>
                <w:p w14:paraId="046596A2">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禁止新建、扩建不符合国家石化、现代煤化工等产业布局规划的项目。</w:t>
                  </w:r>
                </w:p>
              </w:tc>
              <w:tc>
                <w:tcPr>
                  <w:tcW w:w="2302" w:type="dxa"/>
                  <w:tcBorders>
                    <w:tl2br w:val="nil"/>
                    <w:tr2bl w:val="nil"/>
                  </w:tcBorders>
                  <w:vAlign w:val="center"/>
                </w:tcPr>
                <w:p w14:paraId="66BB438E">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本项目不属于石化、现代煤化工等项目。</w:t>
                  </w:r>
                </w:p>
              </w:tc>
              <w:tc>
                <w:tcPr>
                  <w:tcW w:w="823" w:type="dxa"/>
                  <w:tcBorders>
                    <w:tl2br w:val="nil"/>
                    <w:tr2bl w:val="nil"/>
                  </w:tcBorders>
                  <w:vAlign w:val="center"/>
                </w:tcPr>
                <w:p w14:paraId="6D3FB1F4">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14:paraId="281AA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Borders>
                    <w:tl2br w:val="nil"/>
                    <w:tr2bl w:val="nil"/>
                  </w:tcBorders>
                  <w:vAlign w:val="center"/>
                </w:tcPr>
                <w:p w14:paraId="5432E2E9">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11</w:t>
                  </w:r>
                </w:p>
              </w:tc>
              <w:tc>
                <w:tcPr>
                  <w:tcW w:w="3980" w:type="dxa"/>
                  <w:tcBorders>
                    <w:tl2br w:val="nil"/>
                    <w:tr2bl w:val="nil"/>
                  </w:tcBorders>
                  <w:vAlign w:val="center"/>
                </w:tcPr>
                <w:p w14:paraId="376D3D10">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禁止新建、扩建法律法规和相关政策明令禁止的落后产能项目。禁止新建、扩建不符合国家产能置换要求的严重过剩产能行业的项目。禁止新建、扩建不符合要求的高能耗高排放项目。</w:t>
                  </w:r>
                </w:p>
              </w:tc>
              <w:tc>
                <w:tcPr>
                  <w:tcW w:w="2302" w:type="dxa"/>
                  <w:tcBorders>
                    <w:tl2br w:val="nil"/>
                    <w:tr2bl w:val="nil"/>
                  </w:tcBorders>
                  <w:vAlign w:val="center"/>
                </w:tcPr>
                <w:p w14:paraId="0A0E9107">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本项目不属于产业政策中的限制和淘汰类行业，本项目所选设备、工艺均未列入《淘汰落后生产力、工艺和产品目录》中，因此，项目的建设符合国家现行产业政策。</w:t>
                  </w:r>
                </w:p>
              </w:tc>
              <w:tc>
                <w:tcPr>
                  <w:tcW w:w="823" w:type="dxa"/>
                  <w:tcBorders>
                    <w:tl2br w:val="nil"/>
                    <w:tr2bl w:val="nil"/>
                  </w:tcBorders>
                  <w:vAlign w:val="center"/>
                </w:tcPr>
                <w:p w14:paraId="7E2D7967">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14:paraId="33C7E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Borders>
                    <w:tl2br w:val="nil"/>
                    <w:tr2bl w:val="nil"/>
                  </w:tcBorders>
                  <w:vAlign w:val="center"/>
                </w:tcPr>
                <w:p w14:paraId="75B04C9B">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12</w:t>
                  </w:r>
                </w:p>
              </w:tc>
              <w:tc>
                <w:tcPr>
                  <w:tcW w:w="3980" w:type="dxa"/>
                  <w:tcBorders>
                    <w:tl2br w:val="nil"/>
                    <w:tr2bl w:val="nil"/>
                  </w:tcBorders>
                  <w:vAlign w:val="center"/>
                </w:tcPr>
                <w:p w14:paraId="54F31F7D">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法律法规及相关政策文件有更加严格规定的从其规定。</w:t>
                  </w:r>
                </w:p>
              </w:tc>
              <w:tc>
                <w:tcPr>
                  <w:tcW w:w="2302" w:type="dxa"/>
                  <w:tcBorders>
                    <w:tl2br w:val="nil"/>
                    <w:tr2bl w:val="nil"/>
                  </w:tcBorders>
                  <w:vAlign w:val="center"/>
                </w:tcPr>
                <w:p w14:paraId="68EA06DE">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针对本项目法律法规及相关政策文件有更加严格规定的从其规定。</w:t>
                  </w:r>
                </w:p>
              </w:tc>
              <w:tc>
                <w:tcPr>
                  <w:tcW w:w="823" w:type="dxa"/>
                  <w:tcBorders>
                    <w:tl2br w:val="nil"/>
                    <w:tr2bl w:val="nil"/>
                  </w:tcBorders>
                  <w:vAlign w:val="center"/>
                </w:tcPr>
                <w:p w14:paraId="7507571D">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bl>
          <w:p w14:paraId="1714CB7A">
            <w:pPr>
              <w:keepNext w:val="0"/>
              <w:keepLines w:val="0"/>
              <w:pageBreakBefore w:val="0"/>
              <w:widowControl w:val="0"/>
              <w:kinsoku/>
              <w:wordWrap w:val="0"/>
              <w:overflowPunct/>
              <w:topLinePunct w:val="0"/>
              <w:autoSpaceDE w:val="0"/>
              <w:autoSpaceDN w:val="0"/>
              <w:bidi w:val="0"/>
              <w:adjustRightInd w:val="0"/>
              <w:snapToGrid w:val="0"/>
              <w:spacing w:before="157" w:beforeLines="50"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color w:val="auto"/>
                <w:kern w:val="0"/>
              </w:rPr>
              <w:t>项目符合《</w:t>
            </w:r>
            <w:r>
              <w:rPr>
                <w:rFonts w:hint="default" w:ascii="Times New Roman" w:hAnsi="Times New Roman" w:cs="Times New Roman"/>
                <w:color w:val="auto"/>
              </w:rPr>
              <w:t>云南省长江经济带发展负面清单指南（试行</w:t>
            </w:r>
            <w:r>
              <w:rPr>
                <w:rFonts w:hint="default" w:ascii="Times New Roman" w:hAnsi="Times New Roman" w:cs="Times New Roman"/>
                <w:color w:val="auto"/>
                <w:lang w:val="en-US" w:eastAsia="zh-CN"/>
              </w:rPr>
              <w:t>，2022年版</w:t>
            </w:r>
            <w:r>
              <w:rPr>
                <w:rFonts w:hint="default" w:ascii="Times New Roman" w:hAnsi="Times New Roman" w:cs="Times New Roman"/>
                <w:color w:val="auto"/>
              </w:rPr>
              <w:t>）</w:t>
            </w:r>
            <w:r>
              <w:rPr>
                <w:rFonts w:hint="default" w:ascii="Times New Roman" w:hAnsi="Times New Roman" w:cs="Times New Roman"/>
                <w:color w:val="auto"/>
                <w:kern w:val="0"/>
              </w:rPr>
              <w:t>》的要求。</w:t>
            </w:r>
          </w:p>
          <w:p w14:paraId="182B317A">
            <w:pPr>
              <w:pStyle w:val="37"/>
              <w:pageBreakBefore w:val="0"/>
              <w:kinsoku/>
              <w:wordWrap w:val="0"/>
              <w:overflowPunct/>
              <w:bidi w:val="0"/>
              <w:rPr>
                <w:rFonts w:hint="default" w:ascii="Times New Roman" w:hAnsi="Times New Roman" w:eastAsia="宋体" w:cs="Times New Roman"/>
                <w:b/>
                <w:bCs/>
                <w:color w:val="0000FF"/>
                <w:sz w:val="24"/>
                <w:szCs w:val="24"/>
              </w:rPr>
            </w:pPr>
            <w:r>
              <w:rPr>
                <w:rFonts w:hint="default" w:ascii="Times New Roman" w:hAnsi="Times New Roman" w:cs="Times New Roman"/>
                <w:b/>
                <w:bCs/>
                <w:color w:val="0000FF"/>
                <w:lang w:val="en-US" w:eastAsia="zh-CN"/>
              </w:rPr>
              <w:t>9、</w:t>
            </w:r>
            <w:r>
              <w:rPr>
                <w:rFonts w:hint="default" w:ascii="Times New Roman" w:hAnsi="Times New Roman" w:eastAsia="宋体" w:cs="Times New Roman"/>
                <w:b/>
                <w:bCs/>
                <w:color w:val="0000FF"/>
                <w:sz w:val="24"/>
                <w:szCs w:val="24"/>
              </w:rPr>
              <w:t>与《云南省长江经济带发展负面清单指南实施细则（试行</w:t>
            </w:r>
            <w:r>
              <w:rPr>
                <w:rFonts w:hint="default" w:ascii="Times New Roman" w:hAnsi="Times New Roman" w:cs="Times New Roman"/>
                <w:b/>
                <w:bCs/>
                <w:color w:val="0000FF"/>
                <w:sz w:val="24"/>
                <w:szCs w:val="24"/>
                <w:lang w:eastAsia="zh-CN"/>
              </w:rPr>
              <w:t>，</w:t>
            </w:r>
            <w:r>
              <w:rPr>
                <w:rFonts w:hint="default" w:ascii="Times New Roman" w:hAnsi="Times New Roman" w:cs="Times New Roman"/>
                <w:b/>
                <w:bCs/>
                <w:color w:val="0000FF"/>
                <w:sz w:val="24"/>
                <w:szCs w:val="24"/>
                <w:lang w:val="en-US" w:eastAsia="zh-CN"/>
              </w:rPr>
              <w:t>2022年版</w:t>
            </w:r>
            <w:r>
              <w:rPr>
                <w:rFonts w:hint="default" w:ascii="Times New Roman" w:hAnsi="Times New Roman" w:eastAsia="宋体" w:cs="Times New Roman"/>
                <w:b/>
                <w:bCs/>
                <w:color w:val="0000FF"/>
                <w:sz w:val="24"/>
                <w:szCs w:val="24"/>
              </w:rPr>
              <w:t>）》的符合性分析</w:t>
            </w:r>
          </w:p>
          <w:p w14:paraId="05A8D28E">
            <w:pPr>
              <w:pStyle w:val="37"/>
              <w:pageBreakBefore w:val="0"/>
              <w:kinsoku/>
              <w:wordWrap w:val="0"/>
              <w:overflowPunct/>
              <w:bidi w:val="0"/>
              <w:rPr>
                <w:rFonts w:hint="default" w:ascii="Times New Roman" w:hAnsi="Times New Roman" w:cs="Times New Roman"/>
                <w:color w:val="0000FF"/>
                <w:lang w:val="en-US" w:eastAsia="zh-CN"/>
              </w:rPr>
            </w:pPr>
            <w:r>
              <w:rPr>
                <w:rFonts w:hint="default" w:ascii="Times New Roman" w:hAnsi="Times New Roman" w:cs="Times New Roman"/>
                <w:color w:val="0000FF"/>
              </w:rPr>
              <w:t>本项目与《云南省长江经济带发展负面清单指南实施细则（试行</w:t>
            </w:r>
            <w:r>
              <w:rPr>
                <w:rFonts w:hint="default" w:ascii="Times New Roman" w:hAnsi="Times New Roman" w:cs="Times New Roman"/>
                <w:color w:val="0000FF"/>
                <w:lang w:eastAsia="zh-CN"/>
              </w:rPr>
              <w:t>，</w:t>
            </w:r>
            <w:r>
              <w:rPr>
                <w:rFonts w:hint="default" w:ascii="Times New Roman" w:hAnsi="Times New Roman" w:cs="Times New Roman"/>
                <w:color w:val="0000FF"/>
                <w:lang w:val="en-US" w:eastAsia="zh-CN"/>
              </w:rPr>
              <w:t>2022年版</w:t>
            </w:r>
            <w:r>
              <w:rPr>
                <w:rFonts w:hint="default" w:ascii="Times New Roman" w:hAnsi="Times New Roman" w:cs="Times New Roman"/>
                <w:color w:val="0000FF"/>
              </w:rPr>
              <w:t>）》的符合性</w:t>
            </w:r>
            <w:r>
              <w:rPr>
                <w:rFonts w:hint="default" w:ascii="Times New Roman" w:hAnsi="Times New Roman" w:cs="Times New Roman"/>
                <w:color w:val="0000FF"/>
                <w:lang w:val="en-US" w:eastAsia="zh-CN"/>
              </w:rPr>
              <w:t>如下表所示。</w:t>
            </w:r>
          </w:p>
          <w:p w14:paraId="78312C67">
            <w:pPr>
              <w:pStyle w:val="29"/>
              <w:pageBreakBefore w:val="0"/>
              <w:kinsoku/>
              <w:wordWrap w:val="0"/>
              <w:overflowPunct/>
              <w:bidi w:val="0"/>
              <w:rPr>
                <w:rFonts w:hint="default" w:ascii="Times New Roman" w:hAnsi="Times New Roman" w:cs="Times New Roman" w:eastAsiaTheme="minorEastAsia"/>
                <w:b/>
                <w:bCs/>
                <w:color w:val="0000FF"/>
                <w:sz w:val="21"/>
                <w:szCs w:val="21"/>
                <w:lang w:val="en-US" w:eastAsia="zh-CN"/>
              </w:rPr>
            </w:pPr>
            <w:r>
              <w:rPr>
                <w:rFonts w:hint="default" w:ascii="Times New Roman" w:hAnsi="Times New Roman" w:cs="Times New Roman" w:eastAsiaTheme="minorEastAsia"/>
                <w:b/>
                <w:bCs/>
                <w:color w:val="0000FF"/>
                <w:sz w:val="21"/>
                <w:szCs w:val="21"/>
                <w:lang w:val="en-US" w:eastAsia="zh-CN"/>
              </w:rPr>
              <w:t>表1-</w:t>
            </w:r>
            <w:r>
              <w:rPr>
                <w:rFonts w:hint="eastAsia" w:ascii="Times New Roman" w:hAnsi="Times New Roman" w:cs="Times New Roman" w:eastAsiaTheme="minorEastAsia"/>
                <w:b/>
                <w:bCs/>
                <w:color w:val="0000FF"/>
                <w:sz w:val="21"/>
                <w:szCs w:val="21"/>
                <w:lang w:val="en-US" w:eastAsia="zh-CN"/>
              </w:rPr>
              <w:t>9</w:t>
            </w:r>
            <w:r>
              <w:rPr>
                <w:rFonts w:hint="default" w:ascii="Times New Roman" w:hAnsi="Times New Roman" w:cs="Times New Roman" w:eastAsiaTheme="minorEastAsia"/>
                <w:b/>
                <w:bCs/>
                <w:color w:val="0000FF"/>
                <w:sz w:val="21"/>
                <w:szCs w:val="21"/>
                <w:lang w:val="en-US" w:eastAsia="zh-CN"/>
              </w:rPr>
              <w:t xml:space="preserve">  项目与</w:t>
            </w:r>
            <w:r>
              <w:rPr>
                <w:rFonts w:hint="default" w:ascii="Times New Roman" w:hAnsi="Times New Roman" w:cs="Times New Roman" w:eastAsiaTheme="minorEastAsia"/>
                <w:b/>
                <w:bCs/>
                <w:color w:val="0000FF"/>
                <w:sz w:val="21"/>
                <w:szCs w:val="21"/>
              </w:rPr>
              <w:t>《云南省长江经济带发展负面清单指南实施细则（试行</w:t>
            </w:r>
            <w:r>
              <w:rPr>
                <w:rFonts w:hint="default" w:ascii="Times New Roman" w:hAnsi="Times New Roman" w:cs="Times New Roman" w:eastAsiaTheme="minorEastAsia"/>
                <w:b/>
                <w:bCs/>
                <w:color w:val="0000FF"/>
                <w:sz w:val="21"/>
                <w:szCs w:val="21"/>
                <w:lang w:eastAsia="zh-CN"/>
              </w:rPr>
              <w:t>，</w:t>
            </w:r>
            <w:r>
              <w:rPr>
                <w:rFonts w:hint="default" w:ascii="Times New Roman" w:hAnsi="Times New Roman" w:cs="Times New Roman" w:eastAsiaTheme="minorEastAsia"/>
                <w:b/>
                <w:bCs/>
                <w:color w:val="0000FF"/>
                <w:sz w:val="21"/>
                <w:szCs w:val="21"/>
                <w:lang w:val="en-US" w:eastAsia="zh-CN"/>
              </w:rPr>
              <w:t>2022年版</w:t>
            </w:r>
            <w:r>
              <w:rPr>
                <w:rFonts w:hint="default" w:ascii="Times New Roman" w:hAnsi="Times New Roman" w:cs="Times New Roman" w:eastAsiaTheme="minorEastAsia"/>
                <w:b/>
                <w:bCs/>
                <w:color w:val="0000FF"/>
                <w:sz w:val="21"/>
                <w:szCs w:val="21"/>
              </w:rPr>
              <w:t>）》</w:t>
            </w:r>
            <w:r>
              <w:rPr>
                <w:rFonts w:hint="default" w:ascii="Times New Roman" w:hAnsi="Times New Roman" w:cs="Times New Roman" w:eastAsiaTheme="minorEastAsia"/>
                <w:b/>
                <w:bCs/>
                <w:color w:val="0000FF"/>
                <w:sz w:val="21"/>
                <w:szCs w:val="21"/>
                <w:lang w:val="en-US" w:eastAsia="zh-CN"/>
              </w:rPr>
              <w:t>符合性</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4165"/>
              <w:gridCol w:w="2611"/>
              <w:gridCol w:w="538"/>
            </w:tblGrid>
            <w:tr w14:paraId="477C6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 w:type="pct"/>
                  <w:vAlign w:val="center"/>
                </w:tcPr>
                <w:p w14:paraId="02E30B89">
                  <w:pPr>
                    <w:pStyle w:val="33"/>
                    <w:pageBreakBefore w:val="0"/>
                    <w:kinsoku/>
                    <w:wordWrap w:val="0"/>
                    <w:overflowPunct/>
                    <w:bidi w:val="0"/>
                    <w:rPr>
                      <w:rFonts w:hint="default" w:ascii="Times New Roman" w:hAnsi="Times New Roman" w:cs="Times New Roman"/>
                      <w:b/>
                      <w:bCs/>
                      <w:color w:val="0000FF"/>
                      <w:lang w:val="en-US" w:eastAsia="zh-CN"/>
                    </w:rPr>
                  </w:pPr>
                  <w:r>
                    <w:rPr>
                      <w:rFonts w:hint="eastAsia" w:ascii="Times New Roman" w:hAnsi="Times New Roman" w:cs="Times New Roman"/>
                      <w:b/>
                      <w:bCs/>
                      <w:color w:val="0000FF"/>
                      <w:lang w:val="en-US" w:eastAsia="zh-CN"/>
                    </w:rPr>
                    <w:t>序号</w:t>
                  </w:r>
                </w:p>
              </w:tc>
              <w:tc>
                <w:tcPr>
                  <w:tcW w:w="2657" w:type="pct"/>
                  <w:vAlign w:val="center"/>
                </w:tcPr>
                <w:p w14:paraId="37CBB052">
                  <w:pPr>
                    <w:pStyle w:val="33"/>
                    <w:pageBreakBefore w:val="0"/>
                    <w:kinsoku/>
                    <w:wordWrap w:val="0"/>
                    <w:overflowPunct/>
                    <w:bidi w:val="0"/>
                    <w:rPr>
                      <w:rFonts w:hint="default" w:ascii="Times New Roman" w:hAnsi="Times New Roman" w:cs="Times New Roman"/>
                      <w:b/>
                      <w:bCs/>
                      <w:color w:val="0000FF"/>
                      <w:lang w:val="en-US" w:eastAsia="zh-CN"/>
                    </w:rPr>
                  </w:pPr>
                  <w:r>
                    <w:rPr>
                      <w:rFonts w:hint="default" w:ascii="Times New Roman" w:hAnsi="Times New Roman" w:cs="Times New Roman"/>
                      <w:b/>
                      <w:bCs/>
                      <w:color w:val="0000FF"/>
                      <w:lang w:val="en-US" w:eastAsia="zh-CN"/>
                    </w:rPr>
                    <w:t>相关规定</w:t>
                  </w:r>
                </w:p>
              </w:tc>
              <w:tc>
                <w:tcPr>
                  <w:tcW w:w="1666" w:type="pct"/>
                  <w:vAlign w:val="center"/>
                </w:tcPr>
                <w:p w14:paraId="7A508664">
                  <w:pPr>
                    <w:pStyle w:val="33"/>
                    <w:pageBreakBefore w:val="0"/>
                    <w:kinsoku/>
                    <w:wordWrap w:val="0"/>
                    <w:overflowPunct/>
                    <w:bidi w:val="0"/>
                    <w:rPr>
                      <w:rFonts w:hint="default" w:ascii="Times New Roman" w:hAnsi="Times New Roman" w:cs="Times New Roman"/>
                      <w:b/>
                      <w:bCs/>
                      <w:color w:val="0000FF"/>
                      <w:lang w:val="en-US" w:eastAsia="zh-CN"/>
                    </w:rPr>
                  </w:pPr>
                  <w:r>
                    <w:rPr>
                      <w:rFonts w:hint="default" w:ascii="Times New Roman" w:hAnsi="Times New Roman" w:cs="Times New Roman"/>
                      <w:b/>
                      <w:bCs/>
                      <w:color w:val="0000FF"/>
                      <w:lang w:val="en-US" w:eastAsia="zh-CN"/>
                    </w:rPr>
                    <w:t>项目情况</w:t>
                  </w:r>
                </w:p>
              </w:tc>
              <w:tc>
                <w:tcPr>
                  <w:tcW w:w="343" w:type="pct"/>
                  <w:vAlign w:val="center"/>
                </w:tcPr>
                <w:p w14:paraId="6D379CE4">
                  <w:pPr>
                    <w:pStyle w:val="33"/>
                    <w:pageBreakBefore w:val="0"/>
                    <w:kinsoku/>
                    <w:wordWrap w:val="0"/>
                    <w:overflowPunct/>
                    <w:bidi w:val="0"/>
                    <w:rPr>
                      <w:rFonts w:hint="default" w:ascii="Times New Roman" w:hAnsi="Times New Roman" w:cs="Times New Roman"/>
                      <w:b/>
                      <w:bCs/>
                      <w:color w:val="0000FF"/>
                      <w:lang w:val="en-US" w:eastAsia="zh-CN"/>
                    </w:rPr>
                  </w:pPr>
                  <w:r>
                    <w:rPr>
                      <w:rFonts w:hint="default" w:ascii="Times New Roman" w:hAnsi="Times New Roman" w:cs="Times New Roman"/>
                      <w:b/>
                      <w:bCs/>
                      <w:color w:val="0000FF"/>
                      <w:lang w:val="en-US" w:eastAsia="zh-CN"/>
                    </w:rPr>
                    <w:t>符合性</w:t>
                  </w:r>
                </w:p>
              </w:tc>
            </w:tr>
            <w:tr w14:paraId="58031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atLeast"/>
              </w:trPr>
              <w:tc>
                <w:tcPr>
                  <w:tcW w:w="332" w:type="pct"/>
                  <w:vAlign w:val="center"/>
                </w:tcPr>
                <w:p w14:paraId="240C9E78">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1</w:t>
                  </w:r>
                </w:p>
              </w:tc>
              <w:tc>
                <w:tcPr>
                  <w:tcW w:w="2657" w:type="pct"/>
                  <w:vAlign w:val="center"/>
                </w:tcPr>
                <w:p w14:paraId="1308F460">
                  <w:pPr>
                    <w:pStyle w:val="33"/>
                    <w:pageBreakBefore w:val="0"/>
                    <w:kinsoku/>
                    <w:wordWrap w:val="0"/>
                    <w:overflowPunct/>
                    <w:bidi w:val="0"/>
                    <w:rPr>
                      <w:rFonts w:hint="default" w:ascii="Times New Roman" w:hAnsi="Times New Roman" w:cs="Times New Roman"/>
                      <w:color w:val="0000FF"/>
                      <w:lang w:val="en-US" w:eastAsia="zh-CN"/>
                    </w:rPr>
                  </w:pPr>
                  <w:r>
                    <w:rPr>
                      <w:rFonts w:hint="default" w:ascii="Times New Roman" w:hAnsi="Times New Roman" w:cs="Times New Roman"/>
                      <w:color w:val="0000FF"/>
                      <w:lang w:val="en-US" w:eastAsia="zh-CN"/>
                    </w:rPr>
                    <w:t>禁止新建、改建和扩建不符合《全国内河航道与港 口布局规划》等全国港口规划和《昭通市港口码头岸线规划（金沙江段2019年</w:t>
                  </w:r>
                  <w:r>
                    <w:rPr>
                      <w:rFonts w:hint="eastAsia" w:ascii="Times New Roman" w:hAnsi="Times New Roman" w:cs="Times New Roman"/>
                      <w:color w:val="0000FF"/>
                      <w:lang w:val="en-US" w:eastAsia="zh-CN"/>
                    </w:rPr>
                    <w:t>-</w:t>
                  </w:r>
                  <w:r>
                    <w:rPr>
                      <w:rFonts w:hint="default" w:ascii="Times New Roman" w:hAnsi="Times New Roman" w:cs="Times New Roman"/>
                      <w:color w:val="0000FF"/>
                      <w:lang w:val="en-US" w:eastAsia="zh-CN"/>
                    </w:rPr>
                    <w:t>2035年）》、《景洪港总体规划（2019</w:t>
                  </w:r>
                  <w:r>
                    <w:rPr>
                      <w:rFonts w:hint="eastAsia" w:ascii="Times New Roman" w:hAnsi="Times New Roman" w:cs="Times New Roman"/>
                      <w:color w:val="0000FF"/>
                      <w:lang w:val="en-US" w:eastAsia="zh-CN"/>
                    </w:rPr>
                    <w:t>-</w:t>
                  </w:r>
                  <w:r>
                    <w:rPr>
                      <w:rFonts w:hint="default" w:ascii="Times New Roman" w:hAnsi="Times New Roman" w:cs="Times New Roman"/>
                      <w:color w:val="0000FF"/>
                      <w:lang w:val="en-US" w:eastAsia="zh-CN"/>
                    </w:rPr>
                    <w:t>2035年）》等州（市）级以上港口布局规划以及港口总体规划的码头项目。</w:t>
                  </w:r>
                </w:p>
              </w:tc>
              <w:tc>
                <w:tcPr>
                  <w:tcW w:w="1666" w:type="pct"/>
                  <w:vAlign w:val="center"/>
                </w:tcPr>
                <w:p w14:paraId="51AEA5DA">
                  <w:pPr>
                    <w:pStyle w:val="33"/>
                    <w:pageBreakBefore w:val="0"/>
                    <w:kinsoku/>
                    <w:wordWrap w:val="0"/>
                    <w:overflowPunct/>
                    <w:bidi w:val="0"/>
                    <w:rPr>
                      <w:rFonts w:hint="default" w:ascii="Times New Roman" w:hAnsi="Times New Roman" w:cs="Times New Roman"/>
                      <w:color w:val="0000FF"/>
                      <w:lang w:val="en-US" w:eastAsia="zh-CN"/>
                    </w:rPr>
                  </w:pPr>
                  <w:r>
                    <w:rPr>
                      <w:rFonts w:hint="default" w:ascii="Times New Roman" w:hAnsi="Times New Roman" w:eastAsia="宋体" w:cs="Times New Roman"/>
                      <w:b w:val="0"/>
                      <w:bCs w:val="0"/>
                      <w:color w:val="0000FF"/>
                      <w:sz w:val="21"/>
                      <w:lang w:val="en-US" w:eastAsia="zh-CN"/>
                    </w:rPr>
                    <w:t>项目</w:t>
                  </w:r>
                  <w:r>
                    <w:rPr>
                      <w:rFonts w:hint="eastAsia" w:ascii="Times New Roman" w:hAnsi="Times New Roman" w:cs="Times New Roman"/>
                      <w:b w:val="0"/>
                      <w:bCs w:val="0"/>
                      <w:color w:val="0000FF"/>
                      <w:sz w:val="21"/>
                      <w:lang w:val="en-US" w:eastAsia="zh-CN"/>
                    </w:rPr>
                    <w:t>为煤炭仓储，</w:t>
                  </w:r>
                  <w:r>
                    <w:rPr>
                      <w:rFonts w:hint="default" w:ascii="Times New Roman" w:hAnsi="Times New Roman" w:eastAsia="宋体" w:cs="Times New Roman"/>
                      <w:b w:val="0"/>
                      <w:bCs w:val="0"/>
                      <w:color w:val="0000FF"/>
                      <w:sz w:val="21"/>
                      <w:lang w:val="en-US" w:eastAsia="zh-CN"/>
                    </w:rPr>
                    <w:t>不属于码头项目。</w:t>
                  </w:r>
                </w:p>
              </w:tc>
              <w:tc>
                <w:tcPr>
                  <w:tcW w:w="343" w:type="pct"/>
                  <w:vAlign w:val="center"/>
                </w:tcPr>
                <w:p w14:paraId="48BAAF75">
                  <w:pPr>
                    <w:pStyle w:val="33"/>
                    <w:pageBreakBefore w:val="0"/>
                    <w:kinsoku/>
                    <w:wordWrap w:val="0"/>
                    <w:overflowPunct/>
                    <w:bidi w:val="0"/>
                    <w:rPr>
                      <w:rFonts w:hint="default" w:ascii="Times New Roman" w:hAnsi="Times New Roman" w:cs="Times New Roman"/>
                      <w:color w:val="0000FF"/>
                      <w:lang w:val="en-US" w:eastAsia="zh-CN"/>
                    </w:rPr>
                  </w:pPr>
                  <w:r>
                    <w:rPr>
                      <w:rFonts w:hint="default" w:ascii="Times New Roman" w:hAnsi="Times New Roman" w:cs="Times New Roman"/>
                      <w:color w:val="0000FF"/>
                      <w:lang w:val="en-US" w:eastAsia="zh-CN"/>
                    </w:rPr>
                    <w:t>符合</w:t>
                  </w:r>
                </w:p>
              </w:tc>
            </w:tr>
            <w:tr w14:paraId="055CD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332" w:type="pct"/>
                  <w:vAlign w:val="center"/>
                </w:tcPr>
                <w:p w14:paraId="535B2BFD">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2</w:t>
                  </w:r>
                </w:p>
              </w:tc>
              <w:tc>
                <w:tcPr>
                  <w:tcW w:w="2657" w:type="pct"/>
                  <w:vAlign w:val="center"/>
                </w:tcPr>
                <w:p w14:paraId="581DCDEB">
                  <w:pPr>
                    <w:pStyle w:val="33"/>
                    <w:pageBreakBefore w:val="0"/>
                    <w:kinsoku/>
                    <w:wordWrap w:val="0"/>
                    <w:overflowPunct/>
                    <w:bidi w:val="0"/>
                    <w:rPr>
                      <w:rFonts w:hint="default" w:ascii="Times New Roman" w:hAnsi="Times New Roman" w:cs="Times New Roman"/>
                      <w:color w:val="0000FF"/>
                      <w:lang w:val="en-US" w:eastAsia="zh-CN"/>
                    </w:rPr>
                  </w:pPr>
                  <w:r>
                    <w:rPr>
                      <w:rFonts w:hint="default" w:ascii="Times New Roman" w:hAnsi="Times New Roman" w:cs="Times New Roman"/>
                      <w:color w:val="0000FF"/>
                      <w:lang w:val="en-US" w:eastAsia="zh-CN"/>
                    </w:rPr>
                    <w:t>禁止在自然保护区核心区、缓冲区的岸线和河段范围内投资建设旅游和生产经营项目。禁止建设与自然保护区保护方向不一致的旅游项目。禁止在自然保护区内进行开矿、采石垮沙等活动。禁止在自然保护区的核心区和缓冲区内建设任何生产设施，禁止在自然保护区的实验区内建设污染环境、破坏资源或者景观的生产设施。</w:t>
                  </w:r>
                </w:p>
              </w:tc>
              <w:tc>
                <w:tcPr>
                  <w:tcW w:w="1666" w:type="pct"/>
                  <w:vAlign w:val="center"/>
                </w:tcPr>
                <w:p w14:paraId="3909F399">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项目租用已建厂房进行建设，不新增占地，不涉及</w:t>
                  </w:r>
                  <w:r>
                    <w:rPr>
                      <w:rFonts w:hint="default" w:ascii="Times New Roman" w:hAnsi="Times New Roman" w:cs="Times New Roman"/>
                      <w:color w:val="0000FF"/>
                      <w:lang w:val="en-US" w:eastAsia="zh-CN"/>
                    </w:rPr>
                    <w:t>自然保护区核心区、缓冲区的岸线和河段范围</w:t>
                  </w:r>
                  <w:r>
                    <w:rPr>
                      <w:rFonts w:hint="eastAsia" w:ascii="Times New Roman" w:hAnsi="Times New Roman" w:cs="Times New Roman"/>
                      <w:color w:val="0000FF"/>
                      <w:lang w:val="en-US" w:eastAsia="zh-CN"/>
                    </w:rPr>
                    <w:t>；不涉及自然保护区得试验区；该项目为</w:t>
                  </w:r>
                  <w:r>
                    <w:rPr>
                      <w:rFonts w:hint="eastAsia" w:ascii="Times New Roman" w:hAnsi="Times New Roman" w:cs="Times New Roman"/>
                      <w:b w:val="0"/>
                      <w:bCs w:val="0"/>
                      <w:color w:val="0000FF"/>
                      <w:sz w:val="21"/>
                      <w:lang w:val="en-US" w:eastAsia="zh-CN"/>
                    </w:rPr>
                    <w:t>煤炭仓储，</w:t>
                  </w:r>
                  <w:r>
                    <w:rPr>
                      <w:rFonts w:hint="eastAsia" w:ascii="Times New Roman" w:hAnsi="Times New Roman" w:cs="Times New Roman"/>
                      <w:color w:val="0000FF"/>
                      <w:lang w:val="en-US" w:eastAsia="zh-CN"/>
                    </w:rPr>
                    <w:t>不涉及旅游和生产经营、开矿、采石垮沙等活动。</w:t>
                  </w:r>
                </w:p>
              </w:tc>
              <w:tc>
                <w:tcPr>
                  <w:tcW w:w="343" w:type="pct"/>
                  <w:vAlign w:val="center"/>
                </w:tcPr>
                <w:p w14:paraId="2B42E566">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符合</w:t>
                  </w:r>
                </w:p>
              </w:tc>
            </w:tr>
            <w:tr w14:paraId="08A71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32" w:type="pct"/>
                  <w:vAlign w:val="center"/>
                </w:tcPr>
                <w:p w14:paraId="40F65D47">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3</w:t>
                  </w:r>
                </w:p>
              </w:tc>
              <w:tc>
                <w:tcPr>
                  <w:tcW w:w="2657" w:type="pct"/>
                  <w:vAlign w:val="center"/>
                </w:tcPr>
                <w:p w14:paraId="01D5419F">
                  <w:pPr>
                    <w:pStyle w:val="33"/>
                    <w:pageBreakBefore w:val="0"/>
                    <w:kinsoku/>
                    <w:wordWrap w:val="0"/>
                    <w:overflowPunct/>
                    <w:bidi w:val="0"/>
                    <w:rPr>
                      <w:rFonts w:hint="default" w:ascii="Times New Roman" w:hAnsi="Times New Roman" w:cs="Times New Roman"/>
                      <w:color w:val="0000FF"/>
                      <w:lang w:val="en-US" w:eastAsia="zh-CN"/>
                    </w:rPr>
                  </w:pPr>
                  <w:r>
                    <w:rPr>
                      <w:rFonts w:hint="default" w:ascii="Times New Roman" w:hAnsi="Times New Roman" w:cs="Times New Roman"/>
                      <w:color w:val="0000FF"/>
                      <w:lang w:val="en-US" w:eastAsia="zh-CN"/>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666" w:type="pct"/>
                  <w:vAlign w:val="center"/>
                </w:tcPr>
                <w:p w14:paraId="357E72EE">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项目租用已建厂房进行建设，不新增占地，不涉及</w:t>
                  </w:r>
                  <w:r>
                    <w:rPr>
                      <w:rFonts w:hint="default" w:ascii="Times New Roman" w:hAnsi="Times New Roman" w:cs="Times New Roman"/>
                      <w:color w:val="0000FF"/>
                      <w:lang w:val="en-US" w:eastAsia="zh-CN"/>
                    </w:rPr>
                    <w:t>自然保护区核心区、缓冲区的岸线和河段范围</w:t>
                  </w:r>
                  <w:r>
                    <w:rPr>
                      <w:rFonts w:hint="eastAsia" w:ascii="Times New Roman" w:hAnsi="Times New Roman" w:cs="Times New Roman"/>
                      <w:color w:val="0000FF"/>
                      <w:lang w:val="en-US" w:eastAsia="zh-CN"/>
                    </w:rPr>
                    <w:t>；该项目为</w:t>
                  </w:r>
                  <w:r>
                    <w:rPr>
                      <w:rFonts w:hint="eastAsia" w:ascii="Times New Roman" w:hAnsi="Times New Roman" w:cs="Times New Roman"/>
                      <w:b w:val="0"/>
                      <w:bCs w:val="0"/>
                      <w:color w:val="0000FF"/>
                      <w:sz w:val="21"/>
                      <w:lang w:val="en-US" w:eastAsia="zh-CN"/>
                    </w:rPr>
                    <w:t>煤炭仓储</w:t>
                  </w:r>
                  <w:r>
                    <w:rPr>
                      <w:rFonts w:hint="eastAsia" w:ascii="Times New Roman" w:hAnsi="Times New Roman" w:cs="Times New Roman"/>
                      <w:color w:val="0000FF"/>
                      <w:lang w:val="en-US" w:eastAsia="zh-CN"/>
                    </w:rPr>
                    <w:t>项目，不涉及开山</w:t>
                  </w:r>
                  <w:r>
                    <w:rPr>
                      <w:rFonts w:hint="default" w:ascii="Times New Roman" w:hAnsi="Times New Roman" w:cs="Times New Roman"/>
                      <w:color w:val="0000FF"/>
                      <w:lang w:val="en-US" w:eastAsia="zh-CN"/>
                    </w:rPr>
                    <w:t>、采石、开矿、开荒、修坟立碑、以及修建储存爆炸性、易燃性、放射性、毒害性腐蚀性物品的设施</w:t>
                  </w:r>
                  <w:r>
                    <w:rPr>
                      <w:rFonts w:hint="eastAsia" w:ascii="Times New Roman" w:hAnsi="Times New Roman" w:cs="Times New Roman"/>
                      <w:color w:val="0000FF"/>
                      <w:lang w:val="en-US" w:eastAsia="zh-CN"/>
                    </w:rPr>
                    <w:t>；也不涉及</w:t>
                  </w:r>
                  <w:r>
                    <w:rPr>
                      <w:rFonts w:hint="default" w:ascii="Times New Roman" w:hAnsi="Times New Roman" w:cs="Times New Roman"/>
                      <w:color w:val="0000FF"/>
                      <w:lang w:val="en-US" w:eastAsia="zh-CN"/>
                    </w:rPr>
                    <w:t>建设宾馆、会所、培训中心、疗养院</w:t>
                  </w:r>
                  <w:r>
                    <w:rPr>
                      <w:rFonts w:hint="eastAsia" w:ascii="Times New Roman" w:hAnsi="Times New Roman" w:cs="Times New Roman"/>
                      <w:color w:val="0000FF"/>
                      <w:lang w:val="en-US" w:eastAsia="zh-CN"/>
                    </w:rPr>
                    <w:t>等活动。</w:t>
                  </w:r>
                </w:p>
              </w:tc>
              <w:tc>
                <w:tcPr>
                  <w:tcW w:w="343" w:type="pct"/>
                  <w:vAlign w:val="center"/>
                </w:tcPr>
                <w:p w14:paraId="380E60C2">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符合</w:t>
                  </w:r>
                </w:p>
              </w:tc>
            </w:tr>
            <w:tr w14:paraId="4950F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32" w:type="pct"/>
                  <w:vAlign w:val="center"/>
                </w:tcPr>
                <w:p w14:paraId="1EE6110E">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4</w:t>
                  </w:r>
                </w:p>
              </w:tc>
              <w:tc>
                <w:tcPr>
                  <w:tcW w:w="2657" w:type="pct"/>
                  <w:vAlign w:val="center"/>
                </w:tcPr>
                <w:p w14:paraId="64C69736">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666" w:type="pct"/>
                  <w:vAlign w:val="center"/>
                </w:tcPr>
                <w:p w14:paraId="73EF755C">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项目不新增占地，不涉及饮用水水源一级保护区的岸线和河段范围；不涉及饮用水水源二级保护区的岸线和河段范围；该项目为</w:t>
                  </w:r>
                  <w:r>
                    <w:rPr>
                      <w:rFonts w:hint="eastAsia" w:ascii="Times New Roman" w:hAnsi="Times New Roman" w:cs="Times New Roman"/>
                      <w:b w:val="0"/>
                      <w:bCs w:val="0"/>
                      <w:color w:val="0000FF"/>
                      <w:sz w:val="21"/>
                      <w:lang w:val="en-US" w:eastAsia="zh-CN"/>
                    </w:rPr>
                    <w:t>煤炭仓储</w:t>
                  </w:r>
                  <w:r>
                    <w:rPr>
                      <w:rFonts w:hint="eastAsia" w:ascii="Times New Roman" w:hAnsi="Times New Roman" w:cs="Times New Roman"/>
                      <w:color w:val="0000FF"/>
                      <w:lang w:val="en-US" w:eastAsia="zh-CN"/>
                    </w:rPr>
                    <w:t>项目，不涉及供水设施、网箱养殖、畜禽养殖、旅游等活动。</w:t>
                  </w:r>
                </w:p>
              </w:tc>
              <w:tc>
                <w:tcPr>
                  <w:tcW w:w="343" w:type="pct"/>
                  <w:vAlign w:val="center"/>
                </w:tcPr>
                <w:p w14:paraId="3FBBD6AD">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符合</w:t>
                  </w:r>
                </w:p>
              </w:tc>
            </w:tr>
            <w:tr w14:paraId="5D209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32" w:type="pct"/>
                  <w:vAlign w:val="center"/>
                </w:tcPr>
                <w:p w14:paraId="533D218A">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5</w:t>
                  </w:r>
                </w:p>
              </w:tc>
              <w:tc>
                <w:tcPr>
                  <w:tcW w:w="2657" w:type="pct"/>
                  <w:vAlign w:val="center"/>
                </w:tcPr>
                <w:p w14:paraId="3A3598FC">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666" w:type="pct"/>
                  <w:vAlign w:val="center"/>
                </w:tcPr>
                <w:p w14:paraId="545F587F">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项目不新增占地，不涉及水产种质资源保护区的岸线和河段范围；不涉及国家湿地公园；该项目为</w:t>
                  </w:r>
                  <w:r>
                    <w:rPr>
                      <w:rFonts w:hint="eastAsia" w:ascii="Times New Roman" w:hAnsi="Times New Roman" w:cs="Times New Roman"/>
                      <w:b w:val="0"/>
                      <w:bCs w:val="0"/>
                      <w:color w:val="0000FF"/>
                      <w:sz w:val="21"/>
                      <w:lang w:val="en-US" w:eastAsia="zh-CN"/>
                    </w:rPr>
                    <w:t>煤炭仓储</w:t>
                  </w:r>
                  <w:r>
                    <w:rPr>
                      <w:rFonts w:hint="eastAsia" w:ascii="Times New Roman" w:hAnsi="Times New Roman" w:cs="Times New Roman"/>
                      <w:color w:val="0000FF"/>
                      <w:lang w:val="en-US" w:eastAsia="zh-CN"/>
                    </w:rPr>
                    <w:t>项目，不涉及围湖造田、围湖造地、围填海、挖沙、采矿、建设度假区、高尔夫球场等活动。</w:t>
                  </w:r>
                </w:p>
              </w:tc>
              <w:tc>
                <w:tcPr>
                  <w:tcW w:w="343" w:type="pct"/>
                  <w:vAlign w:val="center"/>
                </w:tcPr>
                <w:p w14:paraId="636C29AB">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符合</w:t>
                  </w:r>
                </w:p>
              </w:tc>
            </w:tr>
            <w:tr w14:paraId="1C7B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32" w:type="pct"/>
                  <w:vAlign w:val="center"/>
                </w:tcPr>
                <w:p w14:paraId="42EE3FED">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6</w:t>
                  </w:r>
                </w:p>
              </w:tc>
              <w:tc>
                <w:tcPr>
                  <w:tcW w:w="2657" w:type="pct"/>
                  <w:vAlign w:val="center"/>
                </w:tcPr>
                <w:p w14:paraId="610EFB7C">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666" w:type="pct"/>
                  <w:vAlign w:val="center"/>
                </w:tcPr>
                <w:p w14:paraId="4EDE04A2">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项目不新增占地，不涉及长江流域河湖岸线，不在金沙江岸线保护区和保留区内；不在金沙江干流、九大高原湖泊保护区、保留区内；该项目为</w:t>
                  </w:r>
                  <w:r>
                    <w:rPr>
                      <w:rFonts w:hint="eastAsia" w:ascii="Times New Roman" w:hAnsi="Times New Roman" w:cs="Times New Roman"/>
                      <w:b w:val="0"/>
                      <w:bCs w:val="0"/>
                      <w:color w:val="0000FF"/>
                      <w:sz w:val="21"/>
                      <w:lang w:val="en-US" w:eastAsia="zh-CN"/>
                    </w:rPr>
                    <w:t>煤炭仓储</w:t>
                  </w:r>
                  <w:r>
                    <w:rPr>
                      <w:rFonts w:hint="eastAsia" w:ascii="Times New Roman" w:hAnsi="Times New Roman" w:cs="Times New Roman"/>
                      <w:color w:val="0000FF"/>
                      <w:lang w:val="en-US" w:eastAsia="zh-CN"/>
                    </w:rPr>
                    <w:t>项目，不涉及不利于水资源及自然生态保护的活动。</w:t>
                  </w:r>
                </w:p>
              </w:tc>
              <w:tc>
                <w:tcPr>
                  <w:tcW w:w="343" w:type="pct"/>
                  <w:vAlign w:val="center"/>
                </w:tcPr>
                <w:p w14:paraId="026B03D1">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符合</w:t>
                  </w:r>
                </w:p>
              </w:tc>
            </w:tr>
            <w:tr w14:paraId="404DA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32" w:type="pct"/>
                  <w:vAlign w:val="center"/>
                </w:tcPr>
                <w:p w14:paraId="5F4C4C63">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7</w:t>
                  </w:r>
                </w:p>
              </w:tc>
              <w:tc>
                <w:tcPr>
                  <w:tcW w:w="2657" w:type="pct"/>
                  <w:vAlign w:val="center"/>
                </w:tcPr>
                <w:p w14:paraId="34CB54AF">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666" w:type="pct"/>
                  <w:vAlign w:val="center"/>
                </w:tcPr>
                <w:p w14:paraId="7B9C6C63">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该项目为</w:t>
                  </w:r>
                  <w:r>
                    <w:rPr>
                      <w:rFonts w:hint="eastAsia" w:ascii="Times New Roman" w:hAnsi="Times New Roman" w:cs="Times New Roman"/>
                      <w:b w:val="0"/>
                      <w:bCs w:val="0"/>
                      <w:color w:val="0000FF"/>
                      <w:sz w:val="21"/>
                      <w:lang w:val="en-US" w:eastAsia="zh-CN"/>
                    </w:rPr>
                    <w:t>煤炭仓储</w:t>
                  </w:r>
                  <w:r>
                    <w:rPr>
                      <w:rFonts w:hint="eastAsia" w:ascii="Times New Roman" w:hAnsi="Times New Roman" w:cs="Times New Roman"/>
                      <w:color w:val="0000FF"/>
                      <w:lang w:val="en-US" w:eastAsia="zh-CN"/>
                    </w:rPr>
                    <w:t>项目，不涉及过江基础设施项目，项目未新设、改设或扩大排污口</w:t>
                  </w:r>
                  <w:r>
                    <w:rPr>
                      <w:rFonts w:hint="eastAsia" w:cs="Times New Roman"/>
                      <w:color w:val="0000FF"/>
                      <w:lang w:val="en-US" w:eastAsia="zh-CN"/>
                    </w:rPr>
                    <w:t>的活动</w:t>
                  </w:r>
                  <w:r>
                    <w:rPr>
                      <w:rFonts w:hint="eastAsia" w:ascii="Times New Roman" w:hAnsi="Times New Roman" w:cs="Times New Roman"/>
                      <w:color w:val="0000FF"/>
                      <w:lang w:val="en-US" w:eastAsia="zh-CN"/>
                    </w:rPr>
                    <w:t>。</w:t>
                  </w:r>
                </w:p>
              </w:tc>
              <w:tc>
                <w:tcPr>
                  <w:tcW w:w="343" w:type="pct"/>
                  <w:vAlign w:val="center"/>
                </w:tcPr>
                <w:p w14:paraId="75FC9EAF">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符合</w:t>
                  </w:r>
                </w:p>
              </w:tc>
            </w:tr>
            <w:tr w14:paraId="31422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32" w:type="pct"/>
                  <w:vAlign w:val="center"/>
                </w:tcPr>
                <w:p w14:paraId="46DB33C1">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8</w:t>
                  </w:r>
                </w:p>
              </w:tc>
              <w:tc>
                <w:tcPr>
                  <w:tcW w:w="2657" w:type="pct"/>
                  <w:vAlign w:val="center"/>
                </w:tcPr>
                <w:p w14:paraId="1D33938F">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禁止在金沙江干流、长江一级支流、水生生物保护区和长江流域禁捕水域开展天然渔业资源生产性捕捞。</w:t>
                  </w:r>
                </w:p>
              </w:tc>
              <w:tc>
                <w:tcPr>
                  <w:tcW w:w="1666" w:type="pct"/>
                  <w:vAlign w:val="center"/>
                </w:tcPr>
                <w:p w14:paraId="735C99A8">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项目不涉及金沙江干流、长江一级支流、水生生物保护区和长江流域禁捕水域。</w:t>
                  </w:r>
                </w:p>
              </w:tc>
              <w:tc>
                <w:tcPr>
                  <w:tcW w:w="343" w:type="pct"/>
                  <w:vAlign w:val="center"/>
                </w:tcPr>
                <w:p w14:paraId="03E63BDF">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符合</w:t>
                  </w:r>
                </w:p>
              </w:tc>
            </w:tr>
            <w:tr w14:paraId="3EFE7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32" w:type="pct"/>
                  <w:vAlign w:val="center"/>
                </w:tcPr>
                <w:p w14:paraId="74BBE2A5">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9</w:t>
                  </w:r>
                </w:p>
              </w:tc>
              <w:tc>
                <w:tcPr>
                  <w:tcW w:w="2657" w:type="pct"/>
                  <w:vAlign w:val="center"/>
                </w:tcPr>
                <w:p w14:paraId="58B776EA">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禁止在金沙江干流，长江一级支流和九大高原湖泊岸线一公里范围内新建、扩建化工园区和化工项目。禁止在金沙江干流岸线三公里范围内和长江一级支流岸线一公里范围内新建、改建、扩建尾矿库、治炼渣库和磷石膏库，以提升安全、生态环境保护水平为目的的改建除外。</w:t>
                  </w:r>
                </w:p>
              </w:tc>
              <w:tc>
                <w:tcPr>
                  <w:tcW w:w="1666" w:type="pct"/>
                  <w:vAlign w:val="center"/>
                </w:tcPr>
                <w:p w14:paraId="1472294C">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项目为</w:t>
                  </w:r>
                  <w:r>
                    <w:rPr>
                      <w:rFonts w:hint="eastAsia" w:ascii="Times New Roman" w:hAnsi="Times New Roman" w:cs="Times New Roman"/>
                      <w:b w:val="0"/>
                      <w:bCs w:val="0"/>
                      <w:color w:val="0000FF"/>
                      <w:sz w:val="21"/>
                      <w:lang w:val="en-US" w:eastAsia="zh-CN"/>
                    </w:rPr>
                    <w:t>煤炭仓储</w:t>
                  </w:r>
                  <w:r>
                    <w:rPr>
                      <w:rFonts w:hint="eastAsia" w:ascii="Times New Roman" w:hAnsi="Times New Roman" w:cs="Times New Roman"/>
                      <w:color w:val="0000FF"/>
                      <w:lang w:val="en-US" w:eastAsia="zh-CN"/>
                    </w:rPr>
                    <w:t>项目，不属于化工、尾矿库、治炼渣库和磷石膏库等项目。</w:t>
                  </w:r>
                </w:p>
              </w:tc>
              <w:tc>
                <w:tcPr>
                  <w:tcW w:w="343" w:type="pct"/>
                  <w:vAlign w:val="center"/>
                </w:tcPr>
                <w:p w14:paraId="3024E88A">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符合</w:t>
                  </w:r>
                </w:p>
              </w:tc>
            </w:tr>
            <w:tr w14:paraId="456F5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32" w:type="pct"/>
                  <w:vAlign w:val="center"/>
                </w:tcPr>
                <w:p w14:paraId="7FFA0A5F">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10</w:t>
                  </w:r>
                </w:p>
              </w:tc>
              <w:tc>
                <w:tcPr>
                  <w:tcW w:w="2657" w:type="pct"/>
                  <w:vAlign w:val="center"/>
                </w:tcPr>
                <w:p w14:paraId="557CC929">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禁止在合规园区外新建、扩建钢铁、石化、化工焦化、建材、有色、制浆造纸行业中的高污染项目。</w:t>
                  </w:r>
                </w:p>
              </w:tc>
              <w:tc>
                <w:tcPr>
                  <w:tcW w:w="1666" w:type="pct"/>
                  <w:vAlign w:val="center"/>
                </w:tcPr>
                <w:p w14:paraId="739692FF">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项目属于</w:t>
                  </w:r>
                  <w:r>
                    <w:rPr>
                      <w:rFonts w:hint="eastAsia" w:ascii="Times New Roman" w:hAnsi="Times New Roman" w:cs="Times New Roman"/>
                      <w:b w:val="0"/>
                      <w:bCs w:val="0"/>
                      <w:color w:val="0000FF"/>
                      <w:sz w:val="21"/>
                      <w:lang w:val="en-US" w:eastAsia="zh-CN"/>
                    </w:rPr>
                    <w:t>煤炭仓储</w:t>
                  </w:r>
                  <w:r>
                    <w:rPr>
                      <w:rFonts w:hint="eastAsia" w:ascii="Times New Roman" w:hAnsi="Times New Roman" w:cs="Times New Roman"/>
                      <w:color w:val="0000FF"/>
                      <w:lang w:val="en-US" w:eastAsia="zh-CN"/>
                    </w:rPr>
                    <w:t>项目，不属于钢铁、石化、化工焦化、建材、有色、制浆造纸行业中的高污染项目。</w:t>
                  </w:r>
                </w:p>
              </w:tc>
              <w:tc>
                <w:tcPr>
                  <w:tcW w:w="343" w:type="pct"/>
                  <w:vAlign w:val="center"/>
                </w:tcPr>
                <w:p w14:paraId="0496F2CE">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符合</w:t>
                  </w:r>
                </w:p>
              </w:tc>
            </w:tr>
            <w:tr w14:paraId="6D3ED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32" w:type="pct"/>
                  <w:vAlign w:val="center"/>
                </w:tcPr>
                <w:p w14:paraId="5BCC3CCC">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11</w:t>
                  </w:r>
                </w:p>
              </w:tc>
              <w:tc>
                <w:tcPr>
                  <w:tcW w:w="2657" w:type="pct"/>
                  <w:vAlign w:val="center"/>
                </w:tcPr>
                <w:p w14:paraId="7C3F2683">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禁止新建、扩建不符合国家石化、现代煤化工等</w:t>
                  </w:r>
                </w:p>
                <w:p w14:paraId="47BAEA27">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产业布局规划的项目。禁止列入《云南省城镇人口密集区危险化学品生产企业搬迁改造名单》的搬迁改造企业在原址新建、扩建危险化学品生产项目。</w:t>
                  </w:r>
                </w:p>
              </w:tc>
              <w:tc>
                <w:tcPr>
                  <w:tcW w:w="1666" w:type="pct"/>
                  <w:vAlign w:val="center"/>
                </w:tcPr>
                <w:p w14:paraId="5744BE36">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项目属于</w:t>
                  </w:r>
                  <w:r>
                    <w:rPr>
                      <w:rFonts w:hint="eastAsia" w:ascii="Times New Roman" w:hAnsi="Times New Roman" w:cs="Times New Roman"/>
                      <w:b w:val="0"/>
                      <w:bCs w:val="0"/>
                      <w:color w:val="0000FF"/>
                      <w:sz w:val="21"/>
                      <w:lang w:val="en-US" w:eastAsia="zh-CN"/>
                    </w:rPr>
                    <w:t>煤炭仓储</w:t>
                  </w:r>
                  <w:r>
                    <w:rPr>
                      <w:rFonts w:hint="eastAsia" w:ascii="Times New Roman" w:hAnsi="Times New Roman" w:cs="Times New Roman"/>
                      <w:color w:val="0000FF"/>
                      <w:lang w:val="en-US" w:eastAsia="zh-CN"/>
                    </w:rPr>
                    <w:t>项目，不属于石化、煤化工以及危险化学品生产项目。</w:t>
                  </w:r>
                </w:p>
              </w:tc>
              <w:tc>
                <w:tcPr>
                  <w:tcW w:w="343" w:type="pct"/>
                  <w:vAlign w:val="center"/>
                </w:tcPr>
                <w:p w14:paraId="503BA26A">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符合</w:t>
                  </w:r>
                </w:p>
              </w:tc>
            </w:tr>
            <w:tr w14:paraId="3E337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32" w:type="pct"/>
                  <w:vAlign w:val="center"/>
                </w:tcPr>
                <w:p w14:paraId="4EF9020E">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12</w:t>
                  </w:r>
                </w:p>
              </w:tc>
              <w:tc>
                <w:tcPr>
                  <w:tcW w:w="2657" w:type="pct"/>
                  <w:vAlign w:val="center"/>
                </w:tcPr>
                <w:p w14:paraId="2B50EB04">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电石、焦炭、磷、烧碱、纯碱、聚氯乙烯等行业新增产能。</w:t>
                  </w:r>
                </w:p>
              </w:tc>
              <w:tc>
                <w:tcPr>
                  <w:tcW w:w="1666" w:type="pct"/>
                  <w:vAlign w:val="center"/>
                </w:tcPr>
                <w:p w14:paraId="69671046">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项目属于</w:t>
                  </w:r>
                  <w:r>
                    <w:rPr>
                      <w:rFonts w:hint="eastAsia" w:ascii="Times New Roman" w:hAnsi="Times New Roman" w:cs="Times New Roman"/>
                      <w:b w:val="0"/>
                      <w:bCs w:val="0"/>
                      <w:color w:val="0000FF"/>
                      <w:sz w:val="21"/>
                      <w:lang w:val="en-US" w:eastAsia="zh-CN"/>
                    </w:rPr>
                    <w:t>煤炭仓储</w:t>
                  </w:r>
                  <w:r>
                    <w:rPr>
                      <w:rFonts w:hint="eastAsia" w:ascii="Times New Roman" w:hAnsi="Times New Roman" w:cs="Times New Roman"/>
                      <w:color w:val="0000FF"/>
                      <w:lang w:val="en-US" w:eastAsia="zh-CN"/>
                    </w:rPr>
                    <w:t>项目，符合国家产业政策要求，项目能耗、环保、质量、安全均达标，符合国家产能置换要求；不属于过剩产能行业，不属于农药、尿素、磷、电石、焦炭、磷、烧碱、纯碱、聚氯乙烯等行业。</w:t>
                  </w:r>
                </w:p>
              </w:tc>
              <w:tc>
                <w:tcPr>
                  <w:tcW w:w="343" w:type="pct"/>
                  <w:vAlign w:val="center"/>
                </w:tcPr>
                <w:p w14:paraId="6E959580">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符合</w:t>
                  </w:r>
                </w:p>
              </w:tc>
            </w:tr>
          </w:tbl>
          <w:p w14:paraId="4152A691">
            <w:pPr>
              <w:pageBreakBefore w:val="0"/>
              <w:kinsoku/>
              <w:wordWrap w:val="0"/>
              <w:overflowPunct/>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0000FF"/>
                <w:highlight w:val="none"/>
                <w:lang w:val="en-US" w:eastAsia="zh-CN"/>
              </w:rPr>
              <w:t>综上分析，项目建设符合《云南省长江经济带发展负面清单指南实施细则（试行，2022年版）》的相关要求。</w:t>
            </w:r>
          </w:p>
          <w:p w14:paraId="6273BA98">
            <w:pPr>
              <w:pageBreakBefore w:val="0"/>
              <w:kinsoku/>
              <w:wordWrap w:val="0"/>
              <w:overflowPunct/>
              <w:bidi w:val="0"/>
              <w:spacing w:line="360" w:lineRule="auto"/>
              <w:ind w:firstLine="482" w:firstLineChars="200"/>
              <w:rPr>
                <w:rFonts w:hint="eastAsia"/>
                <w:b/>
                <w:bCs/>
                <w:color w:val="auto"/>
              </w:rPr>
            </w:pPr>
            <w:r>
              <w:rPr>
                <w:rFonts w:hint="eastAsia" w:ascii="Times New Roman" w:hAnsi="Times New Roman" w:cs="Times New Roman"/>
                <w:b/>
                <w:bCs/>
                <w:color w:val="auto"/>
                <w:highlight w:val="none"/>
                <w:lang w:val="en-US" w:eastAsia="zh-CN"/>
              </w:rPr>
              <w:t>10、</w:t>
            </w:r>
            <w:r>
              <w:rPr>
                <w:rFonts w:hint="eastAsia"/>
                <w:b/>
                <w:bCs/>
                <w:color w:val="auto"/>
                <w:sz w:val="24"/>
              </w:rPr>
              <w:t>与《云南省大气污染防治条例》符合性分析</w:t>
            </w:r>
          </w:p>
          <w:p w14:paraId="1F070473">
            <w:pPr>
              <w:pageBreakBefore w:val="0"/>
              <w:kinsoku/>
              <w:wordWrap w:val="0"/>
              <w:overflowPunct/>
              <w:bidi w:val="0"/>
              <w:spacing w:line="360" w:lineRule="auto"/>
              <w:ind w:firstLine="480" w:firstLineChars="200"/>
              <w:rPr>
                <w:rFonts w:hint="eastAsia"/>
                <w:color w:val="auto"/>
                <w:sz w:val="24"/>
              </w:rPr>
            </w:pPr>
            <w:r>
              <w:rPr>
                <w:color w:val="auto"/>
                <w:sz w:val="24"/>
              </w:rPr>
              <w:t>2018</w:t>
            </w:r>
            <w:r>
              <w:rPr>
                <w:rFonts w:hint="eastAsia"/>
                <w:color w:val="auto"/>
                <w:sz w:val="24"/>
              </w:rPr>
              <w:t>年</w:t>
            </w:r>
            <w:r>
              <w:rPr>
                <w:color w:val="auto"/>
                <w:sz w:val="24"/>
              </w:rPr>
              <w:t>11</w:t>
            </w:r>
            <w:r>
              <w:rPr>
                <w:rFonts w:hint="eastAsia"/>
                <w:color w:val="auto"/>
                <w:sz w:val="24"/>
              </w:rPr>
              <w:t>月</w:t>
            </w:r>
            <w:r>
              <w:rPr>
                <w:color w:val="auto"/>
                <w:sz w:val="24"/>
              </w:rPr>
              <w:t>29</w:t>
            </w:r>
            <w:r>
              <w:rPr>
                <w:rFonts w:hint="eastAsia"/>
                <w:color w:val="auto"/>
                <w:sz w:val="24"/>
              </w:rPr>
              <w:t>日云南省第十三届人民代表大会常务委员会第七次会议通过《云南省大气污染防治条例》，于</w:t>
            </w:r>
            <w:r>
              <w:rPr>
                <w:color w:val="auto"/>
                <w:sz w:val="24"/>
              </w:rPr>
              <w:t>2019</w:t>
            </w:r>
            <w:r>
              <w:rPr>
                <w:rFonts w:hint="eastAsia"/>
                <w:color w:val="auto"/>
                <w:sz w:val="24"/>
              </w:rPr>
              <w:t>年</w:t>
            </w:r>
            <w:r>
              <w:rPr>
                <w:color w:val="auto"/>
                <w:sz w:val="24"/>
              </w:rPr>
              <w:t>1</w:t>
            </w:r>
            <w:r>
              <w:rPr>
                <w:rFonts w:hint="eastAsia"/>
                <w:color w:val="auto"/>
                <w:sz w:val="24"/>
              </w:rPr>
              <w:t>月</w:t>
            </w:r>
            <w:r>
              <w:rPr>
                <w:color w:val="auto"/>
                <w:sz w:val="24"/>
              </w:rPr>
              <w:t>1</w:t>
            </w:r>
            <w:r>
              <w:rPr>
                <w:rFonts w:hint="eastAsia"/>
                <w:color w:val="auto"/>
                <w:sz w:val="24"/>
              </w:rPr>
              <w:t>日开始实施，本项目与“云南省大气污染防治条例”的符合性见</w:t>
            </w:r>
            <w:r>
              <w:rPr>
                <w:rFonts w:hint="eastAsia"/>
                <w:color w:val="auto"/>
                <w:sz w:val="24"/>
                <w:lang w:val="en-US" w:eastAsia="zh-CN"/>
              </w:rPr>
              <w:t>下表所示</w:t>
            </w:r>
            <w:r>
              <w:rPr>
                <w:rFonts w:hint="eastAsia"/>
                <w:color w:val="auto"/>
                <w:sz w:val="24"/>
              </w:rPr>
              <w:t>。</w:t>
            </w:r>
          </w:p>
          <w:p w14:paraId="7E8C6CA4">
            <w:pPr>
              <w:pageBreakBefore w:val="0"/>
              <w:kinsoku/>
              <w:wordWrap w:val="0"/>
              <w:overflowPunct/>
              <w:bidi w:val="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 1-10 本项目与云南省大气污染防治条例符合性分析</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0"/>
              <w:gridCol w:w="2810"/>
              <w:gridCol w:w="1057"/>
            </w:tblGrid>
            <w:tr w14:paraId="395E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532" w:type="pct"/>
                  <w:noWrap w:val="0"/>
                  <w:vAlign w:val="center"/>
                </w:tcPr>
                <w:p w14:paraId="5DDAF992">
                  <w:pPr>
                    <w:pStyle w:val="33"/>
                    <w:pageBreakBefore w:val="0"/>
                    <w:kinsoku/>
                    <w:wordWrap w:val="0"/>
                    <w:overflowPunct/>
                    <w:bidi w:val="0"/>
                    <w:jc w:val="center"/>
                    <w:rPr>
                      <w:rFonts w:hint="default" w:ascii="Times New Roman" w:hAnsi="Times New Roman" w:eastAsia="宋体" w:cs="Times New Roman"/>
                      <w:b/>
                      <w:bCs/>
                      <w:color w:val="auto"/>
                      <w:sz w:val="21"/>
                      <w:lang w:val="en-US" w:eastAsia="zh-CN"/>
                    </w:rPr>
                  </w:pPr>
                  <w:r>
                    <w:rPr>
                      <w:rFonts w:hint="eastAsia" w:ascii="Times New Roman" w:hAnsi="Times New Roman" w:eastAsia="宋体" w:cs="Times New Roman"/>
                      <w:b/>
                      <w:bCs/>
                      <w:color w:val="auto"/>
                      <w:sz w:val="21"/>
                      <w:lang w:val="en-US" w:eastAsia="zh-CN"/>
                    </w:rPr>
                    <w:t>云南省大气污染防治条例</w:t>
                  </w:r>
                </w:p>
              </w:tc>
              <w:tc>
                <w:tcPr>
                  <w:tcW w:w="1792" w:type="pct"/>
                  <w:noWrap w:val="0"/>
                  <w:vAlign w:val="center"/>
                </w:tcPr>
                <w:p w14:paraId="7CD6E410">
                  <w:pPr>
                    <w:pStyle w:val="33"/>
                    <w:pageBreakBefore w:val="0"/>
                    <w:kinsoku/>
                    <w:wordWrap w:val="0"/>
                    <w:overflowPunct/>
                    <w:bidi w:val="0"/>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本项</w:t>
                  </w:r>
                  <w:r>
                    <w:rPr>
                      <w:rFonts w:hint="default" w:ascii="Times New Roman" w:hAnsi="Times New Roman" w:eastAsia="宋体" w:cs="Times New Roman"/>
                      <w:b/>
                      <w:bCs/>
                      <w:color w:val="auto"/>
                      <w:sz w:val="21"/>
                      <w:lang w:val="en-US" w:eastAsia="zh-CN"/>
                    </w:rPr>
                    <w:cr/>
                  </w:r>
                  <w:r>
                    <w:rPr>
                      <w:rFonts w:hint="default" w:ascii="Times New Roman" w:hAnsi="Times New Roman" w:eastAsia="宋体" w:cs="Times New Roman"/>
                      <w:b/>
                      <w:bCs/>
                      <w:color w:val="auto"/>
                      <w:sz w:val="21"/>
                      <w:lang w:val="en-US" w:eastAsia="zh-CN"/>
                    </w:rPr>
                    <w:cr/>
                  </w:r>
                  <w:r>
                    <w:rPr>
                      <w:rFonts w:hint="default" w:ascii="Times New Roman" w:hAnsi="Times New Roman" w:eastAsia="宋体" w:cs="Times New Roman"/>
                      <w:b/>
                      <w:bCs/>
                      <w:color w:val="auto"/>
                      <w:sz w:val="21"/>
                      <w:lang w:val="en-US" w:eastAsia="zh-CN"/>
                    </w:rPr>
                    <w:t>标</w:t>
                  </w:r>
                </w:p>
              </w:tc>
              <w:tc>
                <w:tcPr>
                  <w:tcW w:w="674" w:type="pct"/>
                  <w:noWrap w:val="0"/>
                  <w:vAlign w:val="center"/>
                </w:tcPr>
                <w:p w14:paraId="47A67A48">
                  <w:pPr>
                    <w:pStyle w:val="33"/>
                    <w:pageBreakBefore w:val="0"/>
                    <w:kinsoku/>
                    <w:wordWrap w:val="0"/>
                    <w:overflowPunct/>
                    <w:bidi w:val="0"/>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符合性</w:t>
                  </w:r>
                </w:p>
              </w:tc>
            </w:tr>
            <w:tr w14:paraId="33F75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6" w:hRule="atLeast"/>
                <w:jc w:val="center"/>
              </w:trPr>
              <w:tc>
                <w:tcPr>
                  <w:tcW w:w="2532" w:type="pct"/>
                  <w:noWrap w:val="0"/>
                  <w:vAlign w:val="center"/>
                </w:tcPr>
                <w:p w14:paraId="1354A682">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第二章大气污染防治的监督管理第九条按照国家有关规定依法实行排污许可管理的单位，应当取得排污许可证，并按照排污许可证的规定排放大气污染物，禁止无排污许可证或者不按照排污许可证的规定排放大气污染物。</w:t>
                  </w:r>
                </w:p>
              </w:tc>
              <w:tc>
                <w:tcPr>
                  <w:tcW w:w="1792" w:type="pct"/>
                  <w:noWrap w:val="0"/>
                  <w:vAlign w:val="center"/>
                </w:tcPr>
                <w:p w14:paraId="5BA0D842">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val="en-US" w:eastAsia="zh-CN"/>
                    </w:rPr>
                    <w:t>待取得环评批复后，将及时按照相关要求办理排污许可证</w:t>
                  </w:r>
                  <w:r>
                    <w:rPr>
                      <w:rFonts w:hint="eastAsia" w:ascii="Times New Roman" w:hAnsi="Times New Roman" w:eastAsia="宋体" w:cs="Times New Roman"/>
                      <w:color w:val="auto"/>
                      <w:sz w:val="21"/>
                      <w:szCs w:val="21"/>
                      <w:highlight w:val="none"/>
                    </w:rPr>
                    <w:t>。</w:t>
                  </w:r>
                </w:p>
              </w:tc>
              <w:tc>
                <w:tcPr>
                  <w:tcW w:w="674" w:type="pct"/>
                  <w:noWrap w:val="0"/>
                  <w:vAlign w:val="center"/>
                </w:tcPr>
                <w:p w14:paraId="57B3B971">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符合</w:t>
                  </w:r>
                </w:p>
              </w:tc>
            </w:tr>
            <w:tr w14:paraId="43668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0" w:hRule="atLeast"/>
                <w:jc w:val="center"/>
              </w:trPr>
              <w:tc>
                <w:tcPr>
                  <w:tcW w:w="2532" w:type="pct"/>
                  <w:noWrap w:val="0"/>
                  <w:vAlign w:val="center"/>
                </w:tcPr>
                <w:p w14:paraId="66B63F33">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第三章大气污染防治措施</w:t>
                  </w:r>
                </w:p>
                <w:p w14:paraId="621534E5">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第三十二条运输煤炭、垃圾、渣土、砂石、土方、灰浆等散装、流体物料的车辆应当采取密闭或者其他措施防止物料遗撒造成扬尘污染，并按照规定路线和时间行驶。</w:t>
                  </w:r>
                </w:p>
              </w:tc>
              <w:tc>
                <w:tcPr>
                  <w:tcW w:w="1792" w:type="pct"/>
                  <w:noWrap w:val="0"/>
                  <w:vAlign w:val="center"/>
                </w:tcPr>
                <w:p w14:paraId="088ABB8E">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rPr>
                    <w:t>本项目运煤车辆均采取压平加盖蓬布，车厢经常检查维修，严实不漏失，能做到封闭运输</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并按照规定路线和时间行驶。</w:t>
                  </w:r>
                </w:p>
              </w:tc>
              <w:tc>
                <w:tcPr>
                  <w:tcW w:w="674" w:type="pct"/>
                  <w:noWrap w:val="0"/>
                  <w:vAlign w:val="center"/>
                </w:tcPr>
                <w:p w14:paraId="08518C36">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符合</w:t>
                  </w:r>
                </w:p>
              </w:tc>
            </w:tr>
            <w:tr w14:paraId="1FFFE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1" w:hRule="atLeast"/>
                <w:jc w:val="center"/>
              </w:trPr>
              <w:tc>
                <w:tcPr>
                  <w:tcW w:w="2532" w:type="pct"/>
                  <w:noWrap w:val="0"/>
                  <w:vAlign w:val="center"/>
                </w:tcPr>
                <w:p w14:paraId="08E7DBEA">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第三十四条矿产资源开采、露天物料堆场等应当采用防风抑尘工艺、技术和设备，采取有效措施防治扬尘污染。</w:t>
                  </w:r>
                </w:p>
              </w:tc>
              <w:tc>
                <w:tcPr>
                  <w:tcW w:w="1792" w:type="pct"/>
                  <w:noWrap w:val="0"/>
                  <w:vAlign w:val="center"/>
                </w:tcPr>
                <w:p w14:paraId="359C3B87">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本项目设置全封闭</w:t>
                  </w:r>
                  <w:r>
                    <w:rPr>
                      <w:rFonts w:hint="eastAsia" w:ascii="Times New Roman" w:hAnsi="Times New Roman" w:eastAsia="宋体" w:cs="Times New Roman"/>
                      <w:color w:val="auto"/>
                      <w:sz w:val="21"/>
                      <w:szCs w:val="21"/>
                      <w:highlight w:val="none"/>
                      <w:lang w:val="en-US" w:eastAsia="zh-CN"/>
                    </w:rPr>
                    <w:t>堆煤棚及晾晒棚</w:t>
                  </w:r>
                  <w:r>
                    <w:rPr>
                      <w:rFonts w:hint="eastAsia" w:ascii="Times New Roman" w:hAnsi="Times New Roman" w:eastAsia="宋体" w:cs="Times New Roman"/>
                      <w:color w:val="auto"/>
                      <w:sz w:val="21"/>
                      <w:szCs w:val="21"/>
                      <w:highlight w:val="none"/>
                    </w:rPr>
                    <w:t>，只留设进出口，煤炭装、卸过程均</w:t>
                  </w:r>
                  <w:r>
                    <w:rPr>
                      <w:rFonts w:hint="eastAsia" w:ascii="Times New Roman" w:hAnsi="Times New Roman" w:eastAsia="宋体" w:cs="Times New Roman"/>
                      <w:color w:val="auto"/>
                      <w:sz w:val="21"/>
                      <w:szCs w:val="21"/>
                      <w:highlight w:val="none"/>
                      <w:lang w:val="en-US" w:eastAsia="zh-CN"/>
                    </w:rPr>
                    <w:t>棚内进行</w:t>
                  </w:r>
                  <w:r>
                    <w:rPr>
                      <w:rFonts w:hint="eastAsia" w:ascii="Times New Roman" w:hAnsi="Times New Roman" w:eastAsia="宋体" w:cs="Times New Roman"/>
                      <w:color w:val="auto"/>
                      <w:sz w:val="21"/>
                      <w:szCs w:val="21"/>
                      <w:highlight w:val="none"/>
                    </w:rPr>
                    <w:t>，地面硬化，并配备洒水</w:t>
                  </w:r>
                  <w:r>
                    <w:rPr>
                      <w:rFonts w:hint="eastAsia" w:ascii="Times New Roman" w:hAnsi="Times New Roman" w:eastAsia="宋体" w:cs="Times New Roman"/>
                      <w:color w:val="auto"/>
                      <w:sz w:val="21"/>
                      <w:szCs w:val="21"/>
                      <w:highlight w:val="none"/>
                      <w:lang w:val="en-US" w:eastAsia="zh-CN"/>
                    </w:rPr>
                    <w:t>车</w:t>
                  </w:r>
                  <w:r>
                    <w:rPr>
                      <w:rFonts w:hint="eastAsia" w:ascii="Times New Roman" w:hAnsi="Times New Roman" w:eastAsia="宋体" w:cs="Times New Roman"/>
                      <w:color w:val="auto"/>
                      <w:sz w:val="21"/>
                      <w:szCs w:val="21"/>
                      <w:highlight w:val="none"/>
                    </w:rPr>
                    <w:t>对厂区地面及厂区外道路洒水降尘，通过以上措施有效控制粉尘排放</w:t>
                  </w:r>
                  <w:r>
                    <w:rPr>
                      <w:rFonts w:hint="eastAsia" w:ascii="Times New Roman" w:hAnsi="Times New Roman" w:eastAsia="宋体" w:cs="Times New Roman"/>
                      <w:color w:val="auto"/>
                      <w:sz w:val="21"/>
                      <w:szCs w:val="21"/>
                      <w:highlight w:val="none"/>
                      <w:lang w:eastAsia="zh-CN"/>
                    </w:rPr>
                    <w:t>。</w:t>
                  </w:r>
                </w:p>
              </w:tc>
              <w:tc>
                <w:tcPr>
                  <w:tcW w:w="674" w:type="pct"/>
                  <w:noWrap w:val="0"/>
                  <w:vAlign w:val="center"/>
                </w:tcPr>
                <w:p w14:paraId="39918209">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符合</w:t>
                  </w:r>
                </w:p>
              </w:tc>
            </w:tr>
          </w:tbl>
          <w:p w14:paraId="08A27130">
            <w:pPr>
              <w:pageBreakBefore w:val="0"/>
              <w:kinsoku/>
              <w:wordWrap w:val="0"/>
              <w:overflowPunct/>
              <w:bidi w:val="0"/>
              <w:rPr>
                <w:rFonts w:hint="eastAsia" w:ascii="Times New Roman" w:hAnsi="Times New Roman" w:cs="Times New Roman"/>
                <w:b/>
                <w:bCs/>
                <w:color w:val="auto"/>
                <w:highlight w:val="none"/>
                <w:lang w:val="en-US" w:eastAsia="zh-CN"/>
              </w:rPr>
            </w:pPr>
            <w:r>
              <w:rPr>
                <w:rFonts w:hint="eastAsia"/>
                <w:color w:val="auto"/>
                <w:sz w:val="24"/>
              </w:rPr>
              <w:t>综上，本项目符合《云南省大气污染防治条例》</w:t>
            </w:r>
            <w:r>
              <w:rPr>
                <w:rFonts w:hint="eastAsia"/>
                <w:color w:val="auto"/>
                <w:sz w:val="24"/>
                <w:lang w:eastAsia="zh-CN"/>
              </w:rPr>
              <w:t>的</w:t>
            </w:r>
            <w:r>
              <w:rPr>
                <w:rFonts w:hint="eastAsia"/>
                <w:color w:val="auto"/>
                <w:sz w:val="24"/>
                <w:lang w:val="en-US" w:eastAsia="zh-CN"/>
              </w:rPr>
              <w:t>相关要求</w:t>
            </w:r>
            <w:r>
              <w:rPr>
                <w:rFonts w:hint="eastAsia"/>
                <w:color w:val="auto"/>
                <w:sz w:val="24"/>
              </w:rPr>
              <w:t>。</w:t>
            </w:r>
          </w:p>
          <w:p w14:paraId="3DC61C78">
            <w:pPr>
              <w:pageBreakBefore w:val="0"/>
              <w:kinsoku/>
              <w:wordWrap w:val="0"/>
              <w:overflowPunct/>
              <w:bidi w:val="0"/>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11、</w:t>
            </w:r>
            <w:r>
              <w:rPr>
                <w:rFonts w:hint="eastAsia" w:ascii="Times New Roman" w:hAnsi="Times New Roman" w:cs="Times New Roman"/>
                <w:b/>
                <w:bCs/>
                <w:color w:val="auto"/>
                <w:highlight w:val="none"/>
                <w:lang w:val="en-US" w:eastAsia="zh-CN"/>
              </w:rPr>
              <w:t>项目与</w:t>
            </w:r>
            <w:r>
              <w:rPr>
                <w:rFonts w:hint="default" w:ascii="Times New Roman" w:hAnsi="Times New Roman" w:cs="Times New Roman"/>
                <w:b/>
                <w:bCs/>
                <w:color w:val="auto"/>
                <w:highlight w:val="none"/>
                <w:lang w:val="en-US" w:eastAsia="zh-CN"/>
              </w:rPr>
              <w:t>《昆明市大气污染防治条例》符合性分析</w:t>
            </w:r>
          </w:p>
          <w:p w14:paraId="5554362C">
            <w:pPr>
              <w:pageBreakBefore w:val="0"/>
              <w:kinsoku/>
              <w:wordWrap w:val="0"/>
              <w:overflowPunct/>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本项目主要涉及《昆明市大气污染防治条例》的规定分析如下：</w:t>
            </w:r>
          </w:p>
          <w:p w14:paraId="51894A05">
            <w:pPr>
              <w:pageBreakBefore w:val="0"/>
              <w:kinsoku/>
              <w:wordWrap w:val="0"/>
              <w:overflowPunct/>
              <w:bidi w:val="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表1-</w:t>
            </w:r>
            <w:r>
              <w:rPr>
                <w:rFonts w:hint="eastAsia" w:ascii="Times New Roman" w:hAnsi="Times New Roman" w:cs="Times New Roman"/>
                <w:b/>
                <w:bCs/>
                <w:color w:val="auto"/>
                <w:sz w:val="21"/>
                <w:szCs w:val="21"/>
                <w:highlight w:val="none"/>
                <w:lang w:val="en-US" w:eastAsia="zh-CN"/>
              </w:rPr>
              <w:t>11</w:t>
            </w:r>
            <w:r>
              <w:rPr>
                <w:rFonts w:hint="default" w:ascii="Times New Roman" w:hAnsi="Times New Roman" w:cs="Times New Roman"/>
                <w:b/>
                <w:bCs/>
                <w:color w:val="auto"/>
                <w:sz w:val="21"/>
                <w:szCs w:val="21"/>
                <w:highlight w:val="none"/>
                <w:lang w:val="en-US" w:eastAsia="zh-CN"/>
              </w:rPr>
              <w:t xml:space="preserve">  项目与《昆明市大气污染防治条例》的符合性分析</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4"/>
              <w:gridCol w:w="3368"/>
              <w:gridCol w:w="1046"/>
            </w:tblGrid>
            <w:tr w14:paraId="1E907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184" w:type="pct"/>
                  <w:noWrap w:val="0"/>
                  <w:vAlign w:val="center"/>
                </w:tcPr>
                <w:p w14:paraId="067C3BFB">
                  <w:pPr>
                    <w:pStyle w:val="33"/>
                    <w:pageBreakBefore w:val="0"/>
                    <w:kinsoku/>
                    <w:wordWrap w:val="0"/>
                    <w:overflowPunct/>
                    <w:bidi w:val="0"/>
                    <w:jc w:val="center"/>
                    <w:rPr>
                      <w:rFonts w:hint="eastAsia" w:ascii="Times New Roman" w:hAnsi="Times New Roman" w:eastAsia="宋体" w:cs="Times New Roman"/>
                      <w:b/>
                      <w:bCs/>
                      <w:color w:val="auto"/>
                      <w:sz w:val="21"/>
                      <w:lang w:val="en-US" w:eastAsia="zh-CN"/>
                    </w:rPr>
                  </w:pPr>
                  <w:r>
                    <w:rPr>
                      <w:rFonts w:hint="eastAsia" w:ascii="Times New Roman" w:hAnsi="Times New Roman" w:eastAsia="宋体" w:cs="Times New Roman"/>
                      <w:b/>
                      <w:bCs/>
                      <w:color w:val="auto"/>
                      <w:sz w:val="21"/>
                      <w:lang w:val="en-US" w:eastAsia="zh-CN"/>
                    </w:rPr>
                    <w:t>昆明市大气污染防治条例</w:t>
                  </w:r>
                </w:p>
              </w:tc>
              <w:tc>
                <w:tcPr>
                  <w:tcW w:w="2148" w:type="pct"/>
                  <w:noWrap w:val="0"/>
                  <w:vAlign w:val="center"/>
                </w:tcPr>
                <w:p w14:paraId="20BD991E">
                  <w:pPr>
                    <w:pStyle w:val="33"/>
                    <w:pageBreakBefore w:val="0"/>
                    <w:kinsoku/>
                    <w:wordWrap w:val="0"/>
                    <w:overflowPunct/>
                    <w:bidi w:val="0"/>
                    <w:jc w:val="center"/>
                    <w:rPr>
                      <w:rFonts w:hint="eastAsia" w:ascii="Times New Roman" w:hAnsi="Times New Roman" w:eastAsia="宋体" w:cs="Times New Roman"/>
                      <w:b/>
                      <w:bCs/>
                      <w:color w:val="auto"/>
                      <w:sz w:val="21"/>
                      <w:lang w:val="en-US" w:eastAsia="zh-CN"/>
                    </w:rPr>
                  </w:pPr>
                  <w:r>
                    <w:rPr>
                      <w:rFonts w:hint="eastAsia" w:ascii="Times New Roman" w:hAnsi="Times New Roman" w:eastAsia="宋体" w:cs="Times New Roman"/>
                      <w:b/>
                      <w:bCs/>
                      <w:color w:val="auto"/>
                      <w:sz w:val="21"/>
                      <w:lang w:val="en-US" w:eastAsia="zh-CN"/>
                    </w:rPr>
                    <w:t>本项目指标</w:t>
                  </w:r>
                </w:p>
              </w:tc>
              <w:tc>
                <w:tcPr>
                  <w:tcW w:w="667" w:type="pct"/>
                  <w:noWrap w:val="0"/>
                  <w:vAlign w:val="center"/>
                </w:tcPr>
                <w:p w14:paraId="24D710C6">
                  <w:pPr>
                    <w:pStyle w:val="33"/>
                    <w:pageBreakBefore w:val="0"/>
                    <w:kinsoku/>
                    <w:wordWrap w:val="0"/>
                    <w:overflowPunct/>
                    <w:bidi w:val="0"/>
                    <w:jc w:val="center"/>
                    <w:rPr>
                      <w:rFonts w:hint="eastAsia" w:ascii="Times New Roman" w:hAnsi="Times New Roman" w:eastAsia="宋体" w:cs="Times New Roman"/>
                      <w:b/>
                      <w:bCs/>
                      <w:color w:val="auto"/>
                      <w:sz w:val="21"/>
                      <w:lang w:val="en-US" w:eastAsia="zh-CN"/>
                    </w:rPr>
                  </w:pPr>
                  <w:r>
                    <w:rPr>
                      <w:rFonts w:hint="eastAsia" w:ascii="Times New Roman" w:hAnsi="Times New Roman" w:eastAsia="宋体" w:cs="Times New Roman"/>
                      <w:b/>
                      <w:bCs/>
                      <w:color w:val="auto"/>
                      <w:sz w:val="21"/>
                      <w:lang w:val="en-US" w:eastAsia="zh-CN"/>
                    </w:rPr>
                    <w:t>符合性</w:t>
                  </w:r>
                </w:p>
              </w:tc>
            </w:tr>
            <w:tr w14:paraId="36C60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6" w:hRule="atLeast"/>
                <w:jc w:val="center"/>
              </w:trPr>
              <w:tc>
                <w:tcPr>
                  <w:tcW w:w="2184" w:type="pct"/>
                  <w:noWrap w:val="0"/>
                  <w:vAlign w:val="center"/>
                </w:tcPr>
                <w:p w14:paraId="382D476E">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第二章大气污染防治的监督管理</w:t>
                  </w:r>
                </w:p>
                <w:p w14:paraId="58ACE388">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第十一条按照国家有关规定依法实行排污许可管理的单位，应当取得排污许可证，并按照排污许可证的规定排放大气污染物，禁止无排污许可证或者不按照排污许可证的规定排放大气污染物。</w:t>
                  </w:r>
                </w:p>
              </w:tc>
              <w:tc>
                <w:tcPr>
                  <w:tcW w:w="2148" w:type="pct"/>
                  <w:noWrap w:val="0"/>
                  <w:vAlign w:val="center"/>
                </w:tcPr>
                <w:p w14:paraId="1692E363">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val="en-US" w:eastAsia="zh-CN"/>
                    </w:rPr>
                    <w:t>待取得环评批复后，将及时按照相关要求办理排污许可证</w:t>
                  </w:r>
                  <w:r>
                    <w:rPr>
                      <w:rFonts w:hint="eastAsia" w:ascii="Times New Roman" w:hAnsi="Times New Roman" w:eastAsia="宋体" w:cs="Times New Roman"/>
                      <w:color w:val="auto"/>
                      <w:sz w:val="21"/>
                      <w:szCs w:val="21"/>
                      <w:highlight w:val="none"/>
                    </w:rPr>
                    <w:t>。</w:t>
                  </w:r>
                </w:p>
              </w:tc>
              <w:tc>
                <w:tcPr>
                  <w:tcW w:w="667" w:type="pct"/>
                  <w:noWrap w:val="0"/>
                  <w:vAlign w:val="center"/>
                </w:tcPr>
                <w:p w14:paraId="703FEBB5">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符合</w:t>
                  </w:r>
                </w:p>
              </w:tc>
            </w:tr>
            <w:tr w14:paraId="0AE4D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0" w:hRule="atLeast"/>
                <w:jc w:val="center"/>
              </w:trPr>
              <w:tc>
                <w:tcPr>
                  <w:tcW w:w="2184" w:type="pct"/>
                  <w:noWrap w:val="0"/>
                  <w:vAlign w:val="center"/>
                </w:tcPr>
                <w:p w14:paraId="67230BAB">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第二章大气污染防治的监督管理</w:t>
                  </w:r>
                </w:p>
                <w:p w14:paraId="16CA041E">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第十二条禁止排放超过排放标准或者超过重点大气污染物排放总量控制指标的大气污染物</w:t>
                  </w:r>
                </w:p>
              </w:tc>
              <w:tc>
                <w:tcPr>
                  <w:tcW w:w="2148" w:type="pct"/>
                  <w:noWrap w:val="0"/>
                  <w:vAlign w:val="center"/>
                </w:tcPr>
                <w:p w14:paraId="00032D55">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本项目排放的大气污染物为颗粒物，颗粒物不属于重点大气污染物，且无组织排放能达到《煤炭工业污染物排放标准》（GB20426-2006）表5规定限值</w:t>
                  </w:r>
                  <w:r>
                    <w:rPr>
                      <w:rFonts w:hint="eastAsia" w:ascii="Times New Roman" w:hAnsi="Times New Roman" w:eastAsia="宋体" w:cs="Times New Roman"/>
                      <w:color w:val="auto"/>
                      <w:sz w:val="21"/>
                      <w:szCs w:val="21"/>
                      <w:highlight w:val="none"/>
                      <w:lang w:val="en-US" w:eastAsia="zh-CN"/>
                    </w:rPr>
                    <w:t>。</w:t>
                  </w:r>
                </w:p>
              </w:tc>
              <w:tc>
                <w:tcPr>
                  <w:tcW w:w="667" w:type="pct"/>
                  <w:noWrap w:val="0"/>
                  <w:vAlign w:val="center"/>
                </w:tcPr>
                <w:p w14:paraId="5BF87CD0">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符合</w:t>
                  </w:r>
                </w:p>
              </w:tc>
            </w:tr>
            <w:tr w14:paraId="2516C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0" w:hRule="atLeast"/>
                <w:jc w:val="center"/>
              </w:trPr>
              <w:tc>
                <w:tcPr>
                  <w:tcW w:w="2184" w:type="pct"/>
                  <w:noWrap w:val="0"/>
                  <w:vAlign w:val="center"/>
                </w:tcPr>
                <w:p w14:paraId="324E14BC">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第二章大气污染防治的监督管理</w:t>
                  </w:r>
                </w:p>
                <w:p w14:paraId="41970AEE">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第十五条排放大气污染物的企业事业单位和其他生产经营者应当加强精细化管理，严格按照有关规定，配套建设、使用和维护大气污染防治装备</w:t>
                  </w:r>
                </w:p>
              </w:tc>
              <w:tc>
                <w:tcPr>
                  <w:tcW w:w="2148" w:type="pct"/>
                  <w:noWrap w:val="0"/>
                  <w:vAlign w:val="center"/>
                </w:tcPr>
                <w:p w14:paraId="1ADC4B05">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rPr>
                    <w:t>本项目设置全封闭</w:t>
                  </w:r>
                  <w:r>
                    <w:rPr>
                      <w:rFonts w:hint="eastAsia" w:ascii="Times New Roman" w:hAnsi="Times New Roman" w:eastAsia="宋体" w:cs="Times New Roman"/>
                      <w:color w:val="auto"/>
                      <w:sz w:val="21"/>
                      <w:szCs w:val="21"/>
                      <w:highlight w:val="none"/>
                      <w:lang w:val="en-US" w:eastAsia="zh-CN"/>
                    </w:rPr>
                    <w:t>堆煤棚及晾晒棚</w:t>
                  </w:r>
                  <w:r>
                    <w:rPr>
                      <w:rFonts w:hint="eastAsia" w:ascii="Times New Roman" w:hAnsi="Times New Roman" w:eastAsia="宋体" w:cs="Times New Roman"/>
                      <w:color w:val="auto"/>
                      <w:sz w:val="21"/>
                      <w:szCs w:val="21"/>
                      <w:highlight w:val="none"/>
                    </w:rPr>
                    <w:t>，只留设进出口，煤炭装、卸过程均</w:t>
                  </w:r>
                  <w:r>
                    <w:rPr>
                      <w:rFonts w:hint="eastAsia" w:ascii="Times New Roman" w:hAnsi="Times New Roman" w:eastAsia="宋体" w:cs="Times New Roman"/>
                      <w:color w:val="auto"/>
                      <w:sz w:val="21"/>
                      <w:szCs w:val="21"/>
                      <w:highlight w:val="none"/>
                      <w:lang w:val="en-US" w:eastAsia="zh-CN"/>
                    </w:rPr>
                    <w:t>棚内进行</w:t>
                  </w:r>
                  <w:r>
                    <w:rPr>
                      <w:rFonts w:hint="eastAsia" w:ascii="Times New Roman" w:hAnsi="Times New Roman" w:eastAsia="宋体" w:cs="Times New Roman"/>
                      <w:color w:val="auto"/>
                      <w:sz w:val="21"/>
                      <w:szCs w:val="21"/>
                      <w:highlight w:val="none"/>
                    </w:rPr>
                    <w:t>，地面硬化，并配备洒水</w:t>
                  </w:r>
                  <w:r>
                    <w:rPr>
                      <w:rFonts w:hint="eastAsia" w:ascii="Times New Roman" w:hAnsi="Times New Roman" w:eastAsia="宋体" w:cs="Times New Roman"/>
                      <w:color w:val="auto"/>
                      <w:sz w:val="21"/>
                      <w:szCs w:val="21"/>
                      <w:highlight w:val="none"/>
                      <w:lang w:val="en-US" w:eastAsia="zh-CN"/>
                    </w:rPr>
                    <w:t>车</w:t>
                  </w:r>
                  <w:r>
                    <w:rPr>
                      <w:rFonts w:hint="eastAsia" w:ascii="Times New Roman" w:hAnsi="Times New Roman" w:eastAsia="宋体" w:cs="Times New Roman"/>
                      <w:color w:val="auto"/>
                      <w:sz w:val="21"/>
                      <w:szCs w:val="21"/>
                      <w:highlight w:val="none"/>
                    </w:rPr>
                    <w:t>对厂区地面及厂区外道路洒水降尘，通过以上措施有效控制粉尘排放</w:t>
                  </w:r>
                  <w:r>
                    <w:rPr>
                      <w:rFonts w:hint="eastAsia" w:ascii="Times New Roman" w:hAnsi="Times New Roman" w:eastAsia="宋体" w:cs="Times New Roman"/>
                      <w:color w:val="auto"/>
                      <w:sz w:val="21"/>
                      <w:szCs w:val="21"/>
                      <w:highlight w:val="none"/>
                      <w:lang w:eastAsia="zh-CN"/>
                    </w:rPr>
                    <w:t>。</w:t>
                  </w:r>
                </w:p>
              </w:tc>
              <w:tc>
                <w:tcPr>
                  <w:tcW w:w="667" w:type="pct"/>
                  <w:noWrap w:val="0"/>
                  <w:vAlign w:val="center"/>
                </w:tcPr>
                <w:p w14:paraId="73FD7B03">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符合</w:t>
                  </w:r>
                </w:p>
              </w:tc>
            </w:tr>
            <w:tr w14:paraId="73923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0" w:hRule="atLeast"/>
                <w:jc w:val="center"/>
              </w:trPr>
              <w:tc>
                <w:tcPr>
                  <w:tcW w:w="2184" w:type="pct"/>
                  <w:noWrap w:val="0"/>
                  <w:vAlign w:val="center"/>
                </w:tcPr>
                <w:p w14:paraId="6BB4DF8A">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第三章大气污染防治措施第二十五条在禁燃区内，禁止销售、燃用高污染燃料；禁止新建、扩建燃用高污染燃料的设施，已建成的，应当在规定的期限内改用天然气、液化石油气、电或者其他清洁能源</w:t>
                  </w:r>
                </w:p>
              </w:tc>
              <w:tc>
                <w:tcPr>
                  <w:tcW w:w="2148" w:type="pct"/>
                  <w:noWrap w:val="0"/>
                  <w:vAlign w:val="center"/>
                </w:tcPr>
                <w:p w14:paraId="758A42EB">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0000FF"/>
                      <w:sz w:val="21"/>
                      <w:szCs w:val="21"/>
                      <w:highlight w:val="none"/>
                    </w:rPr>
                    <w:t>本项目</w:t>
                  </w:r>
                  <w:r>
                    <w:rPr>
                      <w:rFonts w:hint="eastAsia" w:cs="Times New Roman"/>
                      <w:color w:val="0000FF"/>
                      <w:sz w:val="21"/>
                      <w:szCs w:val="21"/>
                      <w:highlight w:val="none"/>
                      <w:lang w:val="en-US" w:eastAsia="zh-CN"/>
                    </w:rPr>
                    <w:t>位于昆明市寻甸县金所街道三月三路中段，不属于禁燃区，</w:t>
                  </w:r>
                  <w:r>
                    <w:rPr>
                      <w:rFonts w:hint="eastAsia" w:ascii="Times New Roman" w:hAnsi="Times New Roman" w:eastAsia="宋体" w:cs="Times New Roman"/>
                      <w:color w:val="auto"/>
                      <w:sz w:val="21"/>
                      <w:szCs w:val="21"/>
                      <w:highlight w:val="none"/>
                    </w:rPr>
                    <w:t>生产、生活过程中使用电能，不使用高污染燃料</w:t>
                  </w:r>
                  <w:r>
                    <w:rPr>
                      <w:rFonts w:hint="eastAsia" w:ascii="Times New Roman" w:hAnsi="Times New Roman" w:eastAsia="宋体" w:cs="Times New Roman"/>
                      <w:color w:val="auto"/>
                      <w:sz w:val="21"/>
                      <w:szCs w:val="21"/>
                      <w:highlight w:val="none"/>
                      <w:lang w:eastAsia="zh-CN"/>
                    </w:rPr>
                    <w:t>。</w:t>
                  </w:r>
                </w:p>
              </w:tc>
              <w:tc>
                <w:tcPr>
                  <w:tcW w:w="667" w:type="pct"/>
                  <w:noWrap w:val="0"/>
                  <w:vAlign w:val="center"/>
                </w:tcPr>
                <w:p w14:paraId="3657C8B2">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符合</w:t>
                  </w:r>
                </w:p>
              </w:tc>
            </w:tr>
            <w:tr w14:paraId="29A63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0" w:hRule="atLeast"/>
                <w:jc w:val="center"/>
              </w:trPr>
              <w:tc>
                <w:tcPr>
                  <w:tcW w:w="2184" w:type="pct"/>
                  <w:noWrap w:val="0"/>
                  <w:vAlign w:val="center"/>
                </w:tcPr>
                <w:p w14:paraId="6C401C02">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第三章大气污染防治措施第二十七条生产</w:t>
                  </w:r>
                  <w:r>
                    <w:rPr>
                      <w:rFonts w:hint="eastAsia" w:ascii="Times New Roman" w:hAnsi="Times New Roman" w:eastAsia="宋体" w:cs="Times New Roman"/>
                      <w:color w:val="auto"/>
                      <w:sz w:val="21"/>
                      <w:szCs w:val="21"/>
                      <w:highlight w:val="none"/>
                    </w:rPr>
                    <w:cr/>
                  </w:r>
                  <w:r>
                    <w:rPr>
                      <w:rFonts w:hint="eastAsia" w:ascii="Times New Roman" w:hAnsi="Times New Roman" w:eastAsia="宋体" w:cs="Times New Roman"/>
                      <w:color w:val="auto"/>
                      <w:sz w:val="21"/>
                      <w:szCs w:val="21"/>
                      <w:highlight w:val="none"/>
                    </w:rPr>
                    <w:t>进口、销售和使用含挥发性有机物原材料和产品的，其挥发性有机物含量应当符合质量标准或者要求</w:t>
                  </w:r>
                </w:p>
              </w:tc>
              <w:tc>
                <w:tcPr>
                  <w:tcW w:w="2148" w:type="pct"/>
                  <w:noWrap w:val="0"/>
                  <w:vAlign w:val="center"/>
                </w:tcPr>
                <w:p w14:paraId="58B4A863">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本项目生产过程中不使用含挥发性有机物的原材料和产品</w:t>
                  </w:r>
                  <w:r>
                    <w:rPr>
                      <w:rFonts w:hint="eastAsia" w:ascii="Times New Roman" w:hAnsi="Times New Roman" w:eastAsia="宋体" w:cs="Times New Roman"/>
                      <w:color w:val="auto"/>
                      <w:sz w:val="21"/>
                      <w:szCs w:val="21"/>
                      <w:highlight w:val="none"/>
                      <w:lang w:eastAsia="zh-CN"/>
                    </w:rPr>
                    <w:t>。</w:t>
                  </w:r>
                </w:p>
              </w:tc>
              <w:tc>
                <w:tcPr>
                  <w:tcW w:w="667" w:type="pct"/>
                  <w:noWrap w:val="0"/>
                  <w:vAlign w:val="center"/>
                </w:tcPr>
                <w:p w14:paraId="66C1AE61">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符合</w:t>
                  </w:r>
                </w:p>
              </w:tc>
            </w:tr>
            <w:tr w14:paraId="45C72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0" w:hRule="atLeast"/>
                <w:jc w:val="center"/>
              </w:trPr>
              <w:tc>
                <w:tcPr>
                  <w:tcW w:w="2184" w:type="pct"/>
                  <w:noWrap w:val="0"/>
                  <w:vAlign w:val="center"/>
                </w:tcPr>
                <w:p w14:paraId="2C8AD839">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第三章大气污染防治措施</w:t>
                  </w:r>
                </w:p>
                <w:p w14:paraId="756C18FD">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第三十七条运输煤炭、垃圾、渣土、砂石、土方、灰浆等散装、流体物料的车辆应当采取密闭或者其他措施防止物料遗撒造成扬尘污染，并按照规定路线</w:t>
                  </w:r>
                  <w:r>
                    <w:rPr>
                      <w:rFonts w:hint="eastAsia" w:ascii="Times New Roman" w:hAnsi="Times New Roman" w:eastAsia="宋体" w:cs="Times New Roman"/>
                      <w:color w:val="auto"/>
                      <w:sz w:val="21"/>
                      <w:szCs w:val="21"/>
                      <w:highlight w:val="none"/>
                    </w:rPr>
                    <w:cr/>
                  </w:r>
                  <w:r>
                    <w:rPr>
                      <w:rFonts w:hint="eastAsia" w:ascii="Times New Roman" w:hAnsi="Times New Roman" w:eastAsia="宋体" w:cs="Times New Roman"/>
                      <w:color w:val="auto"/>
                      <w:sz w:val="21"/>
                      <w:szCs w:val="21"/>
                      <w:highlight w:val="none"/>
                    </w:rPr>
                    <w:t>时间行驶。</w:t>
                  </w:r>
                </w:p>
              </w:tc>
              <w:tc>
                <w:tcPr>
                  <w:tcW w:w="2148" w:type="pct"/>
                  <w:noWrap w:val="0"/>
                  <w:vAlign w:val="center"/>
                </w:tcPr>
                <w:p w14:paraId="21051652">
                  <w:pPr>
                    <w:pageBreakBefore w:val="0"/>
                    <w:kinsoku/>
                    <w:wordWrap w:val="0"/>
                    <w:overflowPunct/>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本项目运煤车辆均采取加盖蓬布，车厢经常检查维修，能做到封闭运输</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并严格按照规定路线和时间行驶。</w:t>
                  </w:r>
                </w:p>
              </w:tc>
              <w:tc>
                <w:tcPr>
                  <w:tcW w:w="667" w:type="pct"/>
                  <w:noWrap w:val="0"/>
                  <w:vAlign w:val="center"/>
                </w:tcPr>
                <w:p w14:paraId="3361D9F0">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符合</w:t>
                  </w:r>
                </w:p>
              </w:tc>
            </w:tr>
            <w:tr w14:paraId="763BA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1" w:hRule="atLeast"/>
                <w:jc w:val="center"/>
              </w:trPr>
              <w:tc>
                <w:tcPr>
                  <w:tcW w:w="2184" w:type="pct"/>
                  <w:noWrap w:val="0"/>
                  <w:vAlign w:val="center"/>
                </w:tcPr>
                <w:p w14:paraId="475DACF3">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第三章大气污染防治措施第四十一条矿产资源开采、露天物料堆场等应当采用防风抑尘工艺、技术和设备，采取有效措施防治扬尘污染。</w:t>
                  </w:r>
                </w:p>
              </w:tc>
              <w:tc>
                <w:tcPr>
                  <w:tcW w:w="2148" w:type="pct"/>
                  <w:noWrap w:val="0"/>
                  <w:vAlign w:val="center"/>
                </w:tcPr>
                <w:p w14:paraId="2C3B78E0">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本项目设置全封闭</w:t>
                  </w:r>
                  <w:r>
                    <w:rPr>
                      <w:rFonts w:hint="eastAsia" w:ascii="Times New Roman" w:hAnsi="Times New Roman" w:eastAsia="宋体" w:cs="Times New Roman"/>
                      <w:color w:val="auto"/>
                      <w:sz w:val="21"/>
                      <w:szCs w:val="21"/>
                      <w:highlight w:val="none"/>
                      <w:lang w:val="en-US" w:eastAsia="zh-CN"/>
                    </w:rPr>
                    <w:t>堆煤棚及晾晒棚</w:t>
                  </w:r>
                  <w:r>
                    <w:rPr>
                      <w:rFonts w:hint="eastAsia" w:ascii="Times New Roman" w:hAnsi="Times New Roman" w:eastAsia="宋体" w:cs="Times New Roman"/>
                      <w:color w:val="auto"/>
                      <w:sz w:val="21"/>
                      <w:szCs w:val="21"/>
                      <w:highlight w:val="none"/>
                    </w:rPr>
                    <w:t>，只留设进出口，煤炭装、卸过程均</w:t>
                  </w:r>
                  <w:r>
                    <w:rPr>
                      <w:rFonts w:hint="eastAsia" w:ascii="Times New Roman" w:hAnsi="Times New Roman" w:eastAsia="宋体" w:cs="Times New Roman"/>
                      <w:color w:val="auto"/>
                      <w:sz w:val="21"/>
                      <w:szCs w:val="21"/>
                      <w:highlight w:val="none"/>
                      <w:lang w:val="en-US" w:eastAsia="zh-CN"/>
                    </w:rPr>
                    <w:t>棚内进行</w:t>
                  </w:r>
                  <w:r>
                    <w:rPr>
                      <w:rFonts w:hint="eastAsia" w:ascii="Times New Roman" w:hAnsi="Times New Roman" w:eastAsia="宋体" w:cs="Times New Roman"/>
                      <w:color w:val="auto"/>
                      <w:sz w:val="21"/>
                      <w:szCs w:val="21"/>
                      <w:highlight w:val="none"/>
                    </w:rPr>
                    <w:t>，地面硬化，并配备洒水</w:t>
                  </w:r>
                  <w:r>
                    <w:rPr>
                      <w:rFonts w:hint="eastAsia" w:ascii="Times New Roman" w:hAnsi="Times New Roman" w:eastAsia="宋体" w:cs="Times New Roman"/>
                      <w:color w:val="auto"/>
                      <w:sz w:val="21"/>
                      <w:szCs w:val="21"/>
                      <w:highlight w:val="none"/>
                      <w:lang w:val="en-US" w:eastAsia="zh-CN"/>
                    </w:rPr>
                    <w:t>车</w:t>
                  </w:r>
                  <w:r>
                    <w:rPr>
                      <w:rFonts w:hint="eastAsia" w:ascii="Times New Roman" w:hAnsi="Times New Roman" w:eastAsia="宋体" w:cs="Times New Roman"/>
                      <w:color w:val="auto"/>
                      <w:sz w:val="21"/>
                      <w:szCs w:val="21"/>
                      <w:highlight w:val="none"/>
                    </w:rPr>
                    <w:t>对厂区地面及厂区外道路洒水降尘，通过以上措施有效控制粉尘排放</w:t>
                  </w:r>
                  <w:r>
                    <w:rPr>
                      <w:rFonts w:hint="eastAsia" w:ascii="Times New Roman" w:hAnsi="Times New Roman" w:eastAsia="宋体" w:cs="Times New Roman"/>
                      <w:color w:val="auto"/>
                      <w:sz w:val="21"/>
                      <w:szCs w:val="21"/>
                      <w:highlight w:val="none"/>
                      <w:lang w:eastAsia="zh-CN"/>
                    </w:rPr>
                    <w:t>。</w:t>
                  </w:r>
                </w:p>
              </w:tc>
              <w:tc>
                <w:tcPr>
                  <w:tcW w:w="667" w:type="pct"/>
                  <w:noWrap w:val="0"/>
                  <w:vAlign w:val="center"/>
                </w:tcPr>
                <w:p w14:paraId="4B87EBC6">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符合</w:t>
                  </w:r>
                </w:p>
              </w:tc>
            </w:tr>
          </w:tbl>
          <w:p w14:paraId="38568452">
            <w:pPr>
              <w:pageBreakBefore w:val="0"/>
              <w:kinsoku/>
              <w:wordWrap w:val="0"/>
              <w:overflowPunct/>
              <w:bidi w:val="0"/>
              <w:spacing w:line="360" w:lineRule="auto"/>
              <w:ind w:firstLine="480"/>
              <w:rPr>
                <w:rFonts w:ascii="Times New Roman" w:hAnsi="Times New Roman" w:eastAsia="宋体" w:cs="Times New Roman"/>
                <w:bCs/>
                <w:color w:val="auto"/>
                <w:kern w:val="0"/>
                <w:sz w:val="24"/>
                <w:szCs w:val="24"/>
                <w:lang w:val="en-US" w:eastAsia="zh-CN" w:bidi="ar-SA"/>
              </w:rPr>
            </w:pPr>
            <w:r>
              <w:rPr>
                <w:rFonts w:ascii="Times New Roman" w:hAnsi="Times New Roman" w:eastAsia="宋体" w:cs="Times New Roman"/>
                <w:bCs/>
                <w:color w:val="auto"/>
                <w:kern w:val="0"/>
                <w:sz w:val="24"/>
                <w:szCs w:val="24"/>
                <w:lang w:val="en-US" w:eastAsia="zh-CN" w:bidi="ar-SA"/>
              </w:rPr>
              <w:t>综上，项目与《昆明市大气污染防治条例》相符合。</w:t>
            </w:r>
          </w:p>
          <w:p w14:paraId="6297D562">
            <w:pPr>
              <w:pStyle w:val="3"/>
              <w:pageBreakBefore w:val="0"/>
              <w:kinsoku/>
              <w:wordWrap w:val="0"/>
              <w:overflowPunct/>
              <w:bidi w:val="0"/>
              <w:spacing w:line="360" w:lineRule="auto"/>
              <w:jc w:val="both"/>
              <w:rPr>
                <w:rFonts w:ascii="Times New Roman" w:hAnsi="Times New Roman" w:eastAsia="宋体" w:cs="宋体"/>
                <w:b/>
                <w:bCs/>
                <w:color w:val="auto"/>
                <w:spacing w:val="-5"/>
                <w:kern w:val="2"/>
                <w:sz w:val="24"/>
                <w:szCs w:val="24"/>
                <w:lang w:val="en-US" w:eastAsia="en-US" w:bidi="ar-SA"/>
              </w:rPr>
            </w:pPr>
            <w:r>
              <w:rPr>
                <w:rFonts w:hint="eastAsia" w:ascii="Times New Roman" w:hAnsi="Times New Roman" w:eastAsia="宋体" w:cs="宋体"/>
                <w:b/>
                <w:bCs/>
                <w:color w:val="auto"/>
                <w:spacing w:val="-5"/>
                <w:kern w:val="2"/>
                <w:sz w:val="24"/>
                <w:szCs w:val="24"/>
                <w:lang w:val="en-US" w:eastAsia="zh-CN" w:bidi="ar-SA"/>
              </w:rPr>
              <w:t>12、</w:t>
            </w:r>
            <w:r>
              <w:rPr>
                <w:rFonts w:ascii="Times New Roman" w:hAnsi="Times New Roman" w:eastAsia="宋体" w:cs="宋体"/>
                <w:b/>
                <w:bCs/>
                <w:color w:val="auto"/>
                <w:spacing w:val="-5"/>
                <w:kern w:val="2"/>
                <w:sz w:val="24"/>
                <w:szCs w:val="24"/>
                <w:lang w:val="en-US" w:eastAsia="en-US" w:bidi="ar-SA"/>
              </w:rPr>
              <w:t>与《云南省空气质量持续改善行动实施方案》（云政发〔2024〕14号）符合性分析</w:t>
            </w:r>
          </w:p>
          <w:p w14:paraId="2DF713CB">
            <w:pPr>
              <w:pageBreakBefore w:val="0"/>
              <w:kinsoku/>
              <w:wordWrap w:val="0"/>
              <w:overflowPunct/>
              <w:bidi w:val="0"/>
              <w:spacing w:line="360" w:lineRule="auto"/>
              <w:ind w:firstLine="480"/>
              <w:rPr>
                <w:rFonts w:ascii="Times New Roman" w:hAnsi="Times New Roman" w:eastAsia="宋体" w:cs="Times New Roman"/>
                <w:bCs/>
                <w:color w:val="auto"/>
                <w:kern w:val="0"/>
                <w:sz w:val="24"/>
                <w:szCs w:val="24"/>
                <w:lang w:val="en-US" w:eastAsia="zh-CN" w:bidi="ar-SA"/>
              </w:rPr>
            </w:pPr>
            <w:r>
              <w:rPr>
                <w:rFonts w:ascii="Times New Roman" w:hAnsi="Times New Roman" w:eastAsia="宋体" w:cs="Times New Roman"/>
                <w:bCs/>
                <w:color w:val="auto"/>
                <w:kern w:val="0"/>
                <w:sz w:val="24"/>
                <w:szCs w:val="24"/>
                <w:lang w:val="en-US" w:eastAsia="zh-CN" w:bidi="ar-SA"/>
              </w:rPr>
              <w:t>2024年4月23日，云南省人民政府印发《云南省空气质量持续改善行动实施方案》（云政发〔2024〕14号），项目与《云南省空气质量持续改善行动实施方案》相符性分析判定情况见下表</w:t>
            </w:r>
            <w:r>
              <w:rPr>
                <w:rFonts w:hint="eastAsia" w:cs="Times New Roman"/>
                <w:bCs/>
                <w:color w:val="auto"/>
                <w:kern w:val="0"/>
                <w:sz w:val="24"/>
                <w:szCs w:val="24"/>
                <w:lang w:val="en-US" w:eastAsia="zh-CN" w:bidi="ar-SA"/>
              </w:rPr>
              <w:t>所示</w:t>
            </w:r>
            <w:r>
              <w:rPr>
                <w:rFonts w:hint="eastAsia" w:ascii="Times New Roman" w:hAnsi="Times New Roman" w:eastAsia="宋体" w:cs="Times New Roman"/>
                <w:bCs/>
                <w:color w:val="auto"/>
                <w:kern w:val="0"/>
                <w:sz w:val="24"/>
                <w:szCs w:val="24"/>
                <w:lang w:val="en-US" w:eastAsia="zh-CN" w:bidi="ar-SA"/>
              </w:rPr>
              <w:t>。</w:t>
            </w:r>
          </w:p>
          <w:p w14:paraId="047116BC">
            <w:pPr>
              <w:pageBreakBefore w:val="0"/>
              <w:kinsoku/>
              <w:wordWrap w:val="0"/>
              <w:overflowPunct/>
              <w:bidi w:val="0"/>
              <w:spacing w:line="360" w:lineRule="auto"/>
              <w:jc w:val="center"/>
              <w:rPr>
                <w:rFonts w:ascii="Times New Roman" w:hAnsi="Times New Roman"/>
                <w:b/>
                <w:bCs/>
                <w:color w:val="auto"/>
                <w:sz w:val="21"/>
                <w:szCs w:val="21"/>
              </w:rPr>
            </w:pPr>
            <w:r>
              <w:rPr>
                <w:rFonts w:ascii="Times New Roman" w:hAnsi="Times New Roman"/>
                <w:b/>
                <w:bCs/>
                <w:color w:val="auto"/>
                <w:sz w:val="21"/>
                <w:szCs w:val="21"/>
              </w:rPr>
              <w:t>表</w:t>
            </w:r>
            <w:r>
              <w:rPr>
                <w:rFonts w:hint="eastAsia" w:ascii="Times New Roman" w:hAnsi="Times New Roman"/>
                <w:b/>
                <w:bCs/>
                <w:color w:val="auto"/>
                <w:sz w:val="21"/>
                <w:szCs w:val="21"/>
                <w:lang w:val="en-US" w:eastAsia="zh-CN"/>
              </w:rPr>
              <w:t>1</w:t>
            </w:r>
            <w:r>
              <w:rPr>
                <w:rFonts w:ascii="Times New Roman" w:hAnsi="Times New Roman"/>
                <w:b/>
                <w:bCs/>
                <w:color w:val="auto"/>
                <w:sz w:val="21"/>
                <w:szCs w:val="21"/>
              </w:rPr>
              <w:t>-</w:t>
            </w:r>
            <w:r>
              <w:rPr>
                <w:rFonts w:hint="eastAsia" w:ascii="Times New Roman" w:hAnsi="Times New Roman"/>
                <w:b/>
                <w:bCs/>
                <w:color w:val="auto"/>
                <w:sz w:val="21"/>
                <w:szCs w:val="21"/>
                <w:lang w:val="en-US" w:eastAsia="zh-CN"/>
              </w:rPr>
              <w:t>1</w:t>
            </w:r>
            <w:r>
              <w:rPr>
                <w:rFonts w:hint="eastAsia"/>
                <w:b/>
                <w:bCs/>
                <w:color w:val="auto"/>
                <w:sz w:val="21"/>
                <w:szCs w:val="21"/>
                <w:lang w:val="en-US" w:eastAsia="zh-CN"/>
              </w:rPr>
              <w:t>2</w:t>
            </w:r>
            <w:r>
              <w:rPr>
                <w:rFonts w:ascii="Times New Roman" w:hAnsi="Times New Roman"/>
                <w:b/>
                <w:bCs/>
                <w:color w:val="auto"/>
                <w:sz w:val="21"/>
                <w:szCs w:val="21"/>
              </w:rPr>
              <w:t xml:space="preserve"> 项目与《云南省空气质量持续改善行动实施方案》符合性分析一览表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533"/>
              <w:gridCol w:w="3595"/>
              <w:gridCol w:w="2802"/>
              <w:gridCol w:w="910"/>
            </w:tblGrid>
            <w:tr w14:paraId="62E13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632" w:type="pct"/>
                  <w:gridSpan w:val="2"/>
                  <w:noWrap w:val="0"/>
                  <w:tcMar>
                    <w:top w:w="28" w:type="dxa"/>
                    <w:left w:w="57" w:type="dxa"/>
                    <w:bottom w:w="28" w:type="dxa"/>
                    <w:right w:w="57" w:type="dxa"/>
                  </w:tcMar>
                  <w:vAlign w:val="center"/>
                </w:tcPr>
                <w:p w14:paraId="7161B982">
                  <w:pPr>
                    <w:pStyle w:val="33"/>
                    <w:pageBreakBefore w:val="0"/>
                    <w:kinsoku/>
                    <w:wordWrap w:val="0"/>
                    <w:overflowPunct/>
                    <w:bidi w:val="0"/>
                    <w:jc w:val="center"/>
                    <w:rPr>
                      <w:rFonts w:hint="eastAsia" w:ascii="Times New Roman" w:hAnsi="Times New Roman" w:eastAsia="宋体" w:cs="Times New Roman"/>
                      <w:b/>
                      <w:bCs/>
                      <w:color w:val="auto"/>
                      <w:sz w:val="21"/>
                      <w:lang w:val="en-US" w:eastAsia="zh-CN"/>
                    </w:rPr>
                  </w:pPr>
                  <w:r>
                    <w:rPr>
                      <w:rFonts w:hint="eastAsia" w:ascii="Times New Roman" w:hAnsi="Times New Roman" w:eastAsia="宋体" w:cs="Times New Roman"/>
                      <w:b/>
                      <w:bCs/>
                      <w:color w:val="auto"/>
                      <w:sz w:val="21"/>
                      <w:lang w:val="en-US" w:eastAsia="zh-CN"/>
                    </w:rPr>
                    <w:t>方案要求（摘录）</w:t>
                  </w:r>
                </w:p>
              </w:tc>
              <w:tc>
                <w:tcPr>
                  <w:tcW w:w="1786" w:type="pct"/>
                  <w:noWrap w:val="0"/>
                  <w:tcMar>
                    <w:top w:w="28" w:type="dxa"/>
                    <w:left w:w="57" w:type="dxa"/>
                    <w:bottom w:w="28" w:type="dxa"/>
                    <w:right w:w="57" w:type="dxa"/>
                  </w:tcMar>
                  <w:vAlign w:val="center"/>
                </w:tcPr>
                <w:p w14:paraId="0B0B9A8E">
                  <w:pPr>
                    <w:pStyle w:val="33"/>
                    <w:pageBreakBefore w:val="0"/>
                    <w:kinsoku/>
                    <w:wordWrap w:val="0"/>
                    <w:overflowPunct/>
                    <w:bidi w:val="0"/>
                    <w:jc w:val="center"/>
                    <w:rPr>
                      <w:rFonts w:hint="eastAsia" w:ascii="Times New Roman" w:hAnsi="Times New Roman" w:eastAsia="宋体" w:cs="Times New Roman"/>
                      <w:b/>
                      <w:bCs/>
                      <w:color w:val="auto"/>
                      <w:sz w:val="21"/>
                      <w:lang w:val="en-US" w:eastAsia="zh-CN"/>
                    </w:rPr>
                  </w:pPr>
                  <w:r>
                    <w:rPr>
                      <w:rFonts w:hint="eastAsia" w:ascii="Times New Roman" w:hAnsi="Times New Roman" w:eastAsia="宋体" w:cs="Times New Roman"/>
                      <w:b/>
                      <w:bCs/>
                      <w:color w:val="auto"/>
                      <w:sz w:val="21"/>
                      <w:lang w:val="en-US" w:eastAsia="zh-CN"/>
                    </w:rPr>
                    <w:t>本项目实际情况</w:t>
                  </w:r>
                </w:p>
              </w:tc>
              <w:tc>
                <w:tcPr>
                  <w:tcW w:w="580" w:type="pct"/>
                  <w:noWrap w:val="0"/>
                  <w:tcMar>
                    <w:top w:w="28" w:type="dxa"/>
                    <w:left w:w="57" w:type="dxa"/>
                    <w:bottom w:w="28" w:type="dxa"/>
                    <w:right w:w="57" w:type="dxa"/>
                  </w:tcMar>
                  <w:vAlign w:val="center"/>
                </w:tcPr>
                <w:p w14:paraId="360A336E">
                  <w:pPr>
                    <w:pStyle w:val="33"/>
                    <w:pageBreakBefore w:val="0"/>
                    <w:kinsoku/>
                    <w:wordWrap w:val="0"/>
                    <w:overflowPunct/>
                    <w:bidi w:val="0"/>
                    <w:jc w:val="center"/>
                    <w:rPr>
                      <w:rFonts w:hint="eastAsia" w:ascii="Times New Roman" w:hAnsi="Times New Roman" w:eastAsia="宋体" w:cs="Times New Roman"/>
                      <w:b/>
                      <w:bCs/>
                      <w:color w:val="auto"/>
                      <w:sz w:val="21"/>
                      <w:lang w:val="en-US" w:eastAsia="zh-CN"/>
                    </w:rPr>
                  </w:pPr>
                  <w:r>
                    <w:rPr>
                      <w:rFonts w:hint="eastAsia" w:ascii="Times New Roman" w:hAnsi="Times New Roman" w:eastAsia="宋体" w:cs="Times New Roman"/>
                      <w:b/>
                      <w:bCs/>
                      <w:color w:val="auto"/>
                      <w:sz w:val="21"/>
                      <w:lang w:val="en-US" w:eastAsia="zh-CN"/>
                    </w:rPr>
                    <w:t>符合性</w:t>
                  </w:r>
                </w:p>
              </w:tc>
            </w:tr>
            <w:tr w14:paraId="01B81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340" w:type="pct"/>
                  <w:vMerge w:val="restart"/>
                  <w:noWrap w:val="0"/>
                  <w:tcMar>
                    <w:top w:w="28" w:type="dxa"/>
                    <w:left w:w="57" w:type="dxa"/>
                    <w:bottom w:w="28" w:type="dxa"/>
                    <w:right w:w="57" w:type="dxa"/>
                  </w:tcMar>
                  <w:vAlign w:val="center"/>
                </w:tcPr>
                <w:p w14:paraId="0ED398A5">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二、优化产业结构</w:t>
                  </w:r>
                </w:p>
              </w:tc>
              <w:tc>
                <w:tcPr>
                  <w:tcW w:w="2292" w:type="pct"/>
                  <w:noWrap w:val="0"/>
                  <w:tcMar>
                    <w:top w:w="28" w:type="dxa"/>
                    <w:left w:w="57" w:type="dxa"/>
                    <w:bottom w:w="28" w:type="dxa"/>
                    <w:right w:w="57" w:type="dxa"/>
                  </w:tcMar>
                  <w:vAlign w:val="center"/>
                </w:tcPr>
                <w:p w14:paraId="603962AD">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一）坚决遏制“两高一低”项目盲目上马。新改扩建项目严格落实国家和省产业规划、产业政策、生态环境分区管控方案、规划环评、项目环评、节能审查、产能置换、重点污染物总量控制、污染物排放区域削减、碳排放达峰目标等相关要求，原则上采用清洁运输方式。加快推进钢铁产业转型升级，鼓励钢铁、焦化、烧结一体化布局，减少独立焦化、烧结、球团和热轧企业及工序。到2025年，短流程炼钢产量占比达15%。</w:t>
                  </w:r>
                </w:p>
              </w:tc>
              <w:tc>
                <w:tcPr>
                  <w:tcW w:w="1786" w:type="pct"/>
                  <w:noWrap w:val="0"/>
                  <w:tcMar>
                    <w:top w:w="28" w:type="dxa"/>
                    <w:left w:w="57" w:type="dxa"/>
                    <w:bottom w:w="28" w:type="dxa"/>
                    <w:right w:w="57" w:type="dxa"/>
                  </w:tcMar>
                  <w:vAlign w:val="center"/>
                </w:tcPr>
                <w:p w14:paraId="3C25D13E">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u w:val="none"/>
                      <w:lang w:val="en-US" w:eastAsia="zh-CN"/>
                    </w:rPr>
                    <w:t>根据《国民经济行业分类与代码》（GB/T4754-2017），本项目属于</w:t>
                  </w:r>
                  <w:r>
                    <w:rPr>
                      <w:rFonts w:hint="eastAsia" w:cs="Times New Roman"/>
                      <w:color w:val="auto"/>
                      <w:sz w:val="21"/>
                      <w:szCs w:val="21"/>
                      <w:highlight w:val="none"/>
                      <w:u w:val="none"/>
                      <w:lang w:val="en-US" w:eastAsia="zh-CN"/>
                    </w:rPr>
                    <w:t>B0620褐煤开采洗选</w:t>
                  </w:r>
                  <w:r>
                    <w:rPr>
                      <w:rFonts w:hint="default" w:ascii="Times New Roman" w:hAnsi="Times New Roman" w:cs="Times New Roman"/>
                      <w:color w:val="auto"/>
                      <w:sz w:val="21"/>
                      <w:szCs w:val="21"/>
                      <w:highlight w:val="none"/>
                      <w:u w:val="none"/>
                      <w:lang w:val="en-US" w:eastAsia="zh-CN"/>
                    </w:rPr>
                    <w:t>，</w:t>
                  </w:r>
                  <w:r>
                    <w:rPr>
                      <w:rFonts w:hint="eastAsia" w:ascii="Times New Roman" w:hAnsi="Times New Roman" w:cs="Times New Roman"/>
                      <w:color w:val="auto"/>
                      <w:sz w:val="21"/>
                      <w:szCs w:val="21"/>
                      <w:highlight w:val="none"/>
                      <w:u w:val="none"/>
                      <w:lang w:val="en-US" w:eastAsia="zh-CN"/>
                    </w:rPr>
                    <w:t>不属于</w:t>
                  </w:r>
                  <w:r>
                    <w:rPr>
                      <w:rFonts w:hint="eastAsia" w:ascii="Times New Roman" w:hAnsi="Times New Roman" w:eastAsia="宋体" w:cs="Times New Roman"/>
                      <w:color w:val="auto"/>
                      <w:sz w:val="21"/>
                      <w:szCs w:val="21"/>
                      <w:highlight w:val="none"/>
                    </w:rPr>
                    <w:t>“两高一低”项目</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属于《产业结构调整指导目录(2024年本)》目录中的允许类项</w:t>
                  </w:r>
                  <w:r>
                    <w:rPr>
                      <w:rFonts w:hint="eastAsia" w:ascii="Times New Roman" w:hAnsi="Times New Roman" w:eastAsia="宋体" w:cs="Times New Roman"/>
                      <w:color w:val="auto"/>
                      <w:sz w:val="21"/>
                      <w:szCs w:val="21"/>
                      <w:highlight w:val="none"/>
                    </w:rPr>
                    <w:t>目，符合国家产业政策；</w:t>
                  </w:r>
                  <w:r>
                    <w:rPr>
                      <w:rFonts w:hint="default" w:ascii="Times New Roman" w:hAnsi="Times New Roman" w:cs="Times New Roman"/>
                      <w:sz w:val="21"/>
                      <w:szCs w:val="21"/>
                      <w:lang w:val="en-US" w:eastAsia="zh-CN"/>
                    </w:rPr>
                    <w:t>项目位于</w:t>
                  </w:r>
                  <w:r>
                    <w:rPr>
                      <w:rFonts w:hint="default" w:ascii="Times New Roman" w:hAnsi="Times New Roman" w:cs="Times New Roman"/>
                      <w:sz w:val="21"/>
                      <w:szCs w:val="21"/>
                      <w:u w:val="none"/>
                      <w:vertAlign w:val="baseline"/>
                      <w:lang w:val="en-US" w:eastAsia="zh-CN"/>
                    </w:rPr>
                    <w:t>昆明市</w:t>
                  </w:r>
                  <w:r>
                    <w:rPr>
                      <w:rFonts w:hint="default" w:ascii="Times New Roman" w:hAnsi="Times New Roman" w:eastAsia="宋体" w:cs="Times New Roman"/>
                      <w:sz w:val="21"/>
                      <w:szCs w:val="21"/>
                      <w:u w:val="none"/>
                      <w:vertAlign w:val="baseline"/>
                      <w:lang w:val="en-US" w:eastAsia="zh-CN"/>
                    </w:rPr>
                    <w:t>寻甸县</w:t>
                  </w:r>
                  <w:r>
                    <w:rPr>
                      <w:rFonts w:hint="default" w:ascii="Times New Roman" w:hAnsi="Times New Roman" w:cs="Times New Roman"/>
                      <w:b w:val="0"/>
                      <w:bCs w:val="0"/>
                      <w:sz w:val="21"/>
                      <w:szCs w:val="21"/>
                      <w:lang w:val="en-US" w:eastAsia="zh-CN"/>
                    </w:rPr>
                    <w:t>金所街道三月三路中段，</w:t>
                  </w:r>
                  <w:r>
                    <w:rPr>
                      <w:rFonts w:hint="eastAsia" w:ascii="Times New Roman" w:hAnsi="Times New Roman" w:eastAsia="宋体" w:cs="Times New Roman"/>
                      <w:color w:val="auto"/>
                      <w:sz w:val="21"/>
                      <w:szCs w:val="21"/>
                      <w:highlight w:val="none"/>
                    </w:rPr>
                    <w:t>项目符合《昆明市“三线一单”生态环境分区管控实施方案》</w:t>
                  </w:r>
                  <w:r>
                    <w:rPr>
                      <w:rFonts w:hint="eastAsia" w:ascii="Times New Roman" w:hAnsi="Times New Roman" w:eastAsia="宋体" w:cs="Times New Roman"/>
                      <w:color w:val="auto"/>
                      <w:sz w:val="21"/>
                      <w:szCs w:val="21"/>
                      <w:highlight w:val="none"/>
                      <w:lang w:val="en-US" w:eastAsia="zh-CN"/>
                    </w:rPr>
                    <w:t>及</w:t>
                  </w:r>
                  <w:r>
                    <w:rPr>
                      <w:rFonts w:hint="eastAsia" w:ascii="Times New Roman" w:hAnsi="Times New Roman" w:eastAsia="宋体" w:cs="Times New Roman"/>
                      <w:color w:val="auto"/>
                      <w:sz w:val="21"/>
                      <w:szCs w:val="21"/>
                      <w:highlight w:val="none"/>
                    </w:rPr>
                    <w:t>《昆明市生态环境分区管控动态更新方案》相关要求。</w:t>
                  </w:r>
                </w:p>
              </w:tc>
              <w:tc>
                <w:tcPr>
                  <w:tcW w:w="580" w:type="pct"/>
                  <w:noWrap w:val="0"/>
                  <w:tcMar>
                    <w:top w:w="28" w:type="dxa"/>
                    <w:left w:w="57" w:type="dxa"/>
                    <w:bottom w:w="28" w:type="dxa"/>
                    <w:right w:w="57" w:type="dxa"/>
                  </w:tcMar>
                  <w:vAlign w:val="center"/>
                </w:tcPr>
                <w:p w14:paraId="21A3C18F">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符合</w:t>
                  </w:r>
                </w:p>
              </w:tc>
            </w:tr>
            <w:tr w14:paraId="41870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340" w:type="pct"/>
                  <w:vMerge w:val="continue"/>
                  <w:noWrap w:val="0"/>
                  <w:tcMar>
                    <w:top w:w="28" w:type="dxa"/>
                    <w:left w:w="57" w:type="dxa"/>
                    <w:bottom w:w="28" w:type="dxa"/>
                    <w:right w:w="57" w:type="dxa"/>
                  </w:tcMar>
                  <w:vAlign w:val="center"/>
                </w:tcPr>
                <w:p w14:paraId="1399CFAC">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2292" w:type="pct"/>
                  <w:noWrap w:val="0"/>
                  <w:tcMar>
                    <w:top w:w="28" w:type="dxa"/>
                    <w:left w:w="57" w:type="dxa"/>
                    <w:bottom w:w="28" w:type="dxa"/>
                    <w:right w:w="57" w:type="dxa"/>
                  </w:tcMar>
                  <w:vAlign w:val="center"/>
                </w:tcPr>
                <w:p w14:paraId="051128D5">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二）推动落后产能退出。推动能耗、环保、质量、安全、技术达不到标准和生产不合格产品或淘汰类产能依法依规关停退出。不予审批限制类新建项目，按照国家要求对属于限制类的现有生产能力进行升级改造。</w:t>
                  </w:r>
                </w:p>
              </w:tc>
              <w:tc>
                <w:tcPr>
                  <w:tcW w:w="1786" w:type="pct"/>
                  <w:noWrap w:val="0"/>
                  <w:tcMar>
                    <w:top w:w="28" w:type="dxa"/>
                    <w:left w:w="57" w:type="dxa"/>
                    <w:bottom w:w="28" w:type="dxa"/>
                    <w:right w:w="57" w:type="dxa"/>
                  </w:tcMar>
                  <w:vAlign w:val="center"/>
                </w:tcPr>
                <w:p w14:paraId="6E71A029">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u w:val="none"/>
                      <w:lang w:val="en-US" w:eastAsia="zh-CN"/>
                    </w:rPr>
                    <w:t>本项目属于</w:t>
                  </w:r>
                  <w:r>
                    <w:rPr>
                      <w:rFonts w:hint="eastAsia" w:cs="Times New Roman"/>
                      <w:color w:val="auto"/>
                      <w:sz w:val="21"/>
                      <w:szCs w:val="21"/>
                      <w:highlight w:val="none"/>
                      <w:u w:val="none"/>
                      <w:lang w:val="en-US" w:eastAsia="zh-CN"/>
                    </w:rPr>
                    <w:t>B0620褐煤开采洗选</w:t>
                  </w:r>
                  <w:r>
                    <w:rPr>
                      <w:rFonts w:hint="default" w:ascii="Times New Roman" w:hAnsi="Times New Roman" w:cs="Times New Roman"/>
                      <w:color w:val="auto"/>
                      <w:sz w:val="21"/>
                      <w:szCs w:val="21"/>
                      <w:highlight w:val="none"/>
                      <w:u w:val="none"/>
                      <w:lang w:val="en-US" w:eastAsia="zh-CN"/>
                    </w:rPr>
                    <w:t>，</w:t>
                  </w:r>
                  <w:r>
                    <w:rPr>
                      <w:rFonts w:hint="eastAsia" w:ascii="Times New Roman" w:hAnsi="Times New Roman" w:eastAsia="宋体" w:cs="Times New Roman"/>
                      <w:color w:val="auto"/>
                      <w:sz w:val="21"/>
                      <w:szCs w:val="21"/>
                      <w:highlight w:val="none"/>
                      <w:lang w:val="en-US" w:eastAsia="zh-CN"/>
                    </w:rPr>
                    <w:t>属于《产业结构调整指导目录(2024年本)》目录中的允许类项</w:t>
                  </w:r>
                  <w:r>
                    <w:rPr>
                      <w:rFonts w:hint="eastAsia" w:ascii="Times New Roman" w:hAnsi="Times New Roman" w:eastAsia="宋体" w:cs="Times New Roman"/>
                      <w:color w:val="auto"/>
                      <w:sz w:val="21"/>
                      <w:szCs w:val="21"/>
                      <w:highlight w:val="none"/>
                    </w:rPr>
                    <w:t>目，符合国家产业政策；</w:t>
                  </w:r>
                </w:p>
              </w:tc>
              <w:tc>
                <w:tcPr>
                  <w:tcW w:w="580" w:type="pct"/>
                  <w:noWrap w:val="0"/>
                  <w:tcMar>
                    <w:top w:w="28" w:type="dxa"/>
                    <w:left w:w="57" w:type="dxa"/>
                    <w:bottom w:w="28" w:type="dxa"/>
                    <w:right w:w="57" w:type="dxa"/>
                  </w:tcMar>
                  <w:vAlign w:val="center"/>
                </w:tcPr>
                <w:p w14:paraId="372E649A">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符合</w:t>
                  </w:r>
                </w:p>
              </w:tc>
            </w:tr>
            <w:tr w14:paraId="764AB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340" w:type="pct"/>
                  <w:noWrap w:val="0"/>
                  <w:tcMar>
                    <w:top w:w="28" w:type="dxa"/>
                    <w:left w:w="57" w:type="dxa"/>
                    <w:bottom w:w="28" w:type="dxa"/>
                    <w:right w:w="57" w:type="dxa"/>
                  </w:tcMar>
                  <w:vAlign w:val="center"/>
                </w:tcPr>
                <w:p w14:paraId="56768C9F">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三</w:t>
                  </w:r>
                  <w:r>
                    <w:rPr>
                      <w:rFonts w:hint="eastAsia" w:ascii="Times New Roman" w:hAnsi="Times New Roman" w:eastAsia="宋体" w:cs="Times New Roman"/>
                      <w:color w:val="auto"/>
                      <w:sz w:val="21"/>
                      <w:szCs w:val="21"/>
                      <w:highlight w:val="none"/>
                    </w:rPr>
                    <w:t>、优化</w:t>
                  </w:r>
                  <w:r>
                    <w:rPr>
                      <w:rFonts w:hint="eastAsia" w:ascii="Times New Roman" w:hAnsi="Times New Roman" w:eastAsia="宋体" w:cs="Times New Roman"/>
                      <w:color w:val="auto"/>
                      <w:sz w:val="21"/>
                      <w:szCs w:val="21"/>
                      <w:highlight w:val="none"/>
                      <w:lang w:val="en-US" w:eastAsia="zh-CN"/>
                    </w:rPr>
                    <w:t>能源</w:t>
                  </w:r>
                  <w:r>
                    <w:rPr>
                      <w:rFonts w:hint="eastAsia" w:ascii="Times New Roman" w:hAnsi="Times New Roman" w:eastAsia="宋体" w:cs="Times New Roman"/>
                      <w:color w:val="auto"/>
                      <w:sz w:val="21"/>
                      <w:szCs w:val="21"/>
                      <w:highlight w:val="none"/>
                    </w:rPr>
                    <w:t>结构</w:t>
                  </w:r>
                </w:p>
              </w:tc>
              <w:tc>
                <w:tcPr>
                  <w:tcW w:w="2292" w:type="pct"/>
                  <w:noWrap w:val="0"/>
                  <w:tcMar>
                    <w:top w:w="28" w:type="dxa"/>
                    <w:left w:w="57" w:type="dxa"/>
                    <w:bottom w:w="28" w:type="dxa"/>
                    <w:right w:w="57" w:type="dxa"/>
                  </w:tcMar>
                  <w:vAlign w:val="center"/>
                </w:tcPr>
                <w:p w14:paraId="3FBF0FF6">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（六）大力发展新能源和清洁能源。到2025年，非化石能源消费比重较2020年提高4个百分点以上，电能占终端能源消费比重达30%以上。持续增加天然气生产供应，新增天然气优先保障居民生活和清洁取暖需求。</w:t>
                  </w:r>
                </w:p>
                <w:p w14:paraId="568F356C">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八）开展燃煤锅炉关停整合。县级及以上城市建成区原则上不再新建35蒸吨/小时及以下燃煤锅炉。依托电厂、大型工业企业开展远距离供热示范，淘汰管网覆盖范围内的燃煤锅炉和散煤。到2025年，PM2.5未达标城市基本淘汰10蒸吨/小时及以下燃煤锅炉。</w:t>
                  </w:r>
                </w:p>
              </w:tc>
              <w:tc>
                <w:tcPr>
                  <w:tcW w:w="1786" w:type="pct"/>
                  <w:noWrap w:val="0"/>
                  <w:tcMar>
                    <w:top w:w="28" w:type="dxa"/>
                    <w:left w:w="57" w:type="dxa"/>
                    <w:bottom w:w="28" w:type="dxa"/>
                    <w:right w:w="57" w:type="dxa"/>
                  </w:tcMar>
                  <w:vAlign w:val="center"/>
                </w:tcPr>
                <w:p w14:paraId="1D82ADF5">
                  <w:pPr>
                    <w:pageBreakBefore w:val="0"/>
                    <w:kinsoku/>
                    <w:wordWrap w:val="0"/>
                    <w:overflowPunct/>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本项目生产、生活过程中使用电能，</w:t>
                  </w:r>
                  <w:r>
                    <w:rPr>
                      <w:rFonts w:hint="eastAsia" w:ascii="Times New Roman" w:hAnsi="Times New Roman" w:eastAsia="宋体" w:cs="Times New Roman"/>
                      <w:color w:val="auto"/>
                      <w:sz w:val="21"/>
                      <w:szCs w:val="21"/>
                      <w:highlight w:val="none"/>
                      <w:lang w:val="en-US" w:eastAsia="zh-CN"/>
                    </w:rPr>
                    <w:t>不涉及锅炉，</w:t>
                  </w:r>
                  <w:r>
                    <w:rPr>
                      <w:rFonts w:hint="eastAsia" w:ascii="Times New Roman" w:hAnsi="Times New Roman" w:eastAsia="宋体" w:cs="Times New Roman"/>
                      <w:color w:val="auto"/>
                      <w:sz w:val="21"/>
                      <w:szCs w:val="21"/>
                      <w:highlight w:val="none"/>
                    </w:rPr>
                    <w:t>不使用高污染燃料</w:t>
                  </w:r>
                  <w:r>
                    <w:rPr>
                      <w:rFonts w:hint="eastAsia" w:ascii="Times New Roman" w:hAnsi="Times New Roman" w:eastAsia="宋体" w:cs="Times New Roman"/>
                      <w:color w:val="auto"/>
                      <w:sz w:val="21"/>
                      <w:szCs w:val="21"/>
                      <w:highlight w:val="none"/>
                      <w:lang w:eastAsia="zh-CN"/>
                    </w:rPr>
                    <w:t>；</w:t>
                  </w:r>
                </w:p>
              </w:tc>
              <w:tc>
                <w:tcPr>
                  <w:tcW w:w="580" w:type="pct"/>
                  <w:noWrap w:val="0"/>
                  <w:tcMar>
                    <w:top w:w="28" w:type="dxa"/>
                    <w:left w:w="57" w:type="dxa"/>
                    <w:bottom w:w="28" w:type="dxa"/>
                    <w:right w:w="57" w:type="dxa"/>
                  </w:tcMar>
                  <w:vAlign w:val="center"/>
                </w:tcPr>
                <w:p w14:paraId="3BF60D3C">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符合</w:t>
                  </w:r>
                </w:p>
              </w:tc>
            </w:tr>
            <w:tr w14:paraId="2357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340" w:type="pct"/>
                  <w:noWrap w:val="0"/>
                  <w:tcMar>
                    <w:top w:w="28" w:type="dxa"/>
                    <w:left w:w="57" w:type="dxa"/>
                    <w:bottom w:w="28" w:type="dxa"/>
                    <w:right w:w="57" w:type="dxa"/>
                  </w:tcMar>
                  <w:vAlign w:val="center"/>
                </w:tcPr>
                <w:p w14:paraId="6C854821">
                  <w:pPr>
                    <w:pageBreakBefore w:val="0"/>
                    <w:kinsoku/>
                    <w:wordWrap w:val="0"/>
                    <w:overflowPunct/>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四、优化交通结构</w:t>
                  </w:r>
                </w:p>
              </w:tc>
              <w:tc>
                <w:tcPr>
                  <w:tcW w:w="2292" w:type="pct"/>
                  <w:noWrap w:val="0"/>
                  <w:tcMar>
                    <w:top w:w="28" w:type="dxa"/>
                    <w:left w:w="57" w:type="dxa"/>
                    <w:bottom w:w="28" w:type="dxa"/>
                    <w:right w:w="57" w:type="dxa"/>
                  </w:tcMar>
                  <w:vAlign w:val="center"/>
                </w:tcPr>
                <w:p w14:paraId="0935AFC7">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十一</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加快机动车清洁化进程。在火电、钢铁、煤炭、焦化、有色、水泥等行业和物流园区推广新能源中重型货车，发展零排放货运车队。力争到2025年，实现高速公路服务区快充站基本覆盖。强化新生产机动车监督抽查，实现系族全覆盖。全面实施汽车排放检验与维护制度，强化对车检机构的监管执法。</w:t>
                  </w:r>
                </w:p>
              </w:tc>
              <w:tc>
                <w:tcPr>
                  <w:tcW w:w="1786" w:type="pct"/>
                  <w:noWrap w:val="0"/>
                  <w:tcMar>
                    <w:top w:w="28" w:type="dxa"/>
                    <w:left w:w="57" w:type="dxa"/>
                    <w:bottom w:w="28" w:type="dxa"/>
                    <w:right w:w="57" w:type="dxa"/>
                  </w:tcMar>
                  <w:vAlign w:val="center"/>
                </w:tcPr>
                <w:p w14:paraId="570FF678">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项目</w:t>
                  </w:r>
                  <w:r>
                    <w:rPr>
                      <w:rFonts w:hint="default" w:ascii="Times New Roman" w:hAnsi="Times New Roman" w:cs="Times New Roman"/>
                      <w:color w:val="auto"/>
                      <w:sz w:val="21"/>
                      <w:szCs w:val="21"/>
                      <w:lang w:val="en-US" w:eastAsia="zh-CN"/>
                    </w:rPr>
                    <w:t>租用</w:t>
                  </w:r>
                  <w:r>
                    <w:rPr>
                      <w:rFonts w:hint="eastAsia" w:cs="Times New Roman"/>
                      <w:color w:val="auto"/>
                      <w:sz w:val="21"/>
                      <w:szCs w:val="21"/>
                      <w:lang w:val="en-US" w:eastAsia="zh-CN"/>
                    </w:rPr>
                    <w:t>云南昆明亦标水泥有限公司</w:t>
                  </w:r>
                  <w:r>
                    <w:rPr>
                      <w:rFonts w:hint="default" w:ascii="Times New Roman" w:hAnsi="Times New Roman" w:eastAsia="宋体" w:cs="Times New Roman"/>
                      <w:color w:val="auto"/>
                      <w:kern w:val="2"/>
                      <w:sz w:val="21"/>
                      <w:szCs w:val="21"/>
                      <w:lang w:val="en-US" w:eastAsia="zh-CN" w:bidi="ar-SA"/>
                    </w:rPr>
                    <w:t>原有占地</w:t>
                  </w:r>
                  <w:r>
                    <w:rPr>
                      <w:rFonts w:hint="default" w:ascii="Times New Roman" w:hAnsi="Times New Roman" w:cs="Times New Roman"/>
                      <w:color w:val="auto"/>
                      <w:kern w:val="2"/>
                      <w:sz w:val="21"/>
                      <w:szCs w:val="21"/>
                      <w:lang w:val="en-US" w:eastAsia="zh-CN" w:bidi="ar-SA"/>
                    </w:rPr>
                    <w:t>进行煤炭仓储转运</w:t>
                  </w:r>
                  <w:r>
                    <w:rPr>
                      <w:rFonts w:hint="default" w:ascii="Times New Roman" w:hAnsi="Times New Roman" w:cs="Times New Roman"/>
                      <w:color w:val="auto"/>
                      <w:sz w:val="21"/>
                      <w:szCs w:val="21"/>
                      <w:lang w:val="en-US" w:eastAsia="zh-CN"/>
                    </w:rPr>
                    <w:t>，</w:t>
                  </w:r>
                  <w:r>
                    <w:rPr>
                      <w:rFonts w:hint="eastAsia" w:ascii="Times New Roman" w:hAnsi="Times New Roman" w:eastAsia="宋体" w:cs="Times New Roman"/>
                      <w:color w:val="auto"/>
                      <w:sz w:val="21"/>
                      <w:szCs w:val="21"/>
                      <w:highlight w:val="none"/>
                    </w:rPr>
                    <w:t>本项目运煤车辆均采取加盖蓬布，车厢经常检查维修，能做到封闭运输</w:t>
                  </w:r>
                  <w:r>
                    <w:rPr>
                      <w:rFonts w:hint="eastAsia" w:ascii="Times New Roman" w:hAnsi="Times New Roman" w:eastAsia="宋体" w:cs="Times New Roman"/>
                      <w:color w:val="auto"/>
                      <w:sz w:val="21"/>
                      <w:szCs w:val="21"/>
                      <w:highlight w:val="none"/>
                      <w:lang w:eastAsia="zh-CN"/>
                    </w:rPr>
                    <w:t>。</w:t>
                  </w:r>
                </w:p>
              </w:tc>
              <w:tc>
                <w:tcPr>
                  <w:tcW w:w="580" w:type="pct"/>
                  <w:noWrap w:val="0"/>
                  <w:tcMar>
                    <w:top w:w="28" w:type="dxa"/>
                    <w:left w:w="57" w:type="dxa"/>
                    <w:bottom w:w="28" w:type="dxa"/>
                    <w:right w:w="57" w:type="dxa"/>
                  </w:tcMar>
                  <w:vAlign w:val="center"/>
                </w:tcPr>
                <w:p w14:paraId="10C06536">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符合</w:t>
                  </w:r>
                </w:p>
              </w:tc>
            </w:tr>
            <w:tr w14:paraId="5CEF5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340" w:type="pct"/>
                  <w:noWrap w:val="0"/>
                  <w:tcMar>
                    <w:top w:w="28" w:type="dxa"/>
                    <w:left w:w="57" w:type="dxa"/>
                    <w:bottom w:w="28" w:type="dxa"/>
                    <w:right w:w="57" w:type="dxa"/>
                  </w:tcMar>
                  <w:vAlign w:val="center"/>
                </w:tcPr>
                <w:p w14:paraId="0C46A102">
                  <w:pPr>
                    <w:pageBreakBefore w:val="0"/>
                    <w:kinsoku/>
                    <w:wordWrap w:val="0"/>
                    <w:overflowPunct/>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五、提升面源污染治理化</w:t>
                  </w:r>
                </w:p>
              </w:tc>
              <w:tc>
                <w:tcPr>
                  <w:tcW w:w="2292" w:type="pct"/>
                  <w:noWrap w:val="0"/>
                  <w:tcMar>
                    <w:top w:w="28" w:type="dxa"/>
                    <w:left w:w="57" w:type="dxa"/>
                    <w:bottom w:w="28" w:type="dxa"/>
                    <w:right w:w="57" w:type="dxa"/>
                  </w:tcMar>
                  <w:vAlign w:val="center"/>
                </w:tcPr>
                <w:p w14:paraId="0FE10B7B">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十四</w:t>
                  </w:r>
                  <w:r>
                    <w:rPr>
                      <w:rFonts w:hint="eastAsia" w:ascii="Times New Roman" w:hAnsi="Times New Roman" w:eastAsia="宋体" w:cs="Times New Roman"/>
                      <w:color w:val="auto"/>
                      <w:sz w:val="21"/>
                      <w:szCs w:val="21"/>
                      <w:highlight w:val="none"/>
                      <w:lang w:eastAsia="zh-CN"/>
                    </w:rPr>
                    <w:t>）持续推动扬尘污染治理管控。严格落实建筑施工工地“六个百分之百”要求，对城市公共裸地进行排查建档并采取防尘措施。到2025年，城镇装配式建筑和采用装配式技术体系建筑占新开工建筑面积比重达30%;昆明市主城区道路机械化清扫率达90%左右，其他地级城市建成区达85%左右，县城达70%左右。</w:t>
                  </w:r>
                </w:p>
              </w:tc>
              <w:tc>
                <w:tcPr>
                  <w:tcW w:w="1786" w:type="pct"/>
                  <w:noWrap w:val="0"/>
                  <w:tcMar>
                    <w:top w:w="28" w:type="dxa"/>
                    <w:left w:w="57" w:type="dxa"/>
                    <w:bottom w:w="28" w:type="dxa"/>
                    <w:right w:w="57" w:type="dxa"/>
                  </w:tcMar>
                  <w:vAlign w:val="center"/>
                </w:tcPr>
                <w:p w14:paraId="43236FD6">
                  <w:pPr>
                    <w:pageBreakBefore w:val="0"/>
                    <w:kinsoku/>
                    <w:wordWrap w:val="0"/>
                    <w:overflowPunct/>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r>
                    <w:rPr>
                      <w:rFonts w:hint="default" w:ascii="Times New Roman" w:hAnsi="Times New Roman" w:cs="Times New Roman"/>
                      <w:color w:val="auto"/>
                      <w:sz w:val="21"/>
                      <w:szCs w:val="21"/>
                      <w:lang w:val="en-US" w:eastAsia="zh-CN"/>
                    </w:rPr>
                    <w:t>租用</w:t>
                  </w:r>
                  <w:r>
                    <w:rPr>
                      <w:rFonts w:hint="eastAsia" w:cs="Times New Roman"/>
                      <w:color w:val="auto"/>
                      <w:sz w:val="21"/>
                      <w:szCs w:val="21"/>
                      <w:lang w:val="en-US" w:eastAsia="zh-CN"/>
                    </w:rPr>
                    <w:t>云南昆明亦标水泥有限公司</w:t>
                  </w:r>
                  <w:r>
                    <w:rPr>
                      <w:rFonts w:hint="default" w:ascii="Times New Roman" w:hAnsi="Times New Roman" w:eastAsia="宋体" w:cs="Times New Roman"/>
                      <w:color w:val="auto"/>
                      <w:kern w:val="2"/>
                      <w:sz w:val="21"/>
                      <w:szCs w:val="21"/>
                      <w:lang w:val="en-US" w:eastAsia="zh-CN" w:bidi="ar-SA"/>
                    </w:rPr>
                    <w:t>原有占地</w:t>
                  </w:r>
                  <w:r>
                    <w:rPr>
                      <w:rFonts w:hint="default" w:ascii="Times New Roman" w:hAnsi="Times New Roman" w:cs="Times New Roman"/>
                      <w:color w:val="auto"/>
                      <w:kern w:val="2"/>
                      <w:sz w:val="21"/>
                      <w:szCs w:val="21"/>
                      <w:lang w:val="en-US" w:eastAsia="zh-CN" w:bidi="ar-SA"/>
                    </w:rPr>
                    <w:t>进行煤炭仓储转运</w:t>
                  </w:r>
                  <w:r>
                    <w:rPr>
                      <w:rFonts w:hint="default" w:ascii="Times New Roman" w:hAnsi="Times New Roman" w:cs="Times New Roman"/>
                      <w:color w:val="auto"/>
                      <w:sz w:val="21"/>
                      <w:szCs w:val="21"/>
                      <w:lang w:val="en-US" w:eastAsia="zh-CN"/>
                    </w:rPr>
                    <w:t>，</w:t>
                  </w:r>
                  <w:r>
                    <w:rPr>
                      <w:rFonts w:hint="eastAsia" w:ascii="Times New Roman" w:hAnsi="Times New Roman" w:eastAsia="宋体" w:cs="Times New Roman"/>
                      <w:color w:val="auto"/>
                      <w:sz w:val="21"/>
                      <w:szCs w:val="21"/>
                      <w:highlight w:val="none"/>
                    </w:rPr>
                    <w:t>本项目设置全封闭</w:t>
                  </w:r>
                  <w:r>
                    <w:rPr>
                      <w:rFonts w:hint="eastAsia" w:ascii="Times New Roman" w:hAnsi="Times New Roman" w:eastAsia="宋体" w:cs="Times New Roman"/>
                      <w:color w:val="auto"/>
                      <w:sz w:val="21"/>
                      <w:szCs w:val="21"/>
                      <w:highlight w:val="none"/>
                      <w:lang w:val="en-US" w:eastAsia="zh-CN"/>
                    </w:rPr>
                    <w:t>堆煤棚及晾晒棚</w:t>
                  </w:r>
                  <w:r>
                    <w:rPr>
                      <w:rFonts w:hint="eastAsia" w:ascii="Times New Roman" w:hAnsi="Times New Roman" w:eastAsia="宋体" w:cs="Times New Roman"/>
                      <w:color w:val="auto"/>
                      <w:sz w:val="21"/>
                      <w:szCs w:val="21"/>
                      <w:highlight w:val="none"/>
                    </w:rPr>
                    <w:t>，只留设进出口，煤炭装、卸过程均</w:t>
                  </w:r>
                  <w:r>
                    <w:rPr>
                      <w:rFonts w:hint="eastAsia" w:ascii="Times New Roman" w:hAnsi="Times New Roman" w:eastAsia="宋体" w:cs="Times New Roman"/>
                      <w:color w:val="auto"/>
                      <w:sz w:val="21"/>
                      <w:szCs w:val="21"/>
                      <w:highlight w:val="none"/>
                      <w:lang w:val="en-US" w:eastAsia="zh-CN"/>
                    </w:rPr>
                    <w:t>棚内进行</w:t>
                  </w:r>
                  <w:r>
                    <w:rPr>
                      <w:rFonts w:hint="eastAsia" w:ascii="Times New Roman" w:hAnsi="Times New Roman" w:eastAsia="宋体" w:cs="Times New Roman"/>
                      <w:color w:val="auto"/>
                      <w:sz w:val="21"/>
                      <w:szCs w:val="21"/>
                      <w:highlight w:val="none"/>
                    </w:rPr>
                    <w:t>，地面硬化，并配备洒水</w:t>
                  </w:r>
                  <w:r>
                    <w:rPr>
                      <w:rFonts w:hint="eastAsia" w:ascii="Times New Roman" w:hAnsi="Times New Roman" w:eastAsia="宋体" w:cs="Times New Roman"/>
                      <w:color w:val="auto"/>
                      <w:sz w:val="21"/>
                      <w:szCs w:val="21"/>
                      <w:highlight w:val="none"/>
                      <w:lang w:val="en-US" w:eastAsia="zh-CN"/>
                    </w:rPr>
                    <w:t>车</w:t>
                  </w:r>
                  <w:r>
                    <w:rPr>
                      <w:rFonts w:hint="eastAsia" w:ascii="Times New Roman" w:hAnsi="Times New Roman" w:eastAsia="宋体" w:cs="Times New Roman"/>
                      <w:color w:val="auto"/>
                      <w:sz w:val="21"/>
                      <w:szCs w:val="21"/>
                      <w:highlight w:val="none"/>
                    </w:rPr>
                    <w:t>对厂区地面及厂区外道路洒水降尘，通过以上措施有效控制粉尘排放</w:t>
                  </w:r>
                  <w:r>
                    <w:rPr>
                      <w:rFonts w:hint="eastAsia" w:ascii="Times New Roman" w:hAnsi="Times New Roman" w:eastAsia="宋体" w:cs="Times New Roman"/>
                      <w:color w:val="auto"/>
                      <w:sz w:val="21"/>
                      <w:szCs w:val="21"/>
                      <w:highlight w:val="none"/>
                      <w:lang w:eastAsia="zh-CN"/>
                    </w:rPr>
                    <w:t>。</w:t>
                  </w:r>
                </w:p>
              </w:tc>
              <w:tc>
                <w:tcPr>
                  <w:tcW w:w="580" w:type="pct"/>
                  <w:noWrap w:val="0"/>
                  <w:tcMar>
                    <w:top w:w="28" w:type="dxa"/>
                    <w:left w:w="57" w:type="dxa"/>
                    <w:bottom w:w="28" w:type="dxa"/>
                    <w:right w:w="57" w:type="dxa"/>
                  </w:tcMar>
                  <w:vAlign w:val="center"/>
                </w:tcPr>
                <w:p w14:paraId="682B496F">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p>
              </w:tc>
            </w:tr>
          </w:tbl>
          <w:p w14:paraId="69CE90D3">
            <w:pPr>
              <w:pageBreakBefore w:val="0"/>
              <w:kinsoku/>
              <w:wordWrap w:val="0"/>
              <w:overflowPunct/>
              <w:bidi w:val="0"/>
              <w:rPr>
                <w:rFonts w:hint="default" w:ascii="Times New Roman" w:hAnsi="Times New Roman" w:cs="Times New Roman"/>
                <w:b/>
                <w:bCs/>
                <w:color w:val="auto"/>
                <w:highlight w:val="none"/>
                <w:lang w:val="en-US" w:eastAsia="zh-CN"/>
              </w:rPr>
            </w:pPr>
            <w:r>
              <w:rPr>
                <w:rFonts w:ascii="Times New Roman" w:hAnsi="Times New Roman" w:eastAsia="宋体" w:cs="Times New Roman"/>
                <w:bCs/>
                <w:color w:val="auto"/>
                <w:kern w:val="0"/>
                <w:sz w:val="24"/>
                <w:szCs w:val="24"/>
                <w:lang w:val="en-US" w:eastAsia="zh-CN" w:bidi="ar-SA"/>
              </w:rPr>
              <w:t>综上分析，项目与《云南省空气质量持续改善行动实施方案》</w:t>
            </w:r>
            <w:r>
              <w:rPr>
                <w:rFonts w:hint="eastAsia" w:cs="Times New Roman"/>
                <w:bCs/>
                <w:color w:val="auto"/>
                <w:kern w:val="0"/>
                <w:sz w:val="24"/>
                <w:szCs w:val="24"/>
                <w:lang w:val="en-US" w:eastAsia="zh-CN" w:bidi="ar-SA"/>
              </w:rPr>
              <w:t>相关内容</w:t>
            </w:r>
            <w:r>
              <w:rPr>
                <w:rFonts w:ascii="Times New Roman" w:hAnsi="Times New Roman" w:eastAsia="宋体" w:cs="Times New Roman"/>
                <w:bCs/>
                <w:color w:val="auto"/>
                <w:kern w:val="0"/>
                <w:sz w:val="24"/>
                <w:szCs w:val="24"/>
                <w:lang w:val="en-US" w:eastAsia="zh-CN" w:bidi="ar-SA"/>
              </w:rPr>
              <w:t>相符。</w:t>
            </w:r>
          </w:p>
          <w:p w14:paraId="303CF0B0">
            <w:pPr>
              <w:pageBreakBefore w:val="0"/>
              <w:numPr>
                <w:ilvl w:val="0"/>
                <w:numId w:val="0"/>
              </w:numPr>
              <w:kinsoku/>
              <w:wordWrap w:val="0"/>
              <w:overflowPunct/>
              <w:autoSpaceDE w:val="0"/>
              <w:autoSpaceDN w:val="0"/>
              <w:bidi w:val="0"/>
              <w:adjustRightInd w:val="0"/>
              <w:snapToGrid w:val="0"/>
              <w:spacing w:line="360" w:lineRule="auto"/>
              <w:ind w:firstLine="482" w:firstLineChars="200"/>
              <w:rPr>
                <w:rFonts w:ascii="Times New Roman" w:hAnsi="Times New Roman"/>
                <w:b/>
                <w:bCs/>
                <w:color w:val="auto"/>
                <w:sz w:val="24"/>
              </w:rPr>
            </w:pPr>
            <w:r>
              <w:rPr>
                <w:rFonts w:hint="eastAsia" w:ascii="Times New Roman" w:hAnsi="Times New Roman"/>
                <w:b/>
                <w:bCs/>
                <w:color w:val="auto"/>
                <w:sz w:val="24"/>
                <w:lang w:val="en-US" w:eastAsia="zh-CN"/>
              </w:rPr>
              <w:t>1</w:t>
            </w:r>
            <w:r>
              <w:rPr>
                <w:rFonts w:hint="eastAsia"/>
                <w:b/>
                <w:bCs/>
                <w:color w:val="auto"/>
                <w:sz w:val="24"/>
                <w:lang w:val="en-US" w:eastAsia="zh-CN"/>
              </w:rPr>
              <w:t>3</w:t>
            </w:r>
            <w:r>
              <w:rPr>
                <w:rFonts w:hint="eastAsia" w:ascii="Times New Roman" w:hAnsi="Times New Roman"/>
                <w:b/>
                <w:bCs/>
                <w:color w:val="auto"/>
                <w:sz w:val="24"/>
                <w:lang w:val="en-US" w:eastAsia="zh-CN"/>
              </w:rPr>
              <w:t>、选址合理</w:t>
            </w:r>
            <w:r>
              <w:rPr>
                <w:rFonts w:ascii="Times New Roman" w:hAnsi="Times New Roman"/>
                <w:b/>
                <w:bCs/>
                <w:color w:val="auto"/>
                <w:sz w:val="24"/>
              </w:rPr>
              <w:t>性分析</w:t>
            </w:r>
          </w:p>
          <w:p w14:paraId="3CC5B82D">
            <w:pPr>
              <w:pStyle w:val="22"/>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eastAsia" w:ascii="Times New Roman" w:hAnsi="Times New Roman" w:eastAsia="宋体"/>
                <w:bCs/>
                <w:color w:val="auto"/>
                <w:sz w:val="24"/>
                <w:szCs w:val="24"/>
                <w:lang w:val="en-US" w:eastAsia="zh-CN"/>
              </w:rPr>
            </w:pPr>
            <w:r>
              <w:rPr>
                <w:rFonts w:hint="default" w:ascii="Times New Roman" w:hAnsi="Times New Roman" w:eastAsia="宋体" w:cs="Times New Roman"/>
                <w:color w:val="auto"/>
                <w:sz w:val="24"/>
                <w:szCs w:val="24"/>
              </w:rPr>
              <w:t>项目</w:t>
            </w:r>
            <w:r>
              <w:rPr>
                <w:rFonts w:hint="default" w:ascii="Times New Roman" w:hAnsi="Times New Roman" w:cs="Times New Roman"/>
                <w:color w:val="auto"/>
                <w:sz w:val="24"/>
                <w:szCs w:val="24"/>
                <w:lang w:val="en-US" w:eastAsia="zh-CN"/>
              </w:rPr>
              <w:t>租用</w:t>
            </w:r>
            <w:r>
              <w:rPr>
                <w:rFonts w:hint="eastAsia" w:ascii="Times New Roman" w:hAnsi="Times New Roman" w:cs="Times New Roman"/>
                <w:color w:val="auto"/>
                <w:sz w:val="24"/>
                <w:szCs w:val="24"/>
                <w:lang w:val="en-US" w:eastAsia="zh-CN"/>
              </w:rPr>
              <w:t>云南昆明亦标水泥有限公司</w:t>
            </w:r>
            <w:r>
              <w:rPr>
                <w:rFonts w:hint="default" w:ascii="Times New Roman" w:hAnsi="Times New Roman" w:eastAsia="宋体" w:cs="Times New Roman"/>
                <w:color w:val="auto"/>
                <w:kern w:val="2"/>
                <w:sz w:val="24"/>
                <w:szCs w:val="24"/>
                <w:lang w:val="en-US" w:eastAsia="zh-CN" w:bidi="ar-SA"/>
              </w:rPr>
              <w:t>原有占地</w:t>
            </w:r>
            <w:r>
              <w:rPr>
                <w:rFonts w:hint="default" w:ascii="Times New Roman" w:hAnsi="Times New Roman" w:cs="Times New Roman"/>
                <w:color w:val="auto"/>
                <w:kern w:val="2"/>
                <w:sz w:val="24"/>
                <w:szCs w:val="24"/>
                <w:lang w:val="en-US" w:eastAsia="zh-CN" w:bidi="ar-SA"/>
              </w:rPr>
              <w:t>进行煤炭仓储转运</w:t>
            </w:r>
            <w:r>
              <w:rPr>
                <w:rFonts w:hint="default" w:ascii="Times New Roman" w:hAnsi="Times New Roman" w:cs="Times New Roman"/>
                <w:color w:val="auto"/>
                <w:sz w:val="24"/>
                <w:szCs w:val="24"/>
                <w:lang w:val="en-US" w:eastAsia="zh-CN"/>
              </w:rPr>
              <w:t>，</w:t>
            </w:r>
            <w:r>
              <w:rPr>
                <w:rFonts w:hint="eastAsia" w:ascii="Times New Roman" w:hAnsi="Times New Roman" w:eastAsia="宋体"/>
                <w:bCs/>
                <w:color w:val="auto"/>
                <w:sz w:val="24"/>
                <w:lang w:val="en-US" w:eastAsia="zh-CN"/>
              </w:rPr>
              <w:t>对照《关于印发云南寻甸产业园区外工业项目管理工作方案的通知》（寻政办发[2024]34号）相关要求，凡新建、引进的制造业项目和企业原则上入园选址发展，园</w:t>
            </w:r>
            <w:r>
              <w:rPr>
                <w:rFonts w:hint="default" w:ascii="Times New Roman" w:hAnsi="Times New Roman" w:eastAsia="宋体"/>
                <w:bCs/>
                <w:color w:val="auto"/>
                <w:sz w:val="24"/>
                <w:lang w:val="en-US" w:eastAsia="zh-CN"/>
              </w:rPr>
              <w:t>区外原则上不再安排工业项目</w:t>
            </w:r>
            <w:r>
              <w:rPr>
                <w:rFonts w:hint="eastAsia" w:ascii="Times New Roman" w:hAnsi="Times New Roman" w:eastAsia="宋体"/>
                <w:bCs/>
                <w:color w:val="auto"/>
                <w:sz w:val="24"/>
                <w:lang w:val="en-US" w:eastAsia="zh-CN"/>
              </w:rPr>
              <w:t>。对达不到入园条件和标准的农副</w:t>
            </w:r>
            <w:r>
              <w:rPr>
                <w:rFonts w:hint="default" w:ascii="Times New Roman" w:hAnsi="Times New Roman" w:eastAsia="宋体"/>
                <w:bCs/>
                <w:color w:val="auto"/>
                <w:sz w:val="24"/>
                <w:lang w:val="en-US" w:eastAsia="zh-CN"/>
              </w:rPr>
              <w:t>产品加工、一般加工制造类项目或预拌混凝土搅拌站等不宜入园的特殊行业，须经县人民政府研究同意，经县科技和工业信息化局备案后，按程序办理其他有关审</w:t>
            </w:r>
            <w:r>
              <w:rPr>
                <w:rFonts w:hint="default" w:ascii="Times New Roman" w:hAnsi="Times New Roman" w:eastAsia="宋体"/>
                <w:bCs/>
                <w:color w:val="auto"/>
                <w:sz w:val="24"/>
                <w:szCs w:val="24"/>
                <w:lang w:val="en-US" w:eastAsia="zh-CN"/>
              </w:rPr>
              <w:t>批手续。县科技和工业信息化局应按程序报市工业和信息化局备案。</w:t>
            </w:r>
          </w:p>
          <w:p w14:paraId="5E9C7DEB">
            <w:pPr>
              <w:pStyle w:val="22"/>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eastAsia" w:ascii="Times New Roman" w:hAnsi="Times New Roman" w:eastAsia="宋体"/>
                <w:bCs/>
                <w:color w:val="auto"/>
                <w:sz w:val="24"/>
                <w:lang w:val="en-US" w:eastAsia="zh-CN"/>
              </w:rPr>
            </w:pPr>
            <w:r>
              <w:rPr>
                <w:rFonts w:hint="default" w:ascii="Times New Roman" w:hAnsi="Times New Roman" w:cs="Times New Roman"/>
                <w:color w:val="auto"/>
                <w:sz w:val="24"/>
                <w:szCs w:val="24"/>
                <w:highlight w:val="none"/>
                <w:u w:val="none"/>
                <w:lang w:val="en-US" w:eastAsia="zh-CN"/>
              </w:rPr>
              <w:t>根据《国民经济行业分类与代码》（GB/T4754-2017），本项目属于</w:t>
            </w:r>
            <w:r>
              <w:rPr>
                <w:rFonts w:hint="eastAsia" w:ascii="Times New Roman" w:hAnsi="Times New Roman" w:cs="Times New Roman"/>
                <w:color w:val="auto"/>
                <w:sz w:val="24"/>
                <w:szCs w:val="24"/>
                <w:highlight w:val="none"/>
                <w:u w:val="none"/>
                <w:lang w:val="en-US" w:eastAsia="zh-CN"/>
              </w:rPr>
              <w:t>B0620褐煤开采洗选</w:t>
            </w:r>
            <w:r>
              <w:rPr>
                <w:rFonts w:hint="default" w:ascii="Times New Roman" w:hAnsi="Times New Roman" w:cs="Times New Roman"/>
                <w:color w:val="auto"/>
                <w:sz w:val="24"/>
                <w:szCs w:val="24"/>
                <w:highlight w:val="none"/>
                <w:u w:val="none"/>
                <w:lang w:val="en-US" w:eastAsia="zh-CN"/>
              </w:rPr>
              <w:t>，</w:t>
            </w:r>
            <w:r>
              <w:rPr>
                <w:rFonts w:hint="eastAsia" w:ascii="Times New Roman" w:hAnsi="Times New Roman" w:cs="Times New Roman"/>
                <w:color w:val="auto"/>
                <w:sz w:val="24"/>
                <w:szCs w:val="24"/>
                <w:highlight w:val="none"/>
                <w:u w:val="none"/>
                <w:lang w:val="en-US" w:eastAsia="zh-CN"/>
              </w:rPr>
              <w:t>项目不进行破碎、筛分等作业，仅进行煤炭的仓储和准运，</w:t>
            </w:r>
            <w:r>
              <w:rPr>
                <w:rFonts w:hint="eastAsia" w:ascii="Times New Roman" w:hAnsi="Times New Roman" w:eastAsia="宋体"/>
                <w:bCs/>
                <w:color w:val="auto"/>
                <w:sz w:val="24"/>
                <w:lang w:val="en-US" w:eastAsia="zh-CN"/>
              </w:rPr>
              <w:t>不属于工业项目</w:t>
            </w:r>
            <w:r>
              <w:rPr>
                <w:rFonts w:hint="eastAsia" w:ascii="Times New Roman" w:hAnsi="Times New Roman"/>
                <w:bCs/>
                <w:color w:val="auto"/>
                <w:sz w:val="24"/>
                <w:lang w:val="en-US" w:eastAsia="zh-CN"/>
              </w:rPr>
              <w:t>。</w:t>
            </w:r>
            <w:r>
              <w:rPr>
                <w:rFonts w:hint="eastAsia" w:ascii="Times New Roman" w:hAnsi="Times New Roman" w:eastAsia="宋体"/>
                <w:bCs/>
                <w:color w:val="auto"/>
                <w:sz w:val="24"/>
                <w:lang w:val="en-US" w:eastAsia="zh-CN"/>
              </w:rPr>
              <w:t>故项目选址可不入工业园区，不</w:t>
            </w:r>
            <w:r>
              <w:rPr>
                <w:rFonts w:hint="eastAsia" w:ascii="Times New Roman" w:hAnsi="Times New Roman"/>
                <w:bCs/>
                <w:color w:val="auto"/>
                <w:sz w:val="24"/>
                <w:lang w:val="en-US" w:eastAsia="zh-CN"/>
              </w:rPr>
              <w:t>报</w:t>
            </w:r>
            <w:r>
              <w:rPr>
                <w:rFonts w:hint="default" w:ascii="Times New Roman" w:hAnsi="Times New Roman" w:eastAsia="宋体"/>
                <w:bCs/>
                <w:color w:val="auto"/>
                <w:sz w:val="24"/>
                <w:lang w:val="en-US" w:eastAsia="zh-CN"/>
              </w:rPr>
              <w:t>工业和信息化局备案。</w:t>
            </w:r>
          </w:p>
          <w:p w14:paraId="152692BD">
            <w:pPr>
              <w:pStyle w:val="22"/>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eastAsiaTheme="minorEastAsia"/>
                <w:color w:val="auto"/>
                <w:kern w:val="0"/>
                <w:sz w:val="24"/>
                <w:szCs w:val="24"/>
                <w:lang w:val="en-US" w:eastAsia="zh-CN" w:bidi="ar"/>
              </w:rPr>
              <w:t>根据寻甸县自然资源局出具的“关于</w:t>
            </w:r>
            <w:r>
              <w:rPr>
                <w:rFonts w:hint="default" w:ascii="Times New Roman" w:hAnsi="Times New Roman" w:cs="Times New Roman"/>
                <w:sz w:val="24"/>
                <w:szCs w:val="24"/>
                <w:vertAlign w:val="baseline"/>
                <w:lang w:val="en-US" w:eastAsia="zh-CN"/>
              </w:rPr>
              <w:t>寻甸锦晟源商贸有限公司年处理10万吨褐煤提质项目</w:t>
            </w:r>
            <w:r>
              <w:rPr>
                <w:rFonts w:hint="default" w:ascii="Times New Roman" w:hAnsi="Times New Roman" w:cs="Times New Roman" w:eastAsiaTheme="minorEastAsia"/>
                <w:color w:val="auto"/>
                <w:kern w:val="0"/>
                <w:sz w:val="24"/>
                <w:szCs w:val="24"/>
                <w:lang w:val="en-US" w:eastAsia="zh-CN" w:bidi="ar"/>
              </w:rPr>
              <w:t>是否涉及生态保护红线、城镇开发边界的情况说明”，</w:t>
            </w:r>
            <w:r>
              <w:rPr>
                <w:rFonts w:hint="eastAsia" w:ascii="Times New Roman" w:hAnsi="Times New Roman" w:eastAsia="宋体"/>
                <w:bCs/>
                <w:color w:val="auto"/>
                <w:sz w:val="24"/>
                <w:lang w:val="en-US" w:eastAsia="zh-CN"/>
              </w:rPr>
              <w:t>项目选址未与寻甸县生态保护红线重叠，不涉及城镇开发边界，不占用永久基本</w:t>
            </w:r>
            <w:r>
              <w:rPr>
                <w:rFonts w:hint="eastAsia" w:ascii="Times New Roman" w:hAnsi="Times New Roman"/>
                <w:color w:val="auto"/>
                <w:lang w:val="en-US" w:eastAsia="zh-CN"/>
              </w:rPr>
              <w:t>农田</w:t>
            </w:r>
            <w:r>
              <w:rPr>
                <w:rFonts w:hint="eastAsia"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项目用地性质为工业用地。</w:t>
            </w:r>
          </w:p>
          <w:p w14:paraId="1A523F5E">
            <w:pPr>
              <w:pStyle w:val="22"/>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default" w:ascii="Times New Roman" w:hAnsi="Times New Roman" w:cs="Times New Roman" w:eastAsiaTheme="minorEastAsia"/>
                <w:color w:val="auto"/>
                <w:kern w:val="0"/>
                <w:sz w:val="24"/>
                <w:szCs w:val="24"/>
                <w:lang w:val="en-US" w:eastAsia="zh-CN" w:bidi="ar"/>
              </w:rPr>
            </w:pPr>
            <w:r>
              <w:rPr>
                <w:rFonts w:hint="eastAsia" w:ascii="Times New Roman" w:hAnsi="Times New Roman" w:cs="Times New Roman" w:eastAsiaTheme="minorEastAsia"/>
                <w:color w:val="auto"/>
                <w:kern w:val="0"/>
                <w:sz w:val="24"/>
                <w:szCs w:val="24"/>
                <w:lang w:val="en-US" w:eastAsia="zh-CN" w:bidi="ar"/>
              </w:rPr>
              <w:t>项目区域配套基础设施完善，</w:t>
            </w:r>
            <w:r>
              <w:rPr>
                <w:rFonts w:hint="default" w:ascii="Times New Roman" w:hAnsi="Times New Roman" w:cs="Times New Roman" w:eastAsiaTheme="minorEastAsia"/>
                <w:color w:val="auto"/>
                <w:kern w:val="0"/>
                <w:sz w:val="24"/>
                <w:szCs w:val="24"/>
                <w:lang w:val="en-US" w:eastAsia="zh-CN" w:bidi="ar"/>
              </w:rPr>
              <w:t>项目厂址所在区域大气环境、声环境</w:t>
            </w:r>
            <w:r>
              <w:rPr>
                <w:rFonts w:hint="eastAsia" w:ascii="Times New Roman" w:hAnsi="Times New Roman" w:cs="Times New Roman" w:eastAsiaTheme="minorEastAsia"/>
                <w:color w:val="auto"/>
                <w:kern w:val="0"/>
                <w:sz w:val="24"/>
                <w:szCs w:val="24"/>
                <w:lang w:val="en-US" w:eastAsia="zh-CN" w:bidi="ar"/>
              </w:rPr>
              <w:t>、地表水环境</w:t>
            </w:r>
            <w:r>
              <w:rPr>
                <w:rFonts w:hint="default" w:ascii="Times New Roman" w:hAnsi="Times New Roman" w:cs="Times New Roman" w:eastAsiaTheme="minorEastAsia"/>
                <w:color w:val="auto"/>
                <w:kern w:val="0"/>
                <w:sz w:val="24"/>
                <w:szCs w:val="24"/>
                <w:lang w:val="en-US" w:eastAsia="zh-CN" w:bidi="ar"/>
              </w:rPr>
              <w:t>均能满足当前环境功能区划的要求。经过工程分析和环境影响分析，项目运营期产生的“三废”通过采取行之有效的措施妥善处理并确保各污染物达标排放后，项目产生的“三废”不会对环境造成大的影响，项目建设不会降低和改变区域的环境质量和环境功能。</w:t>
            </w:r>
          </w:p>
          <w:p w14:paraId="2919DAC2">
            <w:pPr>
              <w:pStyle w:val="22"/>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default" w:ascii="Times New Roman" w:hAnsi="Times New Roman" w:cs="Times New Roman" w:eastAsiaTheme="minorEastAsia"/>
                <w:color w:val="auto"/>
                <w:kern w:val="0"/>
                <w:sz w:val="24"/>
                <w:szCs w:val="24"/>
                <w:lang w:val="en-US" w:eastAsia="zh-CN" w:bidi="ar"/>
              </w:rPr>
            </w:pPr>
            <w:r>
              <w:rPr>
                <w:rFonts w:hint="eastAsia" w:ascii="Times New Roman" w:hAnsi="Times New Roman" w:cs="Times New Roman" w:eastAsiaTheme="minorEastAsia"/>
                <w:color w:val="auto"/>
                <w:kern w:val="0"/>
                <w:sz w:val="24"/>
                <w:szCs w:val="24"/>
                <w:lang w:val="en-US" w:eastAsia="zh-CN" w:bidi="ar"/>
              </w:rPr>
              <w:t>综上所述</w:t>
            </w:r>
            <w:r>
              <w:rPr>
                <w:rFonts w:hint="default" w:ascii="Times New Roman" w:hAnsi="Times New Roman" w:cs="Times New Roman" w:eastAsiaTheme="minorEastAsia"/>
                <w:color w:val="auto"/>
                <w:kern w:val="0"/>
                <w:sz w:val="24"/>
                <w:szCs w:val="24"/>
                <w:lang w:val="en-US" w:eastAsia="zh-CN" w:bidi="ar"/>
              </w:rPr>
              <w:t>，从环保角度来看，项目选址可行。</w:t>
            </w:r>
          </w:p>
          <w:p w14:paraId="5BAEE49D">
            <w:pPr>
              <w:pStyle w:val="22"/>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82" w:firstLineChars="200"/>
              <w:jc w:val="left"/>
              <w:textAlignment w:val="auto"/>
              <w:rPr>
                <w:rFonts w:hint="default" w:ascii="Times New Roman" w:hAnsi="Times New Roman" w:cs="Times New Roman" w:eastAsiaTheme="minorEastAsia"/>
                <w:b/>
                <w:bCs/>
                <w:color w:val="auto"/>
                <w:kern w:val="0"/>
                <w:sz w:val="24"/>
                <w:szCs w:val="24"/>
                <w:lang w:val="en-US" w:eastAsia="zh-CN" w:bidi="ar"/>
              </w:rPr>
            </w:pPr>
            <w:r>
              <w:rPr>
                <w:rFonts w:hint="eastAsia" w:ascii="Times New Roman" w:hAnsi="Times New Roman" w:cs="Times New Roman" w:eastAsiaTheme="minorEastAsia"/>
                <w:b/>
                <w:bCs/>
                <w:color w:val="auto"/>
                <w:kern w:val="0"/>
                <w:sz w:val="24"/>
                <w:szCs w:val="24"/>
                <w:lang w:val="en-US" w:eastAsia="zh-CN" w:bidi="ar"/>
              </w:rPr>
              <w:t>14、</w:t>
            </w:r>
            <w:r>
              <w:rPr>
                <w:rFonts w:hint="default" w:ascii="Times New Roman" w:hAnsi="Times New Roman" w:cs="Times New Roman" w:eastAsiaTheme="minorEastAsia"/>
                <w:b/>
                <w:bCs/>
                <w:color w:val="auto"/>
                <w:kern w:val="0"/>
                <w:sz w:val="24"/>
                <w:szCs w:val="24"/>
                <w:lang w:val="en-US" w:eastAsia="zh-CN" w:bidi="ar"/>
              </w:rPr>
              <w:t>环境相容性分析</w:t>
            </w:r>
          </w:p>
          <w:p w14:paraId="577B9BB0">
            <w:pPr>
              <w:pStyle w:val="22"/>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default" w:ascii="Times New Roman" w:hAnsi="Times New Roman" w:cs="Times New Roman" w:eastAsiaTheme="minorEastAsia"/>
                <w:color w:val="auto"/>
                <w:kern w:val="0"/>
                <w:sz w:val="24"/>
                <w:szCs w:val="24"/>
                <w:lang w:val="en-US" w:eastAsia="zh-CN" w:bidi="ar"/>
              </w:rPr>
            </w:pPr>
            <w:r>
              <w:rPr>
                <w:rFonts w:hint="eastAsia" w:ascii="Times New Roman" w:hAnsi="Times New Roman" w:cs="Times New Roman"/>
                <w:color w:val="auto"/>
                <w:sz w:val="24"/>
                <w:szCs w:val="24"/>
                <w:lang w:val="en-US" w:eastAsia="zh-CN"/>
              </w:rPr>
              <w:t>项目位于昆明市寻甸县金所街道三月三路中段，</w:t>
            </w:r>
            <w:r>
              <w:rPr>
                <w:rFonts w:hint="default" w:ascii="Times New Roman" w:hAnsi="Times New Roman" w:cs="Times New Roman"/>
                <w:color w:val="auto"/>
                <w:sz w:val="24"/>
                <w:szCs w:val="24"/>
                <w:lang w:val="en-US" w:eastAsia="zh-CN"/>
              </w:rPr>
              <w:t>租用</w:t>
            </w:r>
            <w:r>
              <w:rPr>
                <w:rFonts w:hint="eastAsia" w:ascii="Times New Roman" w:hAnsi="Times New Roman" w:cs="Times New Roman"/>
                <w:color w:val="auto"/>
                <w:sz w:val="24"/>
                <w:szCs w:val="24"/>
                <w:lang w:val="en-US" w:eastAsia="zh-CN"/>
              </w:rPr>
              <w:t>云南昆明亦标水泥有限公司</w:t>
            </w:r>
            <w:r>
              <w:rPr>
                <w:rFonts w:hint="default" w:ascii="Times New Roman" w:hAnsi="Times New Roman" w:eastAsia="宋体" w:cs="Times New Roman"/>
                <w:color w:val="auto"/>
                <w:kern w:val="2"/>
                <w:sz w:val="24"/>
                <w:szCs w:val="24"/>
                <w:lang w:val="en-US" w:eastAsia="zh-CN" w:bidi="ar-SA"/>
              </w:rPr>
              <w:t>原有占地</w:t>
            </w:r>
            <w:r>
              <w:rPr>
                <w:rFonts w:hint="default" w:ascii="Times New Roman" w:hAnsi="Times New Roman" w:cs="Times New Roman"/>
                <w:color w:val="auto"/>
                <w:kern w:val="2"/>
                <w:sz w:val="24"/>
                <w:szCs w:val="24"/>
                <w:lang w:val="en-US" w:eastAsia="zh-CN" w:bidi="ar-SA"/>
              </w:rPr>
              <w:t>进行煤炭仓储转运</w:t>
            </w:r>
            <w:r>
              <w:rPr>
                <w:rFonts w:hint="default" w:ascii="Times New Roman" w:hAnsi="Times New Roman" w:cs="Times New Roman"/>
                <w:color w:val="auto"/>
                <w:sz w:val="24"/>
                <w:szCs w:val="24"/>
                <w:lang w:val="en-US" w:eastAsia="zh-CN"/>
              </w:rPr>
              <w:t>，</w:t>
            </w:r>
            <w:r>
              <w:rPr>
                <w:rFonts w:hint="default" w:ascii="Times New Roman" w:hAnsi="Times New Roman" w:cs="Times New Roman" w:eastAsiaTheme="minorEastAsia"/>
                <w:color w:val="auto"/>
                <w:kern w:val="0"/>
                <w:sz w:val="24"/>
                <w:szCs w:val="24"/>
                <w:lang w:val="en-US" w:eastAsia="zh-CN" w:bidi="ar"/>
              </w:rPr>
              <w:t>根据现场调查，项目周边500m范围内主要为</w:t>
            </w:r>
            <w:r>
              <w:rPr>
                <w:rFonts w:hint="eastAsia" w:ascii="Times New Roman" w:hAnsi="Times New Roman" w:cs="Times New Roman" w:eastAsiaTheme="minorEastAsia"/>
                <w:color w:val="auto"/>
                <w:kern w:val="0"/>
                <w:sz w:val="24"/>
                <w:szCs w:val="24"/>
                <w:lang w:val="en-US" w:eastAsia="zh-CN" w:bidi="ar"/>
              </w:rPr>
              <w:t>建材加工行业，</w:t>
            </w:r>
            <w:r>
              <w:rPr>
                <w:rFonts w:hint="default" w:ascii="Times New Roman" w:hAnsi="Times New Roman" w:cs="Times New Roman" w:eastAsiaTheme="minorEastAsia"/>
                <w:color w:val="auto"/>
                <w:kern w:val="0"/>
                <w:sz w:val="24"/>
                <w:szCs w:val="24"/>
                <w:lang w:val="en-US" w:eastAsia="zh-CN" w:bidi="ar"/>
              </w:rPr>
              <w:t>具体情况见</w:t>
            </w:r>
            <w:r>
              <w:rPr>
                <w:rFonts w:hint="eastAsia" w:ascii="Times New Roman" w:hAnsi="Times New Roman" w:cs="Times New Roman" w:eastAsiaTheme="minorEastAsia"/>
                <w:color w:val="auto"/>
                <w:kern w:val="0"/>
                <w:sz w:val="24"/>
                <w:szCs w:val="24"/>
                <w:lang w:val="en-US" w:eastAsia="zh-CN" w:bidi="ar"/>
              </w:rPr>
              <w:t>下</w:t>
            </w:r>
            <w:r>
              <w:rPr>
                <w:rFonts w:hint="default" w:ascii="Times New Roman" w:hAnsi="Times New Roman" w:cs="Times New Roman" w:eastAsiaTheme="minorEastAsia"/>
                <w:color w:val="auto"/>
                <w:kern w:val="0"/>
                <w:sz w:val="24"/>
                <w:szCs w:val="24"/>
                <w:lang w:val="en-US" w:eastAsia="zh-CN" w:bidi="ar"/>
              </w:rPr>
              <w:t>表。</w:t>
            </w:r>
          </w:p>
          <w:p w14:paraId="06473D95">
            <w:pPr>
              <w:spacing w:line="240" w:lineRule="auto"/>
              <w:ind w:firstLine="0" w:firstLineChars="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 1-1</w:t>
            </w:r>
            <w:r>
              <w:rPr>
                <w:rFonts w:hint="eastAsia" w:cs="Times New Roman"/>
                <w:b/>
                <w:bCs/>
                <w:color w:val="auto"/>
                <w:szCs w:val="21"/>
                <w:highlight w:val="none"/>
                <w:lang w:val="en-US" w:eastAsia="zh-CN"/>
              </w:rPr>
              <w:t>3</w:t>
            </w:r>
            <w:r>
              <w:rPr>
                <w:rFonts w:hint="eastAsia" w:ascii="Times New Roman" w:hAnsi="Times New Roman" w:cs="Times New Roman"/>
                <w:b/>
                <w:bCs/>
                <w:color w:val="auto"/>
                <w:szCs w:val="21"/>
                <w:highlight w:val="none"/>
                <w:lang w:val="en-US" w:eastAsia="zh-CN"/>
              </w:rPr>
              <w:t xml:space="preserve"> </w:t>
            </w:r>
            <w:r>
              <w:rPr>
                <w:rFonts w:hint="default" w:ascii="Times New Roman" w:hAnsi="Times New Roman" w:eastAsia="宋体" w:cs="Times New Roman"/>
                <w:b/>
                <w:bCs/>
                <w:color w:val="auto"/>
                <w:szCs w:val="21"/>
                <w:highlight w:val="none"/>
              </w:rPr>
              <w:t>本项目周边情况一览表</w:t>
            </w:r>
          </w:p>
          <w:tbl>
            <w:tblPr>
              <w:tblStyle w:val="53"/>
              <w:tblW w:w="71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4"/>
              <w:gridCol w:w="1481"/>
              <w:gridCol w:w="978"/>
              <w:gridCol w:w="1825"/>
              <w:gridCol w:w="2390"/>
            </w:tblGrid>
            <w:tr w14:paraId="099C4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11" w:hRule="atLeast"/>
                <w:jc w:val="center"/>
              </w:trPr>
              <w:tc>
                <w:tcPr>
                  <w:tcW w:w="504" w:type="dxa"/>
                  <w:textDirection w:val="tbRlV"/>
                  <w:vAlign w:val="center"/>
                </w:tcPr>
                <w:p w14:paraId="4E44CAC8">
                  <w:pPr>
                    <w:spacing w:line="240" w:lineRule="auto"/>
                    <w:ind w:firstLine="0" w:firstLineChars="0"/>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序号</w:t>
                  </w:r>
                </w:p>
              </w:tc>
              <w:tc>
                <w:tcPr>
                  <w:tcW w:w="1481" w:type="dxa"/>
                  <w:vAlign w:val="center"/>
                </w:tcPr>
                <w:p w14:paraId="382DA5EA">
                  <w:pPr>
                    <w:spacing w:line="240" w:lineRule="auto"/>
                    <w:ind w:firstLine="0" w:firstLineChars="0"/>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工业企业单位名称</w:t>
                  </w:r>
                </w:p>
              </w:tc>
              <w:tc>
                <w:tcPr>
                  <w:tcW w:w="978" w:type="dxa"/>
                  <w:vAlign w:val="center"/>
                </w:tcPr>
                <w:p w14:paraId="56E12630">
                  <w:pPr>
                    <w:spacing w:line="240" w:lineRule="auto"/>
                    <w:ind w:firstLine="0" w:firstLineChars="0"/>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与本项目厂界方位、距离</w:t>
                  </w:r>
                </w:p>
              </w:tc>
              <w:tc>
                <w:tcPr>
                  <w:tcW w:w="1825" w:type="dxa"/>
                  <w:vAlign w:val="center"/>
                </w:tcPr>
                <w:p w14:paraId="22FCE863">
                  <w:pPr>
                    <w:spacing w:line="240" w:lineRule="auto"/>
                    <w:ind w:firstLine="0" w:firstLineChars="0"/>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主营业务</w:t>
                  </w:r>
                </w:p>
              </w:tc>
              <w:tc>
                <w:tcPr>
                  <w:tcW w:w="2390" w:type="dxa"/>
                  <w:vAlign w:val="center"/>
                </w:tcPr>
                <w:p w14:paraId="3C3D9EBE">
                  <w:pPr>
                    <w:spacing w:line="240" w:lineRule="auto"/>
                    <w:ind w:firstLine="0" w:firstLineChars="0"/>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主要污染物</w:t>
                  </w:r>
                </w:p>
              </w:tc>
            </w:tr>
            <w:tr w14:paraId="29107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jc w:val="center"/>
              </w:trPr>
              <w:tc>
                <w:tcPr>
                  <w:tcW w:w="504" w:type="dxa"/>
                  <w:vAlign w:val="center"/>
                </w:tcPr>
                <w:p w14:paraId="3797A1D1">
                  <w:pPr>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1</w:t>
                  </w:r>
                </w:p>
              </w:tc>
              <w:tc>
                <w:tcPr>
                  <w:tcW w:w="1481" w:type="dxa"/>
                  <w:vAlign w:val="center"/>
                </w:tcPr>
                <w:p w14:paraId="574C451C">
                  <w:pPr>
                    <w:spacing w:line="240" w:lineRule="auto"/>
                    <w:ind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寻甸</w:t>
                  </w:r>
                  <w:r>
                    <w:rPr>
                      <w:rFonts w:hint="eastAsia" w:cs="宋体"/>
                      <w:color w:val="auto"/>
                      <w:sz w:val="21"/>
                      <w:szCs w:val="21"/>
                      <w:lang w:val="en-US" w:eastAsia="zh-CN"/>
                    </w:rPr>
                    <w:t>金哨混凝土厂</w:t>
                  </w:r>
                </w:p>
              </w:tc>
              <w:tc>
                <w:tcPr>
                  <w:tcW w:w="978" w:type="dxa"/>
                  <w:vAlign w:val="center"/>
                </w:tcPr>
                <w:p w14:paraId="6E5B26A9">
                  <w:pPr>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东侧</w:t>
                  </w:r>
                  <w:r>
                    <w:rPr>
                      <w:rFonts w:hint="eastAsia" w:cs="宋体"/>
                      <w:color w:val="auto"/>
                      <w:sz w:val="21"/>
                      <w:szCs w:val="21"/>
                      <w:lang w:val="en-US" w:eastAsia="zh-CN"/>
                    </w:rPr>
                    <w:t>15</w:t>
                  </w:r>
                  <w:r>
                    <w:rPr>
                      <w:rFonts w:hint="eastAsia" w:ascii="Times New Roman" w:hAnsi="Times New Roman" w:eastAsia="宋体" w:cs="宋体"/>
                      <w:color w:val="auto"/>
                      <w:sz w:val="21"/>
                      <w:szCs w:val="21"/>
                      <w:lang w:val="en-US" w:eastAsia="zh-CN"/>
                    </w:rPr>
                    <w:t>m</w:t>
                  </w:r>
                </w:p>
              </w:tc>
              <w:tc>
                <w:tcPr>
                  <w:tcW w:w="1825" w:type="dxa"/>
                  <w:vAlign w:val="center"/>
                </w:tcPr>
                <w:p w14:paraId="6845C5DD">
                  <w:pPr>
                    <w:spacing w:line="240" w:lineRule="auto"/>
                    <w:ind w:firstLine="0" w:firstLineChars="0"/>
                    <w:jc w:val="center"/>
                    <w:rPr>
                      <w:rFonts w:hint="default" w:ascii="Times New Roman" w:hAnsi="Times New Roman" w:eastAsia="宋体" w:cs="宋体"/>
                      <w:color w:val="auto"/>
                      <w:sz w:val="21"/>
                      <w:szCs w:val="21"/>
                      <w:lang w:val="en-US" w:eastAsia="zh-CN"/>
                    </w:rPr>
                  </w:pPr>
                  <w:r>
                    <w:rPr>
                      <w:rFonts w:hint="eastAsia" w:cs="宋体"/>
                      <w:color w:val="auto"/>
                      <w:sz w:val="21"/>
                      <w:szCs w:val="21"/>
                      <w:lang w:val="en-US" w:eastAsia="zh-CN"/>
                    </w:rPr>
                    <w:t>水泥、砂石料生产</w:t>
                  </w:r>
                </w:p>
              </w:tc>
              <w:tc>
                <w:tcPr>
                  <w:tcW w:w="2390" w:type="dxa"/>
                  <w:vAlign w:val="center"/>
                </w:tcPr>
                <w:p w14:paraId="235C91A5">
                  <w:pPr>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废气：颗粒物；噪声；固废；</w:t>
                  </w:r>
                </w:p>
              </w:tc>
            </w:tr>
            <w:tr w14:paraId="52497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jc w:val="center"/>
              </w:trPr>
              <w:tc>
                <w:tcPr>
                  <w:tcW w:w="504" w:type="dxa"/>
                  <w:vAlign w:val="center"/>
                </w:tcPr>
                <w:p w14:paraId="6B3C4578">
                  <w:pPr>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2</w:t>
                  </w:r>
                </w:p>
              </w:tc>
              <w:tc>
                <w:tcPr>
                  <w:tcW w:w="1481" w:type="dxa"/>
                  <w:vAlign w:val="center"/>
                </w:tcPr>
                <w:p w14:paraId="1D0B951A">
                  <w:pPr>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cs="Times New Roman"/>
                      <w:color w:val="auto"/>
                      <w:sz w:val="24"/>
                      <w:szCs w:val="24"/>
                      <w:lang w:val="en-US" w:eastAsia="zh-CN"/>
                    </w:rPr>
                    <w:t>云南昆明亦标水泥有限公司</w:t>
                  </w:r>
                </w:p>
              </w:tc>
              <w:tc>
                <w:tcPr>
                  <w:tcW w:w="978" w:type="dxa"/>
                  <w:vAlign w:val="center"/>
                </w:tcPr>
                <w:p w14:paraId="69FAADE1">
                  <w:pPr>
                    <w:spacing w:line="240" w:lineRule="auto"/>
                    <w:ind w:firstLine="0" w:firstLineChars="0"/>
                    <w:jc w:val="center"/>
                    <w:rPr>
                      <w:rFonts w:hint="default" w:ascii="Times New Roman" w:hAnsi="Times New Roman" w:eastAsia="宋体" w:cs="宋体"/>
                      <w:color w:val="auto"/>
                      <w:sz w:val="21"/>
                      <w:szCs w:val="21"/>
                      <w:lang w:val="en-US" w:eastAsia="zh-CN"/>
                    </w:rPr>
                  </w:pPr>
                  <w:r>
                    <w:rPr>
                      <w:rFonts w:hint="eastAsia" w:cs="宋体"/>
                      <w:color w:val="auto"/>
                      <w:sz w:val="21"/>
                      <w:szCs w:val="21"/>
                      <w:lang w:val="en-US" w:eastAsia="zh-CN"/>
                    </w:rPr>
                    <w:t>西</w:t>
                  </w:r>
                  <w:r>
                    <w:rPr>
                      <w:rFonts w:hint="eastAsia" w:ascii="Times New Roman" w:hAnsi="Times New Roman" w:eastAsia="宋体" w:cs="宋体"/>
                      <w:color w:val="auto"/>
                      <w:sz w:val="21"/>
                      <w:szCs w:val="21"/>
                      <w:lang w:val="en-US" w:eastAsia="zh-CN"/>
                    </w:rPr>
                    <w:t>侧紧邻</w:t>
                  </w:r>
                </w:p>
              </w:tc>
              <w:tc>
                <w:tcPr>
                  <w:tcW w:w="1825" w:type="dxa"/>
                  <w:vAlign w:val="center"/>
                </w:tcPr>
                <w:p w14:paraId="2F70FF15">
                  <w:pPr>
                    <w:spacing w:line="240" w:lineRule="auto"/>
                    <w:ind w:firstLine="0" w:firstLineChars="0"/>
                    <w:jc w:val="center"/>
                    <w:rPr>
                      <w:rFonts w:hint="default" w:ascii="Times New Roman" w:hAnsi="Times New Roman" w:eastAsia="宋体" w:cs="宋体"/>
                      <w:color w:val="auto"/>
                      <w:sz w:val="21"/>
                      <w:szCs w:val="21"/>
                      <w:lang w:val="en-US" w:eastAsia="zh-CN"/>
                    </w:rPr>
                  </w:pPr>
                  <w:r>
                    <w:rPr>
                      <w:rFonts w:hint="eastAsia" w:cs="宋体"/>
                      <w:color w:val="auto"/>
                      <w:sz w:val="21"/>
                      <w:szCs w:val="21"/>
                      <w:lang w:val="en-US" w:eastAsia="zh-CN"/>
                    </w:rPr>
                    <w:t>砂石料堆存</w:t>
                  </w:r>
                </w:p>
              </w:tc>
              <w:tc>
                <w:tcPr>
                  <w:tcW w:w="2390" w:type="dxa"/>
                  <w:vAlign w:val="center"/>
                </w:tcPr>
                <w:p w14:paraId="7D132DC6">
                  <w:pPr>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废气：</w:t>
                  </w:r>
                  <w:r>
                    <w:rPr>
                      <w:rFonts w:hint="eastAsia" w:cs="宋体"/>
                      <w:color w:val="auto"/>
                      <w:sz w:val="21"/>
                      <w:szCs w:val="21"/>
                      <w:lang w:val="en-US" w:eastAsia="zh-CN"/>
                    </w:rPr>
                    <w:t>颗粒物</w:t>
                  </w:r>
                  <w:r>
                    <w:rPr>
                      <w:rFonts w:hint="eastAsia" w:ascii="Times New Roman" w:hAnsi="Times New Roman" w:eastAsia="宋体" w:cs="宋体"/>
                      <w:color w:val="auto"/>
                      <w:sz w:val="21"/>
                      <w:szCs w:val="21"/>
                      <w:lang w:val="en-US" w:eastAsia="zh-CN"/>
                    </w:rPr>
                    <w:t>；噪声；固废；</w:t>
                  </w:r>
                </w:p>
              </w:tc>
            </w:tr>
          </w:tbl>
          <w:p w14:paraId="0A65C36D">
            <w:pPr>
              <w:pStyle w:val="54"/>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en-US" w:eastAsia="zh-CN" w:bidi="ar-SA"/>
              </w:rPr>
              <w:t>从对项目周边企业情况调查可知，周围的企业对本项目无制约性因素。根据工程分析，</w:t>
            </w:r>
            <w:r>
              <w:rPr>
                <w:rFonts w:hint="default" w:ascii="Times New Roman" w:hAnsi="Times New Roman" w:eastAsia="宋体" w:cs="Times New Roman"/>
                <w:color w:val="auto"/>
                <w:kern w:val="2"/>
                <w:sz w:val="24"/>
                <w:szCs w:val="24"/>
                <w:highlight w:val="none"/>
                <w:lang w:val="zh-CN" w:eastAsia="zh-CN" w:bidi="ar-SA"/>
              </w:rPr>
              <w:t>项目</w:t>
            </w:r>
            <w:r>
              <w:rPr>
                <w:rFonts w:hint="default" w:ascii="Times New Roman" w:hAnsi="Times New Roman" w:eastAsia="宋体" w:cs="Times New Roman"/>
                <w:color w:val="auto"/>
                <w:kern w:val="2"/>
                <w:sz w:val="24"/>
                <w:szCs w:val="24"/>
                <w:highlight w:val="none"/>
                <w:lang w:val="en-US" w:eastAsia="zh-CN" w:bidi="ar-SA"/>
              </w:rPr>
              <w:t>产生的</w:t>
            </w:r>
            <w:r>
              <w:rPr>
                <w:rFonts w:hint="default" w:ascii="Times New Roman" w:hAnsi="Times New Roman" w:eastAsia="宋体" w:cs="Times New Roman"/>
                <w:color w:val="auto"/>
                <w:kern w:val="2"/>
                <w:sz w:val="24"/>
                <w:szCs w:val="24"/>
                <w:highlight w:val="none"/>
                <w:lang w:val="zh-CN" w:eastAsia="zh-CN" w:bidi="ar-SA"/>
              </w:rPr>
              <w:t>噪声、废气、</w:t>
            </w:r>
            <w:r>
              <w:rPr>
                <w:rFonts w:hint="default" w:ascii="Times New Roman" w:hAnsi="Times New Roman" w:eastAsia="宋体" w:cs="Times New Roman"/>
                <w:color w:val="auto"/>
                <w:kern w:val="2"/>
                <w:sz w:val="24"/>
                <w:szCs w:val="24"/>
                <w:highlight w:val="none"/>
                <w:lang w:val="en-US" w:eastAsia="zh-CN" w:bidi="ar-SA"/>
              </w:rPr>
              <w:t>废水</w:t>
            </w:r>
            <w:r>
              <w:rPr>
                <w:rFonts w:hint="default" w:ascii="Times New Roman" w:hAnsi="Times New Roman" w:eastAsia="宋体" w:cs="Times New Roman"/>
                <w:color w:val="auto"/>
                <w:kern w:val="2"/>
                <w:sz w:val="24"/>
                <w:szCs w:val="24"/>
                <w:highlight w:val="none"/>
                <w:lang w:val="zh-CN" w:eastAsia="zh-CN" w:bidi="ar-SA"/>
              </w:rPr>
              <w:t>均能达标排放，</w:t>
            </w:r>
            <w:r>
              <w:rPr>
                <w:rFonts w:hint="default" w:ascii="Times New Roman" w:hAnsi="Times New Roman" w:eastAsia="宋体" w:cs="Times New Roman"/>
                <w:color w:val="auto"/>
                <w:kern w:val="2"/>
                <w:sz w:val="24"/>
                <w:szCs w:val="24"/>
                <w:highlight w:val="none"/>
                <w:lang w:val="en-US" w:eastAsia="zh-CN" w:bidi="ar-SA"/>
              </w:rPr>
              <w:t>固体废物100%合理处置，</w:t>
            </w:r>
            <w:r>
              <w:rPr>
                <w:rFonts w:hint="default" w:ascii="Times New Roman" w:hAnsi="Times New Roman" w:eastAsia="宋体" w:cs="Times New Roman"/>
                <w:color w:val="auto"/>
                <w:kern w:val="2"/>
                <w:sz w:val="24"/>
                <w:szCs w:val="24"/>
                <w:highlight w:val="none"/>
                <w:lang w:val="zh-CN" w:eastAsia="zh-CN" w:bidi="ar-SA"/>
              </w:rPr>
              <w:t>项目的生产对周围企业的影响不大。</w:t>
            </w:r>
          </w:p>
          <w:p w14:paraId="1C2F2609">
            <w:pPr>
              <w:pageBreakBefore w:val="0"/>
              <w:kinsoku/>
              <w:wordWrap w:val="0"/>
              <w:overflowPunct/>
              <w:bidi w:val="0"/>
              <w:adjustRightInd w:val="0"/>
              <w:snapToGrid w:val="0"/>
              <w:spacing w:line="360" w:lineRule="auto"/>
              <w:ind w:firstLine="480" w:firstLineChars="200"/>
              <w:rPr>
                <w:rFonts w:hint="default" w:ascii="Times New Roman" w:hAnsi="Times New Roman" w:cs="Times New Roman"/>
                <w:color w:val="FF0000"/>
                <w:kern w:val="0"/>
                <w:sz w:val="24"/>
                <w:szCs w:val="20"/>
                <w:highlight w:val="none"/>
                <w:u w:val="single"/>
                <w:lang w:val="en-US" w:eastAsia="zh-CN" w:bidi="ar-SA"/>
              </w:rPr>
            </w:pPr>
            <w:r>
              <w:rPr>
                <w:rFonts w:hint="default" w:ascii="Times New Roman" w:hAnsi="Times New Roman" w:eastAsia="宋体" w:cs="Times New Roman"/>
                <w:color w:val="auto"/>
                <w:kern w:val="2"/>
                <w:sz w:val="24"/>
                <w:szCs w:val="24"/>
                <w:highlight w:val="none"/>
                <w:lang w:val="zh-CN" w:eastAsia="zh-CN" w:bidi="ar-SA"/>
              </w:rPr>
              <w:t>综上所述，本项目与</w:t>
            </w:r>
            <w:r>
              <w:rPr>
                <w:rFonts w:hint="default" w:ascii="Times New Roman" w:hAnsi="Times New Roman" w:eastAsia="宋体" w:cs="Times New Roman"/>
                <w:color w:val="auto"/>
                <w:kern w:val="2"/>
                <w:sz w:val="24"/>
                <w:szCs w:val="24"/>
                <w:highlight w:val="none"/>
                <w:lang w:val="en-US" w:eastAsia="zh-CN" w:bidi="ar-SA"/>
              </w:rPr>
              <w:t>周边</w:t>
            </w:r>
            <w:r>
              <w:rPr>
                <w:rFonts w:hint="default" w:ascii="Times New Roman" w:hAnsi="Times New Roman" w:eastAsia="宋体" w:cs="Times New Roman"/>
                <w:color w:val="auto"/>
                <w:kern w:val="2"/>
                <w:sz w:val="24"/>
                <w:szCs w:val="24"/>
                <w:highlight w:val="none"/>
                <w:lang w:val="zh-CN" w:eastAsia="zh-CN" w:bidi="ar-SA"/>
              </w:rPr>
              <w:t>环境是相容的。</w:t>
            </w:r>
          </w:p>
          <w:p w14:paraId="7B3D56DB">
            <w:pPr>
              <w:pageBreakBefore w:val="0"/>
              <w:kinsoku/>
              <w:wordWrap w:val="0"/>
              <w:overflowPunct/>
              <w:bidi w:val="0"/>
              <w:adjustRightInd w:val="0"/>
              <w:snapToGrid w:val="0"/>
              <w:spacing w:line="360" w:lineRule="auto"/>
              <w:ind w:firstLine="480" w:firstLineChars="200"/>
              <w:rPr>
                <w:rFonts w:hint="default" w:ascii="Times New Roman" w:hAnsi="Times New Roman" w:cs="Times New Roman"/>
                <w:color w:val="FF0000"/>
                <w:kern w:val="0"/>
                <w:sz w:val="24"/>
                <w:szCs w:val="20"/>
                <w:highlight w:val="none"/>
                <w:u w:val="single"/>
                <w:lang w:val="en-US" w:eastAsia="zh-CN" w:bidi="ar-SA"/>
              </w:rPr>
            </w:pPr>
          </w:p>
          <w:p w14:paraId="43C2C4A7">
            <w:pPr>
              <w:pageBreakBefore w:val="0"/>
              <w:kinsoku/>
              <w:wordWrap w:val="0"/>
              <w:overflowPunct/>
              <w:bidi w:val="0"/>
              <w:adjustRightInd w:val="0"/>
              <w:snapToGrid w:val="0"/>
              <w:spacing w:line="360" w:lineRule="auto"/>
              <w:ind w:firstLine="480" w:firstLineChars="200"/>
              <w:rPr>
                <w:rFonts w:hint="default" w:ascii="Times New Roman" w:hAnsi="Times New Roman" w:cs="Times New Roman"/>
                <w:color w:val="FF0000"/>
                <w:kern w:val="0"/>
                <w:sz w:val="24"/>
                <w:szCs w:val="20"/>
                <w:highlight w:val="none"/>
                <w:u w:val="single"/>
                <w:lang w:val="en-US" w:eastAsia="zh-CN" w:bidi="ar-SA"/>
              </w:rPr>
            </w:pPr>
          </w:p>
          <w:p w14:paraId="67C91EA6">
            <w:pPr>
              <w:pageBreakBefore w:val="0"/>
              <w:kinsoku/>
              <w:wordWrap w:val="0"/>
              <w:overflowPunct/>
              <w:bidi w:val="0"/>
              <w:adjustRightInd w:val="0"/>
              <w:snapToGrid w:val="0"/>
              <w:spacing w:line="360" w:lineRule="auto"/>
              <w:ind w:firstLine="480" w:firstLineChars="200"/>
              <w:rPr>
                <w:rFonts w:hint="default" w:ascii="Times New Roman" w:hAnsi="Times New Roman" w:cs="Times New Roman"/>
                <w:color w:val="FF0000"/>
                <w:kern w:val="0"/>
                <w:sz w:val="24"/>
                <w:szCs w:val="20"/>
                <w:highlight w:val="none"/>
                <w:u w:val="single"/>
                <w:lang w:val="en-US" w:eastAsia="zh-CN" w:bidi="ar-SA"/>
              </w:rPr>
            </w:pPr>
          </w:p>
          <w:p w14:paraId="77C30B10">
            <w:pPr>
              <w:pageBreakBefore w:val="0"/>
              <w:kinsoku/>
              <w:wordWrap w:val="0"/>
              <w:overflowPunct/>
              <w:bidi w:val="0"/>
              <w:adjustRightInd w:val="0"/>
              <w:snapToGrid w:val="0"/>
              <w:spacing w:line="360" w:lineRule="auto"/>
              <w:ind w:firstLine="480" w:firstLineChars="200"/>
              <w:rPr>
                <w:rFonts w:hint="default" w:ascii="Times New Roman" w:hAnsi="Times New Roman" w:cs="Times New Roman"/>
                <w:color w:val="FF0000"/>
                <w:kern w:val="0"/>
                <w:sz w:val="24"/>
                <w:szCs w:val="20"/>
                <w:highlight w:val="none"/>
                <w:u w:val="single"/>
                <w:lang w:val="en-US" w:eastAsia="zh-CN" w:bidi="ar-SA"/>
              </w:rPr>
            </w:pPr>
          </w:p>
          <w:p w14:paraId="6DAA7F3E">
            <w:pPr>
              <w:pageBreakBefore w:val="0"/>
              <w:kinsoku/>
              <w:wordWrap w:val="0"/>
              <w:overflowPunct/>
              <w:bidi w:val="0"/>
              <w:adjustRightInd w:val="0"/>
              <w:snapToGrid w:val="0"/>
              <w:spacing w:line="360" w:lineRule="auto"/>
              <w:ind w:left="0" w:leftChars="0" w:firstLine="0" w:firstLineChars="0"/>
              <w:rPr>
                <w:rFonts w:hint="default" w:ascii="Times New Roman" w:hAnsi="Times New Roman" w:cs="Times New Roman"/>
                <w:color w:val="FF0000"/>
                <w:kern w:val="0"/>
                <w:sz w:val="24"/>
                <w:szCs w:val="20"/>
                <w:highlight w:val="none"/>
                <w:u w:val="single"/>
                <w:lang w:val="en-US" w:eastAsia="zh-CN" w:bidi="ar-SA"/>
              </w:rPr>
            </w:pPr>
          </w:p>
        </w:tc>
      </w:tr>
    </w:tbl>
    <w:p w14:paraId="42A5A23C">
      <w:pPr>
        <w:ind w:left="0" w:leftChars="0" w:firstLine="0" w:firstLineChars="0"/>
        <w:rPr>
          <w:rFonts w:hint="default"/>
          <w:lang w:val="en-US" w:eastAsia="zh-CN"/>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67CE405">
      <w:pPr>
        <w:pStyle w:val="2"/>
        <w:bidi w:val="0"/>
        <w:rPr>
          <w:rFonts w:hint="eastAsia"/>
          <w:lang w:val="en-US" w:eastAsia="zh-CN"/>
        </w:rPr>
      </w:pPr>
      <w:bookmarkStart w:id="6" w:name="_Toc19462"/>
      <w:r>
        <w:rPr>
          <w:rFonts w:hint="eastAsia"/>
          <w:lang w:val="en-US" w:eastAsia="zh-CN"/>
        </w:rPr>
        <w:t>二、建设项目工程分析</w:t>
      </w:r>
      <w:bookmarkEnd w:id="6"/>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6"/>
        <w:gridCol w:w="7696"/>
      </w:tblGrid>
      <w:tr w14:paraId="24193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5" w:type="dxa"/>
            <w:vAlign w:val="center"/>
          </w:tcPr>
          <w:p w14:paraId="3F94BC45">
            <w:pPr>
              <w:pStyle w:val="33"/>
              <w:bidi w:val="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建设内容</w:t>
            </w:r>
          </w:p>
        </w:tc>
        <w:tc>
          <w:tcPr>
            <w:tcW w:w="7687" w:type="dxa"/>
          </w:tcPr>
          <w:p w14:paraId="69BF19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 w:val="24"/>
                <w:lang w:val="en-US" w:eastAsia="zh-CN"/>
              </w:rPr>
            </w:pPr>
            <w:r>
              <w:rPr>
                <w:rFonts w:hint="default" w:ascii="Times New Roman" w:hAnsi="Times New Roman" w:eastAsia="宋体" w:cs="Times New Roman"/>
                <w:b/>
                <w:bCs/>
                <w:kern w:val="2"/>
                <w:sz w:val="24"/>
                <w:szCs w:val="24"/>
                <w:lang w:val="en-US" w:eastAsia="zh-CN" w:bidi="ar-SA"/>
              </w:rPr>
              <w:t>1、</w:t>
            </w:r>
            <w:r>
              <w:rPr>
                <w:rFonts w:hint="default" w:ascii="Times New Roman" w:hAnsi="Times New Roman" w:cs="Times New Roman"/>
                <w:b/>
                <w:bCs/>
                <w:sz w:val="24"/>
                <w:lang w:val="en-US" w:eastAsia="zh-CN"/>
              </w:rPr>
              <w:t>项目由来</w:t>
            </w:r>
          </w:p>
          <w:p w14:paraId="4F096750">
            <w:pPr>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lang w:val="en-US" w:eastAsia="zh-CN"/>
              </w:rPr>
            </w:pPr>
            <w:r>
              <w:rPr>
                <w:rFonts w:hint="default" w:ascii="Times New Roman" w:hAnsi="Times New Roman" w:cs="Times New Roman"/>
                <w:color w:val="auto"/>
                <w:u w:val="none"/>
                <w:lang w:val="en-US" w:eastAsia="zh-CN"/>
              </w:rPr>
              <w:t>寻甸锦晟源商贸有限公司于2023年5月25日成立，租用</w:t>
            </w:r>
            <w:r>
              <w:rPr>
                <w:rFonts w:hint="eastAsia" w:cs="Times New Roman"/>
                <w:color w:val="auto"/>
                <w:u w:val="none"/>
                <w:lang w:val="en-US" w:eastAsia="zh-CN"/>
              </w:rPr>
              <w:t>云南昆明亦标水泥有限公司</w:t>
            </w:r>
            <w:r>
              <w:rPr>
                <w:rFonts w:hint="default" w:ascii="Times New Roman" w:hAnsi="Times New Roman" w:cs="Times New Roman"/>
                <w:color w:val="auto"/>
                <w:u w:val="none"/>
                <w:lang w:val="en-US" w:eastAsia="zh-CN"/>
              </w:rPr>
              <w:t>现有办公楼1栋，厂房2座及空地建设</w:t>
            </w:r>
            <w:r>
              <w:rPr>
                <w:rFonts w:hint="default" w:ascii="Times New Roman" w:hAnsi="Times New Roman" w:cs="Times New Roman"/>
                <w:sz w:val="24"/>
                <w:szCs w:val="21"/>
                <w:vertAlign w:val="baseline"/>
                <w:lang w:val="en-US" w:eastAsia="zh-CN"/>
              </w:rPr>
              <w:t>寻甸锦晟源商贸有限公司年处理10万吨褐煤提质项目</w:t>
            </w:r>
            <w:r>
              <w:rPr>
                <w:rFonts w:hint="default" w:ascii="Times New Roman" w:hAnsi="Times New Roman" w:cs="Times New Roman"/>
                <w:color w:val="auto"/>
                <w:u w:val="none"/>
                <w:lang w:val="en-US" w:eastAsia="zh-CN"/>
              </w:rPr>
              <w:t>项目。</w:t>
            </w:r>
            <w:r>
              <w:rPr>
                <w:rFonts w:hint="default" w:ascii="Times New Roman" w:hAnsi="Times New Roman" w:cs="Times New Roman"/>
                <w:lang w:val="en-US" w:eastAsia="zh-CN"/>
              </w:rPr>
              <w:t>项目于2024年3月21日通过寻甸回族彝族自治县发展和改革局备案（备案号：2403-530129-04-05-241929）。</w:t>
            </w:r>
          </w:p>
          <w:p w14:paraId="4D32A408">
            <w:pPr>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对照《中华人民共和国环境影响评价法》《建设项目环境保护管理条例》及《建设项目环境影响评价分类管理名录（2021年版）》等的相关规定。本项目属于《建设项目环境影响评价分类管理名录（2021年版）</w:t>
            </w:r>
            <w:r>
              <w:rPr>
                <w:rFonts w:hint="default" w:ascii="Times New Roman" w:hAnsi="Times New Roman" w:cs="Times New Roman"/>
                <w:color w:val="auto"/>
                <w:lang w:val="en-US" w:eastAsia="zh-CN"/>
              </w:rPr>
              <w:t>》中“四、煤炭开采和洗选业06-褐煤开采洗选062-煤炭储存、集运”，需编制环境影</w:t>
            </w:r>
            <w:r>
              <w:rPr>
                <w:rFonts w:hint="default" w:ascii="Times New Roman" w:hAnsi="Times New Roman" w:cs="Times New Roman"/>
                <w:lang w:val="en-US" w:eastAsia="zh-CN"/>
              </w:rPr>
              <w:t>响报告表。为此，寻甸锦晟源商贸有限公司委托云南清蓝源环保科技有限公司开展该项目环境影响评价工作。云南清蓝源环保科技有限公司接受委托后，认真研究了项目有关材料，并组织技术人员进行实地踏勘和调研，收集和核实了有关材料，按照国家对建设项目环境影响评价的有关规定和有关环保政策、技术规范，编制了本项目的环境影响报告表。</w:t>
            </w:r>
          </w:p>
          <w:p w14:paraId="640798B7">
            <w:pPr>
              <w:numPr>
                <w:ilvl w:val="0"/>
                <w:numId w:val="0"/>
              </w:numPr>
              <w:ind w:firstLine="482" w:firstLineChars="200"/>
              <w:rPr>
                <w:rFonts w:hint="default" w:ascii="Times New Roman" w:hAnsi="Times New Roman" w:cs="Times New Roman"/>
                <w:b/>
                <w:bCs/>
                <w:lang w:val="en-US" w:eastAsia="zh-CN"/>
              </w:rPr>
            </w:pPr>
            <w:r>
              <w:rPr>
                <w:rFonts w:hint="default" w:ascii="Times New Roman" w:hAnsi="Times New Roman" w:eastAsia="宋体" w:cs="Times New Roman"/>
                <w:b/>
                <w:bCs/>
                <w:kern w:val="2"/>
                <w:sz w:val="24"/>
                <w:szCs w:val="24"/>
                <w:lang w:val="en-US" w:eastAsia="zh-CN" w:bidi="ar-SA"/>
              </w:rPr>
              <w:t>2、</w:t>
            </w:r>
            <w:r>
              <w:rPr>
                <w:rFonts w:hint="default" w:ascii="Times New Roman" w:hAnsi="Times New Roman" w:cs="Times New Roman"/>
                <w:b/>
                <w:bCs/>
                <w:lang w:val="en-US" w:eastAsia="zh-CN"/>
              </w:rPr>
              <w:t>项目基本情况</w:t>
            </w:r>
          </w:p>
          <w:p w14:paraId="70C2773C">
            <w:pPr>
              <w:pStyle w:val="36"/>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项目名称：寻甸锦晟源商贸有限公司年处理10万吨褐煤提质项目</w:t>
            </w:r>
          </w:p>
          <w:p w14:paraId="5B55E3CA">
            <w:pPr>
              <w:pStyle w:val="36"/>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建设地点：云南省昆明市寻甸县金所街道三月三路中段</w:t>
            </w:r>
          </w:p>
          <w:p w14:paraId="4E033F60">
            <w:pPr>
              <w:pStyle w:val="36"/>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建设单位：寻甸锦晟源商贸有限公司</w:t>
            </w:r>
          </w:p>
          <w:p w14:paraId="65016E90">
            <w:pPr>
              <w:pStyle w:val="36"/>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建设性质：新建</w:t>
            </w:r>
          </w:p>
          <w:p w14:paraId="308C77DF">
            <w:pPr>
              <w:pStyle w:val="36"/>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主要建设内容及规模：项目占地面积约为74288m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，建设堆煤厂房、晾晒厂房等主体工程约16667m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，同时配套办公生活用房及附属设施，雨水收集池、化粪池等环保工程。</w:t>
            </w:r>
          </w:p>
          <w:p w14:paraId="79A21023">
            <w:pPr>
              <w:pStyle w:val="36"/>
              <w:keepNext w:val="0"/>
              <w:keepLines w:val="0"/>
              <w:suppressLineNumbers w:val="0"/>
              <w:bidi w:val="0"/>
              <w:spacing w:before="0" w:beforeAutospacing="0" w:after="0" w:afterAutospacing="0"/>
              <w:ind w:left="0" w:right="0"/>
              <w:rPr>
                <w:rFonts w:hint="default" w:ascii="Times New Roman" w:hAnsi="Times New Roman" w:cs="Times New Roman"/>
                <w:b/>
                <w:bCs/>
                <w:lang w:val="en-US" w:eastAsia="zh-CN"/>
              </w:rPr>
            </w:pPr>
            <w:r>
              <w:rPr>
                <w:rFonts w:hint="default" w:ascii="Times New Roman" w:hAnsi="Times New Roman" w:cs="Times New Roman"/>
                <w:b/>
                <w:bCs/>
                <w:lang w:val="en-US" w:eastAsia="zh-CN"/>
              </w:rPr>
              <w:t>3、工程内容及规模</w:t>
            </w:r>
          </w:p>
          <w:p w14:paraId="6C440909">
            <w:pPr>
              <w:pStyle w:val="36"/>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本项目主要建设内容详见表2-1。</w:t>
            </w:r>
          </w:p>
          <w:p w14:paraId="3A019775">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cs="Times New Roman" w:eastAsiaTheme="minorEastAsia"/>
                <w:b/>
                <w:bCs/>
                <w:color w:val="auto"/>
                <w:szCs w:val="21"/>
                <w:highlight w:val="none"/>
              </w:rPr>
            </w:pPr>
            <w:r>
              <w:rPr>
                <w:rFonts w:hint="default" w:ascii="Times New Roman" w:hAnsi="Times New Roman" w:cs="Times New Roman" w:eastAsiaTheme="minorEastAsia"/>
                <w:b/>
                <w:bCs/>
                <w:color w:val="auto"/>
                <w:szCs w:val="21"/>
                <w:highlight w:val="none"/>
              </w:rPr>
              <w:t>表</w:t>
            </w:r>
            <w:r>
              <w:rPr>
                <w:rFonts w:hint="default" w:ascii="Times New Roman" w:hAnsi="Times New Roman" w:cs="Times New Roman" w:eastAsiaTheme="minorEastAsia"/>
                <w:b/>
                <w:bCs/>
                <w:color w:val="auto"/>
                <w:szCs w:val="21"/>
                <w:highlight w:val="none"/>
                <w:lang w:val="en-US" w:eastAsia="zh-CN"/>
              </w:rPr>
              <w:t>2</w:t>
            </w:r>
            <w:r>
              <w:rPr>
                <w:rFonts w:hint="default" w:ascii="Times New Roman" w:hAnsi="Times New Roman" w:cs="Times New Roman" w:eastAsiaTheme="minorEastAsia"/>
                <w:b/>
                <w:bCs/>
                <w:color w:val="auto"/>
                <w:szCs w:val="21"/>
                <w:highlight w:val="none"/>
              </w:rPr>
              <w:t>-1  项目组成一览表</w:t>
            </w:r>
          </w:p>
          <w:tbl>
            <w:tblPr>
              <w:tblStyle w:val="23"/>
              <w:tblW w:w="7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847"/>
              <w:gridCol w:w="1553"/>
              <w:gridCol w:w="3696"/>
              <w:gridCol w:w="649"/>
            </w:tblGrid>
            <w:tr w14:paraId="2C15D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725" w:type="dxa"/>
                  <w:vMerge w:val="restart"/>
                  <w:tcBorders>
                    <w:tl2br w:val="nil"/>
                    <w:tr2bl w:val="nil"/>
                  </w:tcBorders>
                  <w:vAlign w:val="center"/>
                </w:tcPr>
                <w:p w14:paraId="1521B3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工程分类</w:t>
                  </w:r>
                </w:p>
              </w:tc>
              <w:tc>
                <w:tcPr>
                  <w:tcW w:w="847" w:type="dxa"/>
                  <w:vMerge w:val="restart"/>
                  <w:tcBorders>
                    <w:tl2br w:val="nil"/>
                    <w:tr2bl w:val="nil"/>
                  </w:tcBorders>
                  <w:vAlign w:val="center"/>
                </w:tcPr>
                <w:p w14:paraId="796F58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项目名称</w:t>
                  </w:r>
                </w:p>
              </w:tc>
              <w:tc>
                <w:tcPr>
                  <w:tcW w:w="5249" w:type="dxa"/>
                  <w:gridSpan w:val="2"/>
                  <w:vMerge w:val="restart"/>
                  <w:tcBorders>
                    <w:tl2br w:val="nil"/>
                    <w:tr2bl w:val="nil"/>
                  </w:tcBorders>
                  <w:vAlign w:val="center"/>
                </w:tcPr>
                <w:p w14:paraId="3CCBB1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建设内容及规模</w:t>
                  </w:r>
                </w:p>
              </w:tc>
              <w:tc>
                <w:tcPr>
                  <w:tcW w:w="649" w:type="dxa"/>
                  <w:vMerge w:val="restart"/>
                  <w:tcBorders>
                    <w:tl2br w:val="nil"/>
                    <w:tr2bl w:val="nil"/>
                  </w:tcBorders>
                  <w:vAlign w:val="center"/>
                </w:tcPr>
                <w:p w14:paraId="718695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14:paraId="5401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725" w:type="dxa"/>
                  <w:vMerge w:val="continue"/>
                  <w:tcBorders>
                    <w:tl2br w:val="nil"/>
                    <w:tr2bl w:val="nil"/>
                  </w:tcBorders>
                  <w:vAlign w:val="center"/>
                </w:tcPr>
                <w:p w14:paraId="1C6983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p>
              </w:tc>
              <w:tc>
                <w:tcPr>
                  <w:tcW w:w="847" w:type="dxa"/>
                  <w:vMerge w:val="continue"/>
                  <w:tcBorders>
                    <w:tl2br w:val="nil"/>
                    <w:tr2bl w:val="nil"/>
                  </w:tcBorders>
                  <w:vAlign w:val="center"/>
                </w:tcPr>
                <w:p w14:paraId="30353B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249" w:type="dxa"/>
                  <w:gridSpan w:val="2"/>
                  <w:vMerge w:val="continue"/>
                  <w:tcBorders>
                    <w:tl2br w:val="nil"/>
                    <w:tr2bl w:val="nil"/>
                  </w:tcBorders>
                  <w:vAlign w:val="center"/>
                </w:tcPr>
                <w:p w14:paraId="312269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649" w:type="dxa"/>
                  <w:vMerge w:val="continue"/>
                  <w:tcBorders>
                    <w:tl2br w:val="nil"/>
                    <w:tr2bl w:val="nil"/>
                  </w:tcBorders>
                  <w:vAlign w:val="center"/>
                </w:tcPr>
                <w:p w14:paraId="600333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14:paraId="7BC0B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725" w:type="dxa"/>
                  <w:vMerge w:val="restart"/>
                  <w:tcBorders>
                    <w:tl2br w:val="nil"/>
                    <w:tr2bl w:val="nil"/>
                  </w:tcBorders>
                  <w:vAlign w:val="center"/>
                </w:tcPr>
                <w:p w14:paraId="4C580A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主体工程</w:t>
                  </w:r>
                </w:p>
              </w:tc>
              <w:tc>
                <w:tcPr>
                  <w:tcW w:w="847" w:type="dxa"/>
                  <w:tcBorders>
                    <w:tl2br w:val="nil"/>
                    <w:tr2bl w:val="nil"/>
                  </w:tcBorders>
                  <w:vAlign w:val="center"/>
                </w:tcPr>
                <w:p w14:paraId="66B9BE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kern w:val="2"/>
                      <w:sz w:val="21"/>
                      <w:szCs w:val="21"/>
                      <w:highlight w:val="none"/>
                      <w:u w:val="none"/>
                      <w:lang w:val="en-US" w:eastAsia="zh-CN" w:bidi="ar-SA"/>
                    </w:rPr>
                    <w:t>储煤仓库</w:t>
                  </w:r>
                </w:p>
              </w:tc>
              <w:tc>
                <w:tcPr>
                  <w:tcW w:w="5249" w:type="dxa"/>
                  <w:gridSpan w:val="2"/>
                  <w:tcBorders>
                    <w:tl2br w:val="nil"/>
                    <w:tr2bl w:val="nil"/>
                  </w:tcBorders>
                  <w:vAlign w:val="center"/>
                </w:tcPr>
                <w:p w14:paraId="0F673642">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0000FF"/>
                      <w:sz w:val="21"/>
                      <w:szCs w:val="21"/>
                      <w:highlight w:val="none"/>
                      <w:u w:val="none"/>
                      <w:lang w:val="en-US" w:eastAsia="zh-CN"/>
                    </w:rPr>
                    <w:t>2座，储煤仓库1占地面积965m</w:t>
                  </w:r>
                  <w:r>
                    <w:rPr>
                      <w:rFonts w:hint="default" w:ascii="Times New Roman" w:hAnsi="Times New Roman" w:cs="Times New Roman"/>
                      <w:color w:val="0000FF"/>
                      <w:sz w:val="21"/>
                      <w:szCs w:val="21"/>
                      <w:highlight w:val="none"/>
                      <w:u w:val="none"/>
                      <w:vertAlign w:val="superscript"/>
                      <w:lang w:val="en-US" w:eastAsia="zh-CN"/>
                    </w:rPr>
                    <w:t>2</w:t>
                  </w:r>
                  <w:r>
                    <w:rPr>
                      <w:rFonts w:hint="default" w:ascii="Times New Roman" w:hAnsi="Times New Roman" w:cs="Times New Roman"/>
                      <w:color w:val="0000FF"/>
                      <w:sz w:val="21"/>
                      <w:szCs w:val="21"/>
                      <w:highlight w:val="none"/>
                      <w:u w:val="none"/>
                      <w:lang w:val="en-US" w:eastAsia="zh-CN"/>
                    </w:rPr>
                    <w:t>，位于项目东北侧位置；储煤仓库2占地面积5460m</w:t>
                  </w:r>
                  <w:r>
                    <w:rPr>
                      <w:rFonts w:hint="default" w:ascii="Times New Roman" w:hAnsi="Times New Roman" w:cs="Times New Roman"/>
                      <w:color w:val="0000FF"/>
                      <w:sz w:val="21"/>
                      <w:szCs w:val="21"/>
                      <w:highlight w:val="none"/>
                      <w:u w:val="none"/>
                      <w:vertAlign w:val="superscript"/>
                      <w:lang w:val="en-US" w:eastAsia="zh-CN"/>
                    </w:rPr>
                    <w:t>2</w:t>
                  </w:r>
                  <w:r>
                    <w:rPr>
                      <w:rFonts w:hint="default" w:ascii="Times New Roman" w:hAnsi="Times New Roman" w:cs="Times New Roman"/>
                      <w:color w:val="0000FF"/>
                      <w:sz w:val="21"/>
                      <w:szCs w:val="21"/>
                      <w:highlight w:val="none"/>
                      <w:u w:val="none"/>
                      <w:lang w:val="en-US" w:eastAsia="zh-CN"/>
                    </w:rPr>
                    <w:t>，位于项目东北侧位置；2座储煤仓库均为全封闭钢架结构，</w:t>
                  </w:r>
                  <w:r>
                    <w:rPr>
                      <w:rFonts w:hint="eastAsia" w:cs="Times New Roman"/>
                      <w:color w:val="0000FF"/>
                      <w:sz w:val="21"/>
                      <w:szCs w:val="21"/>
                      <w:highlight w:val="none"/>
                      <w:u w:val="none"/>
                      <w:lang w:val="en-US" w:eastAsia="zh-CN"/>
                    </w:rPr>
                    <w:t>仅保留出入口，</w:t>
                  </w:r>
                  <w:r>
                    <w:rPr>
                      <w:rFonts w:hint="default" w:ascii="Times New Roman" w:hAnsi="Times New Roman" w:cs="Times New Roman"/>
                      <w:color w:val="0000FF"/>
                      <w:sz w:val="21"/>
                      <w:szCs w:val="21"/>
                      <w:highlight w:val="none"/>
                      <w:u w:val="none"/>
                      <w:lang w:val="en-US" w:eastAsia="zh-CN"/>
                    </w:rPr>
                    <w:t>顶棚遮盖，</w:t>
                  </w:r>
                  <w:r>
                    <w:rPr>
                      <w:rFonts w:hint="eastAsia" w:cs="Times New Roman"/>
                      <w:color w:val="0000FF"/>
                      <w:sz w:val="21"/>
                      <w:szCs w:val="21"/>
                      <w:highlight w:val="none"/>
                      <w:u w:val="none"/>
                      <w:lang w:val="en-US" w:eastAsia="zh-CN"/>
                    </w:rPr>
                    <w:t>地面硬化处理</w:t>
                  </w:r>
                  <w:r>
                    <w:rPr>
                      <w:rFonts w:hint="eastAsia" w:ascii="Times New Roman" w:hAnsi="Times New Roman" w:cs="Times New Roman"/>
                      <w:color w:val="0000FF"/>
                      <w:sz w:val="21"/>
                      <w:szCs w:val="21"/>
                      <w:highlight w:val="none"/>
                      <w:u w:val="none"/>
                      <w:lang w:val="en-US" w:eastAsia="zh-CN"/>
                    </w:rPr>
                    <w:t>，</w:t>
                  </w:r>
                  <w:r>
                    <w:rPr>
                      <w:rFonts w:hint="default" w:ascii="Times New Roman" w:hAnsi="Times New Roman" w:cs="Times New Roman"/>
                      <w:color w:val="0000FF"/>
                      <w:sz w:val="21"/>
                      <w:szCs w:val="21"/>
                      <w:highlight w:val="none"/>
                      <w:u w:val="none"/>
                      <w:lang w:val="en-US" w:eastAsia="zh-CN"/>
                    </w:rPr>
                    <w:t>用于晾晒后的煤炭</w:t>
                  </w:r>
                  <w:r>
                    <w:rPr>
                      <w:rFonts w:hint="eastAsia" w:cs="Times New Roman"/>
                      <w:color w:val="0000FF"/>
                      <w:sz w:val="21"/>
                      <w:szCs w:val="21"/>
                      <w:highlight w:val="none"/>
                      <w:u w:val="none"/>
                      <w:lang w:val="en-US" w:eastAsia="zh-CN"/>
                    </w:rPr>
                    <w:t>混合、</w:t>
                  </w:r>
                  <w:r>
                    <w:rPr>
                      <w:rFonts w:hint="default" w:ascii="Times New Roman" w:hAnsi="Times New Roman" w:cs="Times New Roman"/>
                      <w:color w:val="0000FF"/>
                      <w:sz w:val="21"/>
                      <w:szCs w:val="21"/>
                      <w:highlight w:val="none"/>
                      <w:u w:val="none"/>
                      <w:lang w:val="en-US" w:eastAsia="zh-CN"/>
                    </w:rPr>
                    <w:t>堆存，年</w:t>
                  </w:r>
                  <w:r>
                    <w:rPr>
                      <w:rFonts w:hint="eastAsia" w:cs="Times New Roman"/>
                      <w:color w:val="0000FF"/>
                      <w:sz w:val="21"/>
                      <w:szCs w:val="21"/>
                      <w:highlight w:val="none"/>
                      <w:u w:val="none"/>
                      <w:lang w:val="en-US" w:eastAsia="zh-CN"/>
                    </w:rPr>
                    <w:t>混合、堆存</w:t>
                  </w:r>
                  <w:r>
                    <w:rPr>
                      <w:rFonts w:hint="default" w:ascii="Times New Roman" w:hAnsi="Times New Roman" w:cs="Times New Roman"/>
                      <w:color w:val="0000FF"/>
                      <w:sz w:val="21"/>
                      <w:szCs w:val="21"/>
                      <w:highlight w:val="none"/>
                      <w:u w:val="none"/>
                      <w:lang w:val="en-US" w:eastAsia="zh-CN"/>
                    </w:rPr>
                    <w:t>煤炭量10万吨。</w:t>
                  </w:r>
                </w:p>
              </w:tc>
              <w:tc>
                <w:tcPr>
                  <w:tcW w:w="649" w:type="dxa"/>
                  <w:tcBorders>
                    <w:tl2br w:val="nil"/>
                    <w:tr2bl w:val="nil"/>
                  </w:tcBorders>
                  <w:vAlign w:val="center"/>
                </w:tcPr>
                <w:p w14:paraId="7F56C7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kern w:val="2"/>
                      <w:sz w:val="21"/>
                      <w:szCs w:val="21"/>
                      <w:highlight w:val="none"/>
                      <w:u w:val="none"/>
                      <w:lang w:val="en-US" w:eastAsia="zh-CN" w:bidi="ar-SA"/>
                    </w:rPr>
                    <w:t>利旧</w:t>
                  </w:r>
                </w:p>
              </w:tc>
            </w:tr>
            <w:tr w14:paraId="36405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5" w:type="dxa"/>
                  <w:vMerge w:val="continue"/>
                  <w:tcBorders>
                    <w:tl2br w:val="nil"/>
                    <w:tr2bl w:val="nil"/>
                  </w:tcBorders>
                  <w:vAlign w:val="center"/>
                </w:tcPr>
                <w:p w14:paraId="3D8FFD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p>
              </w:tc>
              <w:tc>
                <w:tcPr>
                  <w:tcW w:w="847" w:type="dxa"/>
                  <w:tcBorders>
                    <w:tl2br w:val="nil"/>
                    <w:tr2bl w:val="nil"/>
                  </w:tcBorders>
                  <w:vAlign w:val="center"/>
                </w:tcPr>
                <w:p w14:paraId="518D5D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kern w:val="2"/>
                      <w:sz w:val="21"/>
                      <w:szCs w:val="21"/>
                      <w:highlight w:val="none"/>
                      <w:u w:val="none"/>
                      <w:lang w:val="en-US" w:eastAsia="zh-CN" w:bidi="ar-SA"/>
                    </w:rPr>
                    <w:t>晾晒厂房</w:t>
                  </w:r>
                </w:p>
              </w:tc>
              <w:tc>
                <w:tcPr>
                  <w:tcW w:w="5249" w:type="dxa"/>
                  <w:gridSpan w:val="2"/>
                  <w:tcBorders>
                    <w:tl2br w:val="nil"/>
                    <w:tr2bl w:val="nil"/>
                  </w:tcBorders>
                  <w:vAlign w:val="center"/>
                </w:tcPr>
                <w:p w14:paraId="3A929AB5">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2座，晾晒厂房1位于项目区中部，占地面积3470</w:t>
                  </w:r>
                  <w:r>
                    <w:rPr>
                      <w:rFonts w:hint="default" w:ascii="Times New Roman" w:hAnsi="Times New Roman" w:eastAsia="宋体" w:cs="Times New Roman"/>
                      <w:color w:val="auto"/>
                      <w:spacing w:val="-5"/>
                      <w:kern w:val="2"/>
                      <w:sz w:val="24"/>
                      <w:szCs w:val="24"/>
                      <w:highlight w:val="none"/>
                      <w:u w:val="none"/>
                      <w:lang w:val="en-US" w:eastAsia="zh-CN" w:bidi="ar-SA"/>
                    </w:rPr>
                    <w:t>m</w:t>
                  </w:r>
                  <w:r>
                    <w:rPr>
                      <w:rFonts w:hint="default" w:ascii="Times New Roman" w:hAnsi="Times New Roman" w:eastAsia="宋体" w:cs="Times New Roman"/>
                      <w:color w:val="auto"/>
                      <w:spacing w:val="-5"/>
                      <w:kern w:val="2"/>
                      <w:sz w:val="24"/>
                      <w:szCs w:val="24"/>
                      <w:highlight w:val="none"/>
                      <w:u w:val="none"/>
                      <w:vertAlign w:val="superscript"/>
                      <w:lang w:val="en-US" w:eastAsia="zh-CN" w:bidi="ar-SA"/>
                    </w:rPr>
                    <w:t>2</w:t>
                  </w:r>
                  <w:r>
                    <w:rPr>
                      <w:rFonts w:hint="default" w:ascii="Times New Roman" w:hAnsi="Times New Roman" w:cs="Times New Roman"/>
                      <w:color w:val="auto"/>
                      <w:spacing w:val="-5"/>
                      <w:kern w:val="2"/>
                      <w:sz w:val="24"/>
                      <w:szCs w:val="24"/>
                      <w:highlight w:val="none"/>
                      <w:u w:val="none"/>
                      <w:vertAlign w:val="baseline"/>
                      <w:lang w:val="en-US" w:eastAsia="zh-CN" w:bidi="ar-SA"/>
                    </w:rPr>
                    <w:t>；</w:t>
                  </w:r>
                  <w:r>
                    <w:rPr>
                      <w:rFonts w:hint="default" w:ascii="Times New Roman" w:hAnsi="Times New Roman" w:cs="Times New Roman"/>
                      <w:color w:val="auto"/>
                      <w:sz w:val="21"/>
                      <w:szCs w:val="21"/>
                      <w:highlight w:val="none"/>
                      <w:u w:val="none"/>
                      <w:lang w:val="en-US" w:eastAsia="zh-CN"/>
                    </w:rPr>
                    <w:t>晾晒厂房2位于项目区南侧，占地面积6772</w:t>
                  </w:r>
                  <w:r>
                    <w:rPr>
                      <w:rFonts w:hint="default" w:ascii="Times New Roman" w:hAnsi="Times New Roman" w:eastAsia="宋体" w:cs="Times New Roman"/>
                      <w:color w:val="auto"/>
                      <w:spacing w:val="-5"/>
                      <w:kern w:val="2"/>
                      <w:sz w:val="21"/>
                      <w:szCs w:val="21"/>
                      <w:highlight w:val="none"/>
                      <w:u w:val="none"/>
                      <w:lang w:val="en-US" w:eastAsia="zh-CN" w:bidi="ar-SA"/>
                    </w:rPr>
                    <w:t>m</w:t>
                  </w:r>
                  <w:r>
                    <w:rPr>
                      <w:rFonts w:hint="default" w:ascii="Times New Roman" w:hAnsi="Times New Roman" w:eastAsia="宋体" w:cs="Times New Roman"/>
                      <w:color w:val="auto"/>
                      <w:spacing w:val="-5"/>
                      <w:kern w:val="2"/>
                      <w:sz w:val="21"/>
                      <w:szCs w:val="21"/>
                      <w:highlight w:val="none"/>
                      <w:u w:val="none"/>
                      <w:vertAlign w:val="superscript"/>
                      <w:lang w:val="en-US" w:eastAsia="zh-CN" w:bidi="ar-SA"/>
                    </w:rPr>
                    <w:t>2</w:t>
                  </w:r>
                  <w:r>
                    <w:rPr>
                      <w:rFonts w:hint="default" w:ascii="Times New Roman" w:hAnsi="Times New Roman" w:cs="Times New Roman"/>
                      <w:color w:val="auto"/>
                      <w:spacing w:val="-5"/>
                      <w:kern w:val="2"/>
                      <w:sz w:val="21"/>
                      <w:szCs w:val="21"/>
                      <w:highlight w:val="none"/>
                      <w:u w:val="none"/>
                      <w:vertAlign w:val="baseline"/>
                      <w:lang w:val="en-US" w:eastAsia="zh-CN" w:bidi="ar-SA"/>
                    </w:rPr>
                    <w:t>；2座晾晒厂房</w:t>
                  </w:r>
                  <w:r>
                    <w:rPr>
                      <w:rFonts w:hint="default" w:ascii="Times New Roman" w:hAnsi="Times New Roman" w:cs="Times New Roman"/>
                      <w:color w:val="auto"/>
                      <w:sz w:val="21"/>
                      <w:szCs w:val="21"/>
                      <w:highlight w:val="none"/>
                      <w:u w:val="none"/>
                      <w:lang w:val="en-US" w:eastAsia="zh-CN"/>
                    </w:rPr>
                    <w:t>四面封闭，仅出口，顶部采用透明吸</w:t>
                  </w:r>
                  <w:r>
                    <w:rPr>
                      <w:rFonts w:hint="eastAsia" w:ascii="Times New Roman" w:hAnsi="Times New Roman" w:cs="Times New Roman"/>
                      <w:color w:val="auto"/>
                      <w:sz w:val="21"/>
                      <w:szCs w:val="21"/>
                      <w:highlight w:val="none"/>
                      <w:u w:val="none"/>
                      <w:lang w:val="en-US" w:eastAsia="zh-CN"/>
                    </w:rPr>
                    <w:t>光</w:t>
                  </w:r>
                  <w:r>
                    <w:rPr>
                      <w:rFonts w:hint="default" w:ascii="Times New Roman" w:hAnsi="Times New Roman" w:cs="Times New Roman"/>
                      <w:color w:val="auto"/>
                      <w:sz w:val="21"/>
                      <w:szCs w:val="21"/>
                      <w:highlight w:val="none"/>
                      <w:u w:val="none"/>
                      <w:lang w:val="en-US" w:eastAsia="zh-CN"/>
                    </w:rPr>
                    <w:t>材质</w:t>
                  </w:r>
                  <w:r>
                    <w:rPr>
                      <w:rFonts w:hint="eastAsia" w:ascii="Times New Roman" w:hAnsi="Times New Roman" w:cs="Times New Roman"/>
                      <w:color w:val="auto"/>
                      <w:sz w:val="21"/>
                      <w:szCs w:val="21"/>
                      <w:highlight w:val="none"/>
                      <w:u w:val="none"/>
                      <w:lang w:val="en-US" w:eastAsia="zh-CN"/>
                    </w:rPr>
                    <w:t>，</w:t>
                  </w:r>
                  <w:r>
                    <w:rPr>
                      <w:rFonts w:hint="eastAsia" w:cs="Times New Roman"/>
                      <w:color w:val="0000FF"/>
                      <w:sz w:val="21"/>
                      <w:szCs w:val="21"/>
                      <w:highlight w:val="none"/>
                      <w:u w:val="none"/>
                      <w:lang w:val="en-US" w:eastAsia="zh-CN"/>
                    </w:rPr>
                    <w:t>地面硬化处理</w:t>
                  </w:r>
                  <w:r>
                    <w:rPr>
                      <w:rFonts w:hint="default" w:ascii="Times New Roman" w:hAnsi="Times New Roman" w:cs="Times New Roman"/>
                      <w:color w:val="0000FF"/>
                      <w:sz w:val="21"/>
                      <w:szCs w:val="21"/>
                      <w:highlight w:val="none"/>
                      <w:u w:val="none"/>
                      <w:lang w:val="en-US" w:eastAsia="zh-CN"/>
                    </w:rPr>
                    <w:t>。</w:t>
                  </w:r>
                  <w:r>
                    <w:rPr>
                      <w:rFonts w:hint="default" w:ascii="Times New Roman" w:hAnsi="Times New Roman" w:cs="Times New Roman"/>
                      <w:color w:val="auto"/>
                      <w:sz w:val="21"/>
                      <w:szCs w:val="21"/>
                      <w:highlight w:val="none"/>
                      <w:u w:val="none"/>
                      <w:lang w:val="en-US" w:eastAsia="zh-CN"/>
                    </w:rPr>
                    <w:t>主要对煤炭进行晾晒，年晾晒煤炭10万吨。</w:t>
                  </w:r>
                </w:p>
              </w:tc>
              <w:tc>
                <w:tcPr>
                  <w:tcW w:w="649" w:type="dxa"/>
                  <w:tcBorders>
                    <w:tl2br w:val="nil"/>
                    <w:tr2bl w:val="nil"/>
                  </w:tcBorders>
                  <w:vAlign w:val="center"/>
                </w:tcPr>
                <w:p w14:paraId="3D7E19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kern w:val="2"/>
                      <w:sz w:val="21"/>
                      <w:szCs w:val="21"/>
                      <w:highlight w:val="none"/>
                      <w:u w:val="none"/>
                      <w:lang w:val="en-US" w:eastAsia="zh-CN" w:bidi="ar-SA"/>
                    </w:rPr>
                    <w:t>新建</w:t>
                  </w:r>
                </w:p>
              </w:tc>
            </w:tr>
            <w:tr w14:paraId="1B649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725" w:type="dxa"/>
                  <w:vMerge w:val="restart"/>
                  <w:tcBorders>
                    <w:tl2br w:val="nil"/>
                    <w:tr2bl w:val="nil"/>
                  </w:tcBorders>
                  <w:vAlign w:val="center"/>
                </w:tcPr>
                <w:p w14:paraId="103563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辅助工程</w:t>
                  </w:r>
                </w:p>
              </w:tc>
              <w:tc>
                <w:tcPr>
                  <w:tcW w:w="847" w:type="dxa"/>
                  <w:tcBorders>
                    <w:tl2br w:val="nil"/>
                    <w:tr2bl w:val="nil"/>
                  </w:tcBorders>
                  <w:vAlign w:val="center"/>
                </w:tcPr>
                <w:p w14:paraId="290E6B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地磅</w:t>
                  </w:r>
                </w:p>
              </w:tc>
              <w:tc>
                <w:tcPr>
                  <w:tcW w:w="5249" w:type="dxa"/>
                  <w:gridSpan w:val="2"/>
                  <w:tcBorders>
                    <w:tl2br w:val="nil"/>
                    <w:tr2bl w:val="nil"/>
                  </w:tcBorders>
                  <w:vAlign w:val="center"/>
                </w:tcPr>
                <w:p w14:paraId="16868D5E">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位于项目北侧</w:t>
                  </w:r>
                  <w:r>
                    <w:rPr>
                      <w:rFonts w:hint="eastAsia" w:cs="Times New Roman"/>
                      <w:color w:val="auto"/>
                      <w:sz w:val="21"/>
                      <w:szCs w:val="21"/>
                      <w:highlight w:val="none"/>
                      <w:u w:val="none"/>
                      <w:lang w:val="en-US" w:eastAsia="zh-CN"/>
                    </w:rPr>
                    <w:t>出</w:t>
                  </w:r>
                  <w:r>
                    <w:rPr>
                      <w:rFonts w:hint="default" w:ascii="Times New Roman" w:hAnsi="Times New Roman" w:cs="Times New Roman"/>
                      <w:color w:val="auto"/>
                      <w:sz w:val="21"/>
                      <w:szCs w:val="21"/>
                      <w:highlight w:val="none"/>
                      <w:u w:val="none"/>
                      <w:lang w:val="en-US" w:eastAsia="zh-CN"/>
                    </w:rPr>
                    <w:t>口处，设1台地磅，占地面积</w:t>
                  </w:r>
                  <w:r>
                    <w:rPr>
                      <w:rFonts w:hint="eastAsia" w:cs="Times New Roman"/>
                      <w:color w:val="auto"/>
                      <w:sz w:val="21"/>
                      <w:szCs w:val="21"/>
                      <w:highlight w:val="none"/>
                      <w:u w:val="none"/>
                      <w:lang w:val="en-US" w:eastAsia="zh-CN"/>
                    </w:rPr>
                    <w:t>8</w:t>
                  </w:r>
                  <w:r>
                    <w:rPr>
                      <w:rFonts w:hint="default" w:ascii="Times New Roman" w:hAnsi="Times New Roman" w:cs="Times New Roman"/>
                      <w:color w:val="auto"/>
                      <w:sz w:val="21"/>
                      <w:szCs w:val="21"/>
                      <w:highlight w:val="none"/>
                      <w:u w:val="none"/>
                      <w:lang w:val="en-US" w:eastAsia="zh-CN"/>
                    </w:rPr>
                    <w:t>0</w:t>
                  </w:r>
                  <w:r>
                    <w:rPr>
                      <w:rFonts w:hint="default" w:ascii="Times New Roman" w:hAnsi="Times New Roman" w:eastAsia="宋体" w:cs="Times New Roman"/>
                      <w:color w:val="auto"/>
                      <w:spacing w:val="-5"/>
                      <w:kern w:val="2"/>
                      <w:sz w:val="24"/>
                      <w:szCs w:val="24"/>
                      <w:highlight w:val="none"/>
                      <w:u w:val="none"/>
                      <w:lang w:val="en-US" w:eastAsia="zh-CN" w:bidi="ar-SA"/>
                    </w:rPr>
                    <w:t>m</w:t>
                  </w:r>
                  <w:r>
                    <w:rPr>
                      <w:rFonts w:hint="default" w:ascii="Times New Roman" w:hAnsi="Times New Roman" w:eastAsia="宋体" w:cs="Times New Roman"/>
                      <w:color w:val="auto"/>
                      <w:spacing w:val="-5"/>
                      <w:kern w:val="2"/>
                      <w:sz w:val="24"/>
                      <w:szCs w:val="24"/>
                      <w:highlight w:val="none"/>
                      <w:u w:val="none"/>
                      <w:vertAlign w:val="superscript"/>
                      <w:lang w:val="en-US" w:eastAsia="zh-CN" w:bidi="ar-SA"/>
                    </w:rPr>
                    <w:t>2</w:t>
                  </w:r>
                  <w:r>
                    <w:rPr>
                      <w:rFonts w:hint="default" w:ascii="Times New Roman" w:hAnsi="Times New Roman" w:cs="Times New Roman"/>
                      <w:color w:val="auto"/>
                      <w:sz w:val="21"/>
                      <w:szCs w:val="21"/>
                      <w:highlight w:val="none"/>
                      <w:u w:val="none"/>
                      <w:lang w:val="en-US" w:eastAsia="zh-CN"/>
                    </w:rPr>
                    <w:t>。</w:t>
                  </w:r>
                </w:p>
              </w:tc>
              <w:tc>
                <w:tcPr>
                  <w:tcW w:w="649" w:type="dxa"/>
                  <w:tcBorders>
                    <w:tl2br w:val="nil"/>
                    <w:tr2bl w:val="nil"/>
                  </w:tcBorders>
                  <w:vAlign w:val="center"/>
                </w:tcPr>
                <w:p w14:paraId="75A723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新建</w:t>
                  </w:r>
                </w:p>
              </w:tc>
            </w:tr>
            <w:tr w14:paraId="5A0CD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2" w:hRule="atLeast"/>
                <w:jc w:val="center"/>
              </w:trPr>
              <w:tc>
                <w:tcPr>
                  <w:tcW w:w="725" w:type="dxa"/>
                  <w:vMerge w:val="continue"/>
                  <w:tcBorders>
                    <w:tl2br w:val="nil"/>
                    <w:tr2bl w:val="nil"/>
                  </w:tcBorders>
                  <w:vAlign w:val="center"/>
                </w:tcPr>
                <w:p w14:paraId="155B8D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c>
                <w:tcPr>
                  <w:tcW w:w="847" w:type="dxa"/>
                  <w:tcBorders>
                    <w:tl2br w:val="nil"/>
                    <w:tr2bl w:val="nil"/>
                  </w:tcBorders>
                  <w:vAlign w:val="center"/>
                </w:tcPr>
                <w:p w14:paraId="4C54BB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生活区</w:t>
                  </w:r>
                </w:p>
              </w:tc>
              <w:tc>
                <w:tcPr>
                  <w:tcW w:w="5249" w:type="dxa"/>
                  <w:gridSpan w:val="2"/>
                  <w:tcBorders>
                    <w:tl2br w:val="nil"/>
                    <w:tr2bl w:val="nil"/>
                  </w:tcBorders>
                  <w:vAlign w:val="center"/>
                </w:tcPr>
                <w:p w14:paraId="36C63D87">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位于大门西侧，设有值班室、办公室和卫生间，占地面积1869</w:t>
                  </w:r>
                  <w:r>
                    <w:rPr>
                      <w:rFonts w:hint="default" w:ascii="Times New Roman" w:hAnsi="Times New Roman" w:eastAsia="宋体" w:cs="Times New Roman"/>
                      <w:color w:val="auto"/>
                      <w:spacing w:val="-5"/>
                      <w:kern w:val="2"/>
                      <w:sz w:val="24"/>
                      <w:szCs w:val="24"/>
                      <w:highlight w:val="none"/>
                      <w:u w:val="none"/>
                      <w:lang w:val="en-US" w:eastAsia="zh-CN" w:bidi="ar-SA"/>
                    </w:rPr>
                    <w:t>m</w:t>
                  </w:r>
                  <w:r>
                    <w:rPr>
                      <w:rFonts w:hint="default" w:ascii="Times New Roman" w:hAnsi="Times New Roman" w:eastAsia="宋体" w:cs="Times New Roman"/>
                      <w:color w:val="auto"/>
                      <w:spacing w:val="-5"/>
                      <w:kern w:val="2"/>
                      <w:sz w:val="24"/>
                      <w:szCs w:val="24"/>
                      <w:highlight w:val="none"/>
                      <w:u w:val="none"/>
                      <w:vertAlign w:val="superscript"/>
                      <w:lang w:val="en-US" w:eastAsia="zh-CN" w:bidi="ar-SA"/>
                    </w:rPr>
                    <w:t>2</w:t>
                  </w:r>
                  <w:r>
                    <w:rPr>
                      <w:rFonts w:hint="default" w:ascii="Times New Roman" w:hAnsi="Times New Roman" w:cs="Times New Roman"/>
                      <w:color w:val="auto"/>
                      <w:sz w:val="21"/>
                      <w:szCs w:val="21"/>
                      <w:highlight w:val="none"/>
                      <w:u w:val="none"/>
                      <w:lang w:val="en-US" w:eastAsia="zh-CN"/>
                    </w:rPr>
                    <w:t>，地面硬化。</w:t>
                  </w:r>
                </w:p>
              </w:tc>
              <w:tc>
                <w:tcPr>
                  <w:tcW w:w="649" w:type="dxa"/>
                  <w:tcBorders>
                    <w:tl2br w:val="nil"/>
                    <w:tr2bl w:val="nil"/>
                  </w:tcBorders>
                  <w:vAlign w:val="center"/>
                </w:tcPr>
                <w:p w14:paraId="7C1CA3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利旧</w:t>
                  </w:r>
                </w:p>
              </w:tc>
            </w:tr>
            <w:tr w14:paraId="6E8EA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2" w:hRule="atLeast"/>
                <w:jc w:val="center"/>
              </w:trPr>
              <w:tc>
                <w:tcPr>
                  <w:tcW w:w="725" w:type="dxa"/>
                  <w:vMerge w:val="continue"/>
                  <w:tcBorders>
                    <w:tl2br w:val="nil"/>
                    <w:tr2bl w:val="nil"/>
                  </w:tcBorders>
                  <w:vAlign w:val="center"/>
                </w:tcPr>
                <w:p w14:paraId="56A163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c>
                <w:tcPr>
                  <w:tcW w:w="847" w:type="dxa"/>
                  <w:tcBorders>
                    <w:tl2br w:val="nil"/>
                    <w:tr2bl w:val="nil"/>
                  </w:tcBorders>
                  <w:vAlign w:val="center"/>
                </w:tcPr>
                <w:p w14:paraId="0BFB9A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雨水收集沟</w:t>
                  </w:r>
                </w:p>
              </w:tc>
              <w:tc>
                <w:tcPr>
                  <w:tcW w:w="5249" w:type="dxa"/>
                  <w:gridSpan w:val="2"/>
                  <w:tcBorders>
                    <w:tl2br w:val="nil"/>
                    <w:tr2bl w:val="nil"/>
                  </w:tcBorders>
                  <w:vAlign w:val="center"/>
                </w:tcPr>
                <w:p w14:paraId="15CA752D">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晾晒区项目周边共设置1083m的雨水收集沟，</w:t>
                  </w:r>
                  <w:r>
                    <w:rPr>
                      <w:rFonts w:hint="default" w:ascii="Times New Roman" w:hAnsi="Times New Roman" w:cs="Times New Roman"/>
                      <w:color w:val="auto"/>
                      <w:kern w:val="2"/>
                      <w:sz w:val="21"/>
                      <w:szCs w:val="21"/>
                    </w:rPr>
                    <w:t>断面为矩形，宽为</w:t>
                  </w:r>
                  <w:r>
                    <w:rPr>
                      <w:rFonts w:hint="eastAsia" w:cs="Times New Roman"/>
                      <w:color w:val="auto"/>
                      <w:kern w:val="2"/>
                      <w:sz w:val="21"/>
                      <w:szCs w:val="21"/>
                      <w:lang w:val="en-US" w:eastAsia="zh-CN"/>
                    </w:rPr>
                    <w:t>4</w:t>
                  </w:r>
                  <w:r>
                    <w:rPr>
                      <w:rFonts w:hint="default" w:ascii="Times New Roman" w:hAnsi="Times New Roman" w:cs="Times New Roman"/>
                      <w:color w:val="auto"/>
                      <w:kern w:val="2"/>
                      <w:sz w:val="21"/>
                      <w:szCs w:val="21"/>
                    </w:rPr>
                    <w:t>0cm，深度为</w:t>
                  </w:r>
                  <w:r>
                    <w:rPr>
                      <w:rFonts w:hint="eastAsia" w:cs="Times New Roman"/>
                      <w:color w:val="auto"/>
                      <w:kern w:val="2"/>
                      <w:sz w:val="21"/>
                      <w:szCs w:val="21"/>
                      <w:lang w:val="en-US" w:eastAsia="zh-CN"/>
                    </w:rPr>
                    <w:t>4</w:t>
                  </w:r>
                  <w:r>
                    <w:rPr>
                      <w:rFonts w:hint="default" w:ascii="Times New Roman" w:hAnsi="Times New Roman" w:cs="Times New Roman"/>
                      <w:color w:val="auto"/>
                      <w:kern w:val="2"/>
                      <w:sz w:val="21"/>
                      <w:szCs w:val="21"/>
                    </w:rPr>
                    <w:t>0cm。</w:t>
                  </w:r>
                </w:p>
              </w:tc>
              <w:tc>
                <w:tcPr>
                  <w:tcW w:w="649" w:type="dxa"/>
                  <w:tcBorders>
                    <w:tl2br w:val="nil"/>
                    <w:tr2bl w:val="nil"/>
                  </w:tcBorders>
                  <w:vAlign w:val="center"/>
                </w:tcPr>
                <w:p w14:paraId="4E72FC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新建</w:t>
                  </w:r>
                </w:p>
              </w:tc>
            </w:tr>
            <w:tr w14:paraId="4D4FD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atLeast"/>
                <w:jc w:val="center"/>
              </w:trPr>
              <w:tc>
                <w:tcPr>
                  <w:tcW w:w="725" w:type="dxa"/>
                  <w:vMerge w:val="continue"/>
                  <w:tcBorders>
                    <w:tl2br w:val="nil"/>
                    <w:tr2bl w:val="nil"/>
                  </w:tcBorders>
                  <w:vAlign w:val="center"/>
                </w:tcPr>
                <w:p w14:paraId="714380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c>
                <w:tcPr>
                  <w:tcW w:w="847" w:type="dxa"/>
                  <w:tcBorders>
                    <w:tl2br w:val="nil"/>
                    <w:tr2bl w:val="nil"/>
                  </w:tcBorders>
                  <w:vAlign w:val="center"/>
                </w:tcPr>
                <w:p w14:paraId="63D8ED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FF"/>
                      <w:sz w:val="21"/>
                      <w:szCs w:val="21"/>
                      <w:highlight w:val="none"/>
                      <w:u w:val="none"/>
                      <w:lang w:val="en-US" w:eastAsia="zh-CN"/>
                    </w:rPr>
                  </w:pPr>
                  <w:r>
                    <w:rPr>
                      <w:rFonts w:hint="eastAsia" w:cs="Times New Roman"/>
                      <w:color w:val="0000FF"/>
                      <w:sz w:val="21"/>
                      <w:szCs w:val="21"/>
                      <w:highlight w:val="none"/>
                      <w:u w:val="none"/>
                      <w:lang w:val="en-US" w:eastAsia="zh-CN"/>
                    </w:rPr>
                    <w:t>排水管</w:t>
                  </w:r>
                </w:p>
              </w:tc>
              <w:tc>
                <w:tcPr>
                  <w:tcW w:w="5249" w:type="dxa"/>
                  <w:gridSpan w:val="2"/>
                  <w:tcBorders>
                    <w:tl2br w:val="nil"/>
                    <w:tr2bl w:val="nil"/>
                  </w:tcBorders>
                  <w:vAlign w:val="center"/>
                </w:tcPr>
                <w:p w14:paraId="4A7CC3AC">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FF"/>
                      <w:sz w:val="21"/>
                      <w:szCs w:val="21"/>
                      <w:highlight w:val="none"/>
                      <w:u w:val="none"/>
                      <w:lang w:val="en-US" w:eastAsia="zh-CN"/>
                    </w:rPr>
                  </w:pPr>
                  <w:r>
                    <w:rPr>
                      <w:rFonts w:hint="eastAsia" w:cs="Times New Roman"/>
                      <w:color w:val="0000FF"/>
                      <w:sz w:val="21"/>
                      <w:szCs w:val="21"/>
                      <w:highlight w:val="none"/>
                      <w:u w:val="none"/>
                      <w:lang w:val="en-US" w:eastAsia="zh-CN"/>
                    </w:rPr>
                    <w:t>设置一根397m长的排水管，用来收集生活区、储煤仓库顶部、晾晒厂房顶部的雨水直接排放至外环境，与厂房顶部和生活区排水管相连，不与雨水收集沟相连，</w:t>
                  </w:r>
                  <w:r>
                    <w:rPr>
                      <w:rFonts w:hint="eastAsia" w:cs="Times New Roman"/>
                      <w:color w:val="0000FF"/>
                      <w:kern w:val="2"/>
                      <w:sz w:val="21"/>
                      <w:szCs w:val="21"/>
                      <w:lang w:val="en-US" w:eastAsia="zh-CN"/>
                    </w:rPr>
                    <w:t>管径22cm</w:t>
                  </w:r>
                  <w:r>
                    <w:rPr>
                      <w:rFonts w:hint="default" w:ascii="Times New Roman" w:hAnsi="Times New Roman" w:cs="Times New Roman"/>
                      <w:color w:val="0000FF"/>
                      <w:kern w:val="2"/>
                      <w:sz w:val="21"/>
                      <w:szCs w:val="21"/>
                    </w:rPr>
                    <w:t>。</w:t>
                  </w:r>
                </w:p>
              </w:tc>
              <w:tc>
                <w:tcPr>
                  <w:tcW w:w="649" w:type="dxa"/>
                  <w:tcBorders>
                    <w:tl2br w:val="nil"/>
                    <w:tr2bl w:val="nil"/>
                  </w:tcBorders>
                  <w:vAlign w:val="center"/>
                </w:tcPr>
                <w:p w14:paraId="1EA6C3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新建</w:t>
                  </w:r>
                </w:p>
              </w:tc>
            </w:tr>
            <w:tr w14:paraId="10518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2" w:hRule="atLeast"/>
                <w:jc w:val="center"/>
              </w:trPr>
              <w:tc>
                <w:tcPr>
                  <w:tcW w:w="725" w:type="dxa"/>
                  <w:vMerge w:val="continue"/>
                  <w:tcBorders>
                    <w:tl2br w:val="nil"/>
                    <w:tr2bl w:val="nil"/>
                  </w:tcBorders>
                  <w:vAlign w:val="center"/>
                </w:tcPr>
                <w:p w14:paraId="0C21E6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c>
                <w:tcPr>
                  <w:tcW w:w="847" w:type="dxa"/>
                  <w:tcBorders>
                    <w:tl2br w:val="nil"/>
                    <w:tr2bl w:val="nil"/>
                  </w:tcBorders>
                  <w:vAlign w:val="center"/>
                </w:tcPr>
                <w:p w14:paraId="4AD90C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场内运输道路</w:t>
                  </w:r>
                </w:p>
              </w:tc>
              <w:tc>
                <w:tcPr>
                  <w:tcW w:w="5249" w:type="dxa"/>
                  <w:gridSpan w:val="2"/>
                  <w:tcBorders>
                    <w:tl2br w:val="nil"/>
                    <w:tr2bl w:val="nil"/>
                  </w:tcBorders>
                  <w:vAlign w:val="center"/>
                </w:tcPr>
                <w:p w14:paraId="7EE5C3CA">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场内共设置运输道路1187m，路宽5m，</w:t>
                  </w:r>
                  <w:r>
                    <w:rPr>
                      <w:rFonts w:hint="eastAsia" w:cs="Times New Roman"/>
                      <w:color w:val="auto"/>
                      <w:sz w:val="21"/>
                      <w:szCs w:val="21"/>
                      <w:highlight w:val="none"/>
                      <w:u w:val="none"/>
                      <w:lang w:val="en-US" w:eastAsia="zh-CN"/>
                    </w:rPr>
                    <w:t>路面硬化</w:t>
                  </w:r>
                  <w:r>
                    <w:rPr>
                      <w:rFonts w:hint="eastAsia" w:ascii="Times New Roman" w:hAnsi="Times New Roman" w:cs="Times New Roman"/>
                      <w:color w:val="auto"/>
                      <w:sz w:val="21"/>
                      <w:szCs w:val="21"/>
                      <w:highlight w:val="none"/>
                      <w:u w:val="none"/>
                      <w:lang w:val="en-US" w:eastAsia="zh-CN"/>
                    </w:rPr>
                    <w:t>。</w:t>
                  </w:r>
                </w:p>
              </w:tc>
              <w:tc>
                <w:tcPr>
                  <w:tcW w:w="649" w:type="dxa"/>
                  <w:tcBorders>
                    <w:tl2br w:val="nil"/>
                    <w:tr2bl w:val="nil"/>
                  </w:tcBorders>
                  <w:vAlign w:val="center"/>
                </w:tcPr>
                <w:p w14:paraId="7EA6D3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新建</w:t>
                  </w:r>
                </w:p>
              </w:tc>
            </w:tr>
            <w:tr w14:paraId="79F5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5" w:type="dxa"/>
                  <w:vMerge w:val="restart"/>
                  <w:tcBorders>
                    <w:tl2br w:val="nil"/>
                    <w:tr2bl w:val="nil"/>
                  </w:tcBorders>
                  <w:vAlign w:val="center"/>
                </w:tcPr>
                <w:p w14:paraId="7738E9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公用工程</w:t>
                  </w:r>
                </w:p>
              </w:tc>
              <w:tc>
                <w:tcPr>
                  <w:tcW w:w="847" w:type="dxa"/>
                  <w:tcBorders>
                    <w:tl2br w:val="nil"/>
                    <w:tr2bl w:val="nil"/>
                  </w:tcBorders>
                  <w:vAlign w:val="center"/>
                </w:tcPr>
                <w:p w14:paraId="44EB20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供水</w:t>
                  </w:r>
                </w:p>
              </w:tc>
              <w:tc>
                <w:tcPr>
                  <w:tcW w:w="5249" w:type="dxa"/>
                  <w:gridSpan w:val="2"/>
                  <w:tcBorders>
                    <w:tl2br w:val="nil"/>
                    <w:tr2bl w:val="nil"/>
                  </w:tcBorders>
                  <w:vAlign w:val="center"/>
                </w:tcPr>
                <w:p w14:paraId="6FB29E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由</w:t>
                  </w:r>
                  <w:r>
                    <w:rPr>
                      <w:rFonts w:hint="default" w:ascii="Times New Roman" w:hAnsi="Times New Roman" w:eastAsia="宋体" w:cs="Times New Roman"/>
                      <w:color w:val="auto"/>
                      <w:kern w:val="0"/>
                      <w:sz w:val="21"/>
                      <w:szCs w:val="21"/>
                      <w:highlight w:val="none"/>
                      <w:lang w:val="en-US" w:eastAsia="zh-CN"/>
                    </w:rPr>
                    <w:t>市政自来水管网供应，从</w:t>
                  </w:r>
                  <w:r>
                    <w:rPr>
                      <w:rFonts w:hint="default" w:ascii="Times New Roman" w:hAnsi="Times New Roman" w:cs="Times New Roman"/>
                      <w:color w:val="auto"/>
                      <w:kern w:val="0"/>
                      <w:sz w:val="21"/>
                      <w:szCs w:val="21"/>
                      <w:highlight w:val="none"/>
                      <w:lang w:val="en-US" w:eastAsia="zh-CN"/>
                    </w:rPr>
                    <w:t>三月三路供水管网接入</w:t>
                  </w:r>
                  <w:r>
                    <w:rPr>
                      <w:rFonts w:hint="default" w:ascii="Times New Roman" w:hAnsi="Times New Roman" w:eastAsia="宋体" w:cs="Times New Roman"/>
                      <w:color w:val="auto"/>
                      <w:kern w:val="0"/>
                      <w:sz w:val="21"/>
                      <w:szCs w:val="21"/>
                      <w:highlight w:val="none"/>
                    </w:rPr>
                    <w:t>。</w:t>
                  </w:r>
                </w:p>
              </w:tc>
              <w:tc>
                <w:tcPr>
                  <w:tcW w:w="649" w:type="dxa"/>
                  <w:vMerge w:val="restart"/>
                  <w:tcBorders>
                    <w:tl2br w:val="nil"/>
                    <w:tr2bl w:val="nil"/>
                  </w:tcBorders>
                  <w:vAlign w:val="center"/>
                </w:tcPr>
                <w:p w14:paraId="4D1C82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利旧</w:t>
                  </w:r>
                </w:p>
              </w:tc>
            </w:tr>
            <w:tr w14:paraId="73773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jc w:val="center"/>
              </w:trPr>
              <w:tc>
                <w:tcPr>
                  <w:tcW w:w="725" w:type="dxa"/>
                  <w:vMerge w:val="continue"/>
                  <w:tcBorders>
                    <w:tl2br w:val="nil"/>
                    <w:tr2bl w:val="nil"/>
                  </w:tcBorders>
                  <w:vAlign w:val="center"/>
                </w:tcPr>
                <w:p w14:paraId="3B4D08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p>
              </w:tc>
              <w:tc>
                <w:tcPr>
                  <w:tcW w:w="847" w:type="dxa"/>
                  <w:tcBorders>
                    <w:tl2br w:val="nil"/>
                    <w:tr2bl w:val="nil"/>
                  </w:tcBorders>
                  <w:vAlign w:val="center"/>
                </w:tcPr>
                <w:p w14:paraId="3DDAC4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排水</w:t>
                  </w:r>
                </w:p>
              </w:tc>
              <w:tc>
                <w:tcPr>
                  <w:tcW w:w="5249" w:type="dxa"/>
                  <w:gridSpan w:val="2"/>
                  <w:tcBorders>
                    <w:tl2br w:val="nil"/>
                    <w:tr2bl w:val="nil"/>
                  </w:tcBorders>
                  <w:vAlign w:val="center"/>
                </w:tcPr>
                <w:p w14:paraId="5E989D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项目</w:t>
                  </w:r>
                  <w:r>
                    <w:rPr>
                      <w:rFonts w:hint="default" w:ascii="Times New Roman" w:hAnsi="Times New Roman" w:eastAsia="宋体" w:cs="Times New Roman"/>
                      <w:bCs/>
                      <w:color w:val="auto"/>
                      <w:sz w:val="21"/>
                      <w:szCs w:val="21"/>
                      <w:highlight w:val="none"/>
                      <w:lang w:val="en-US" w:eastAsia="zh-CN"/>
                    </w:rPr>
                    <w:t>车辆冲洗废水经</w:t>
                  </w:r>
                  <w:r>
                    <w:rPr>
                      <w:rFonts w:hint="default" w:ascii="Times New Roman" w:hAnsi="Times New Roman" w:cs="Times New Roman"/>
                      <w:bCs/>
                      <w:color w:val="auto"/>
                      <w:sz w:val="21"/>
                      <w:szCs w:val="21"/>
                      <w:highlight w:val="none"/>
                      <w:lang w:val="en-US" w:eastAsia="zh-CN"/>
                    </w:rPr>
                    <w:t>沉淀池、过滤池</w:t>
                  </w:r>
                  <w:r>
                    <w:rPr>
                      <w:rFonts w:hint="default" w:ascii="Times New Roman" w:hAnsi="Times New Roman" w:eastAsia="宋体" w:cs="Times New Roman"/>
                      <w:bCs/>
                      <w:color w:val="auto"/>
                      <w:sz w:val="21"/>
                      <w:szCs w:val="21"/>
                      <w:highlight w:val="none"/>
                      <w:lang w:val="en-US" w:eastAsia="zh-CN"/>
                    </w:rPr>
                    <w:t>处理后</w:t>
                  </w:r>
                  <w:r>
                    <w:rPr>
                      <w:rFonts w:hint="default" w:ascii="Times New Roman" w:hAnsi="Times New Roman" w:cs="Times New Roman"/>
                      <w:bCs/>
                      <w:color w:val="auto"/>
                      <w:sz w:val="21"/>
                      <w:szCs w:val="21"/>
                      <w:highlight w:val="none"/>
                      <w:lang w:val="en-US" w:eastAsia="zh-CN"/>
                    </w:rPr>
                    <w:t>循环使用</w:t>
                  </w:r>
                  <w:r>
                    <w:rPr>
                      <w:rFonts w:hint="default" w:ascii="Times New Roman" w:hAnsi="Times New Roman" w:eastAsia="宋体" w:cs="Times New Roman"/>
                      <w:bCs/>
                      <w:color w:val="auto"/>
                      <w:sz w:val="21"/>
                      <w:szCs w:val="21"/>
                      <w:highlight w:val="none"/>
                      <w:lang w:val="en-US" w:eastAsia="zh-CN"/>
                    </w:rPr>
                    <w:t>，不外排</w:t>
                  </w:r>
                  <w:r>
                    <w:rPr>
                      <w:rFonts w:hint="default" w:ascii="Times New Roman" w:hAnsi="Times New Roman" w:cs="Times New Roman"/>
                      <w:bCs/>
                      <w:color w:val="auto"/>
                      <w:sz w:val="21"/>
                      <w:szCs w:val="21"/>
                      <w:highlight w:val="none"/>
                      <w:lang w:val="en-US" w:eastAsia="zh-CN"/>
                    </w:rPr>
                    <w:t>；初期雨水经</w:t>
                  </w:r>
                  <w:r>
                    <w:rPr>
                      <w:rFonts w:hint="default" w:ascii="Times New Roman" w:hAnsi="Times New Roman" w:cs="Times New Roman"/>
                      <w:b w:val="0"/>
                      <w:bCs/>
                      <w:color w:val="auto"/>
                      <w:sz w:val="21"/>
                      <w:szCs w:val="21"/>
                      <w:highlight w:val="none"/>
                      <w:lang w:val="en-US" w:eastAsia="zh-CN"/>
                    </w:rPr>
                    <w:t>收集池</w:t>
                  </w:r>
                  <w:r>
                    <w:rPr>
                      <w:rFonts w:hint="default" w:ascii="Times New Roman" w:hAnsi="Times New Roman" w:eastAsia="宋体" w:cs="Times New Roman"/>
                      <w:b w:val="0"/>
                      <w:bCs/>
                      <w:color w:val="auto"/>
                      <w:sz w:val="21"/>
                      <w:szCs w:val="21"/>
                      <w:highlight w:val="none"/>
                      <w:lang w:val="en-US" w:eastAsia="zh-CN"/>
                    </w:rPr>
                    <w:t>收集</w:t>
                  </w:r>
                  <w:r>
                    <w:rPr>
                      <w:rFonts w:hint="default" w:ascii="Times New Roman" w:hAnsi="Times New Roman" w:cs="Times New Roman"/>
                      <w:b w:val="0"/>
                      <w:bCs/>
                      <w:color w:val="auto"/>
                      <w:sz w:val="21"/>
                      <w:szCs w:val="21"/>
                      <w:highlight w:val="none"/>
                      <w:lang w:val="en-US" w:eastAsia="zh-CN"/>
                    </w:rPr>
                    <w:t>沉淀池沉淀</w:t>
                  </w:r>
                  <w:r>
                    <w:rPr>
                      <w:rFonts w:hint="default" w:ascii="Times New Roman" w:hAnsi="Times New Roman" w:eastAsia="宋体" w:cs="Times New Roman"/>
                      <w:b w:val="0"/>
                      <w:bCs/>
                      <w:color w:val="auto"/>
                      <w:sz w:val="21"/>
                      <w:szCs w:val="21"/>
                      <w:highlight w:val="none"/>
                      <w:lang w:val="en-US" w:eastAsia="zh-CN"/>
                    </w:rPr>
                    <w:t>后</w:t>
                  </w:r>
                  <w:r>
                    <w:rPr>
                      <w:rFonts w:hint="default" w:ascii="Times New Roman" w:hAnsi="Times New Roman" w:cs="Times New Roman"/>
                      <w:bCs/>
                      <w:color w:val="auto"/>
                      <w:sz w:val="21"/>
                      <w:szCs w:val="21"/>
                      <w:highlight w:val="none"/>
                      <w:lang w:val="en-US" w:eastAsia="zh-CN"/>
                    </w:rPr>
                    <w:t>用于</w:t>
                  </w:r>
                  <w:r>
                    <w:rPr>
                      <w:rFonts w:hint="default" w:ascii="Times New Roman" w:hAnsi="Times New Roman" w:eastAsia="宋体" w:cs="Times New Roman"/>
                      <w:bCs/>
                      <w:color w:val="auto"/>
                      <w:sz w:val="21"/>
                      <w:szCs w:val="21"/>
                      <w:highlight w:val="none"/>
                      <w:lang w:val="en-US" w:eastAsia="zh-CN"/>
                    </w:rPr>
                    <w:t>储煤</w:t>
                  </w:r>
                  <w:r>
                    <w:rPr>
                      <w:rFonts w:hint="default" w:ascii="Times New Roman" w:hAnsi="Times New Roman" w:cs="Times New Roman"/>
                      <w:bCs/>
                      <w:color w:val="auto"/>
                      <w:sz w:val="21"/>
                      <w:szCs w:val="21"/>
                      <w:highlight w:val="none"/>
                      <w:lang w:val="en-US" w:eastAsia="zh-CN"/>
                    </w:rPr>
                    <w:t>仓库</w:t>
                  </w:r>
                  <w:r>
                    <w:rPr>
                      <w:rFonts w:hint="default" w:ascii="Times New Roman" w:hAnsi="Times New Roman" w:eastAsia="宋体" w:cs="Times New Roman"/>
                      <w:bCs/>
                      <w:color w:val="auto"/>
                      <w:sz w:val="21"/>
                      <w:szCs w:val="21"/>
                      <w:highlight w:val="none"/>
                      <w:lang w:val="en-US" w:eastAsia="zh-CN"/>
                    </w:rPr>
                    <w:t>洒水降尘</w:t>
                  </w:r>
                  <w:r>
                    <w:rPr>
                      <w:rFonts w:hint="default" w:ascii="Times New Roman" w:hAnsi="Times New Roman" w:cs="Times New Roman"/>
                      <w:bCs/>
                      <w:color w:val="auto"/>
                      <w:sz w:val="21"/>
                      <w:szCs w:val="21"/>
                      <w:highlight w:val="none"/>
                      <w:lang w:val="en-US" w:eastAsia="zh-CN"/>
                    </w:rPr>
                    <w:t>，不外排；</w:t>
                  </w:r>
                  <w:r>
                    <w:rPr>
                      <w:rFonts w:hint="eastAsia" w:cs="Times New Roman"/>
                      <w:bCs/>
                      <w:color w:val="0000FF"/>
                      <w:sz w:val="21"/>
                      <w:szCs w:val="21"/>
                      <w:highlight w:val="none"/>
                      <w:lang w:val="en-US" w:eastAsia="zh-CN"/>
                    </w:rPr>
                    <w:t>生活污水经化粪池预处理后经项目一体化污水处理设备处理后回用于项目生活区洒水降尘，</w:t>
                  </w:r>
                  <w:r>
                    <w:rPr>
                      <w:rFonts w:hint="default" w:ascii="Times New Roman" w:hAnsi="Times New Roman" w:eastAsia="宋体" w:cs="Times New Roman"/>
                      <w:color w:val="0000FF"/>
                      <w:sz w:val="21"/>
                      <w:szCs w:val="21"/>
                      <w:highlight w:val="none"/>
                      <w:lang w:val="en-US" w:eastAsia="zh-CN"/>
                    </w:rPr>
                    <w:t>不外排。</w:t>
                  </w:r>
                </w:p>
              </w:tc>
              <w:tc>
                <w:tcPr>
                  <w:tcW w:w="649" w:type="dxa"/>
                  <w:vMerge w:val="continue"/>
                  <w:tcBorders>
                    <w:tl2br w:val="nil"/>
                    <w:tr2bl w:val="nil"/>
                  </w:tcBorders>
                  <w:vAlign w:val="center"/>
                </w:tcPr>
                <w:p w14:paraId="139133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14:paraId="51B5B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5" w:type="dxa"/>
                  <w:vMerge w:val="continue"/>
                  <w:tcBorders>
                    <w:tl2br w:val="nil"/>
                    <w:tr2bl w:val="nil"/>
                  </w:tcBorders>
                  <w:vAlign w:val="center"/>
                </w:tcPr>
                <w:p w14:paraId="2038E2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p>
              </w:tc>
              <w:tc>
                <w:tcPr>
                  <w:tcW w:w="847" w:type="dxa"/>
                  <w:tcBorders>
                    <w:tl2br w:val="nil"/>
                    <w:tr2bl w:val="nil"/>
                  </w:tcBorders>
                  <w:vAlign w:val="center"/>
                </w:tcPr>
                <w:p w14:paraId="6E5835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供电</w:t>
                  </w:r>
                </w:p>
              </w:tc>
              <w:tc>
                <w:tcPr>
                  <w:tcW w:w="5249" w:type="dxa"/>
                  <w:gridSpan w:val="2"/>
                  <w:tcBorders>
                    <w:tl2br w:val="nil"/>
                    <w:tr2bl w:val="nil"/>
                  </w:tcBorders>
                  <w:vAlign w:val="center"/>
                </w:tcPr>
                <w:p w14:paraId="351B35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由市政电网供电，从</w:t>
                  </w:r>
                  <w:r>
                    <w:rPr>
                      <w:rFonts w:hint="default" w:ascii="Times New Roman" w:hAnsi="Times New Roman" w:cs="Times New Roman"/>
                      <w:color w:val="auto"/>
                      <w:kern w:val="0"/>
                      <w:sz w:val="21"/>
                      <w:szCs w:val="21"/>
                      <w:highlight w:val="none"/>
                      <w:lang w:val="en-US" w:eastAsia="zh-CN"/>
                    </w:rPr>
                    <w:t>三月三路供水管网接入</w:t>
                  </w:r>
                  <w:r>
                    <w:rPr>
                      <w:rFonts w:hint="default" w:ascii="Times New Roman" w:hAnsi="Times New Roman" w:eastAsia="宋体" w:cs="Times New Roman"/>
                      <w:color w:val="auto"/>
                      <w:kern w:val="0"/>
                      <w:sz w:val="21"/>
                      <w:szCs w:val="21"/>
                      <w:highlight w:val="none"/>
                    </w:rPr>
                    <w:t>。</w:t>
                  </w:r>
                </w:p>
              </w:tc>
              <w:tc>
                <w:tcPr>
                  <w:tcW w:w="649" w:type="dxa"/>
                  <w:vMerge w:val="continue"/>
                  <w:tcBorders>
                    <w:tl2br w:val="nil"/>
                    <w:tr2bl w:val="nil"/>
                  </w:tcBorders>
                  <w:vAlign w:val="center"/>
                </w:tcPr>
                <w:p w14:paraId="338631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14:paraId="2A01C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9" w:hRule="atLeast"/>
                <w:jc w:val="center"/>
              </w:trPr>
              <w:tc>
                <w:tcPr>
                  <w:tcW w:w="725" w:type="dxa"/>
                  <w:vMerge w:val="restart"/>
                  <w:tcBorders>
                    <w:tl2br w:val="nil"/>
                    <w:tr2bl w:val="nil"/>
                  </w:tcBorders>
                  <w:vAlign w:val="center"/>
                </w:tcPr>
                <w:p w14:paraId="4712BD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环保工程</w:t>
                  </w:r>
                </w:p>
              </w:tc>
              <w:tc>
                <w:tcPr>
                  <w:tcW w:w="847" w:type="dxa"/>
                  <w:vMerge w:val="restart"/>
                  <w:tcBorders>
                    <w:tl2br w:val="nil"/>
                    <w:tr2bl w:val="nil"/>
                  </w:tcBorders>
                  <w:vAlign w:val="center"/>
                </w:tcPr>
                <w:p w14:paraId="21ED6A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废气处理设施</w:t>
                  </w:r>
                </w:p>
              </w:tc>
              <w:tc>
                <w:tcPr>
                  <w:tcW w:w="1553" w:type="dxa"/>
                  <w:vMerge w:val="restart"/>
                  <w:tcBorders>
                    <w:tl2br w:val="nil"/>
                    <w:tr2bl w:val="nil"/>
                  </w:tcBorders>
                  <w:vAlign w:val="center"/>
                </w:tcPr>
                <w:p w14:paraId="68CC01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煤炭堆放及装卸扬尘</w:t>
                  </w:r>
                </w:p>
              </w:tc>
              <w:tc>
                <w:tcPr>
                  <w:tcW w:w="3696" w:type="dxa"/>
                  <w:tcBorders>
                    <w:tl2br w:val="nil"/>
                    <w:tr2bl w:val="nil"/>
                  </w:tcBorders>
                  <w:vAlign w:val="center"/>
                </w:tcPr>
                <w:p w14:paraId="27F5D8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晾晒场和</w:t>
                  </w:r>
                  <w:r>
                    <w:rPr>
                      <w:rFonts w:hint="default" w:ascii="Times New Roman" w:hAnsi="Times New Roman" w:eastAsia="宋体" w:cs="Times New Roman"/>
                      <w:color w:val="auto"/>
                      <w:sz w:val="21"/>
                      <w:szCs w:val="21"/>
                      <w:highlight w:val="none"/>
                      <w:lang w:val="en-US" w:eastAsia="zh-CN"/>
                    </w:rPr>
                    <w:t>储煤</w:t>
                  </w:r>
                  <w:r>
                    <w:rPr>
                      <w:rFonts w:hint="default" w:ascii="Times New Roman" w:hAnsi="Times New Roman" w:cs="Times New Roman"/>
                      <w:color w:val="auto"/>
                      <w:sz w:val="21"/>
                      <w:szCs w:val="21"/>
                      <w:highlight w:val="none"/>
                      <w:lang w:val="en-US" w:eastAsia="zh-CN"/>
                    </w:rPr>
                    <w:t>场设置密闭仓库4座</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总占地面积16667m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w:t>
                  </w:r>
                </w:p>
              </w:tc>
              <w:tc>
                <w:tcPr>
                  <w:tcW w:w="649" w:type="dxa"/>
                  <w:vMerge w:val="restart"/>
                  <w:tcBorders>
                    <w:tl2br w:val="nil"/>
                    <w:tr2bl w:val="nil"/>
                  </w:tcBorders>
                  <w:vAlign w:val="center"/>
                </w:tcPr>
                <w:p w14:paraId="55F644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晾晒厂房</w:t>
                  </w:r>
                  <w:r>
                    <w:rPr>
                      <w:rFonts w:hint="default" w:ascii="Times New Roman" w:hAnsi="Times New Roman" w:eastAsia="宋体" w:cs="Times New Roman"/>
                      <w:color w:val="auto"/>
                      <w:kern w:val="2"/>
                      <w:sz w:val="21"/>
                      <w:szCs w:val="21"/>
                      <w:highlight w:val="none"/>
                      <w:lang w:val="en-US" w:eastAsia="zh-CN" w:bidi="ar-SA"/>
                    </w:rPr>
                    <w:t>新建</w:t>
                  </w:r>
                  <w:r>
                    <w:rPr>
                      <w:rFonts w:hint="default" w:ascii="Times New Roman" w:hAnsi="Times New Roman" w:cs="Times New Roman"/>
                      <w:color w:val="auto"/>
                      <w:kern w:val="2"/>
                      <w:sz w:val="21"/>
                      <w:szCs w:val="21"/>
                      <w:highlight w:val="none"/>
                      <w:lang w:val="en-US" w:eastAsia="zh-CN" w:bidi="ar-SA"/>
                    </w:rPr>
                    <w:t>，储煤仓库利旧</w:t>
                  </w:r>
                </w:p>
              </w:tc>
            </w:tr>
            <w:tr w14:paraId="3A9B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1" w:hRule="atLeast"/>
                <w:jc w:val="center"/>
              </w:trPr>
              <w:tc>
                <w:tcPr>
                  <w:tcW w:w="725" w:type="dxa"/>
                  <w:vMerge w:val="continue"/>
                  <w:tcBorders>
                    <w:tl2br w:val="nil"/>
                    <w:tr2bl w:val="nil"/>
                  </w:tcBorders>
                  <w:vAlign w:val="center"/>
                </w:tcPr>
                <w:p w14:paraId="24C2CD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p>
              </w:tc>
              <w:tc>
                <w:tcPr>
                  <w:tcW w:w="847" w:type="dxa"/>
                  <w:vMerge w:val="continue"/>
                  <w:tcBorders>
                    <w:tl2br w:val="nil"/>
                    <w:tr2bl w:val="nil"/>
                  </w:tcBorders>
                  <w:vAlign w:val="center"/>
                </w:tcPr>
                <w:p w14:paraId="56A213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553" w:type="dxa"/>
                  <w:vMerge w:val="continue"/>
                  <w:tcBorders>
                    <w:tl2br w:val="nil"/>
                    <w:tr2bl w:val="nil"/>
                  </w:tcBorders>
                  <w:vAlign w:val="center"/>
                </w:tcPr>
                <w:p w14:paraId="0D0162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696" w:type="dxa"/>
                  <w:tcBorders>
                    <w:tl2br w:val="nil"/>
                    <w:tr2bl w:val="nil"/>
                  </w:tcBorders>
                  <w:vAlign w:val="center"/>
                </w:tcPr>
                <w:p w14:paraId="06E132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0000FF"/>
                      <w:kern w:val="2"/>
                      <w:sz w:val="21"/>
                      <w:szCs w:val="21"/>
                      <w:highlight w:val="none"/>
                      <w:u w:val="none"/>
                      <w:lang w:val="en-US" w:eastAsia="zh-CN" w:bidi="ar-SA"/>
                    </w:rPr>
                    <w:t>项目厂界四周各设置一台雾炮机对项目周边喷雾降尘，共4台，每台喷雾量为1.5t/h。</w:t>
                  </w:r>
                </w:p>
              </w:tc>
              <w:tc>
                <w:tcPr>
                  <w:tcW w:w="649" w:type="dxa"/>
                  <w:vMerge w:val="continue"/>
                  <w:tcBorders>
                    <w:tl2br w:val="nil"/>
                    <w:tr2bl w:val="nil"/>
                  </w:tcBorders>
                  <w:vAlign w:val="center"/>
                </w:tcPr>
                <w:p w14:paraId="693CF7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p>
              </w:tc>
            </w:tr>
            <w:tr w14:paraId="2DFEB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725" w:type="dxa"/>
                  <w:vMerge w:val="continue"/>
                  <w:tcBorders>
                    <w:tl2br w:val="nil"/>
                    <w:tr2bl w:val="nil"/>
                  </w:tcBorders>
                  <w:vAlign w:val="center"/>
                </w:tcPr>
                <w:p w14:paraId="55C9A3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p>
              </w:tc>
              <w:tc>
                <w:tcPr>
                  <w:tcW w:w="847" w:type="dxa"/>
                  <w:vMerge w:val="continue"/>
                  <w:tcBorders>
                    <w:tl2br w:val="nil"/>
                    <w:tr2bl w:val="nil"/>
                  </w:tcBorders>
                  <w:vAlign w:val="center"/>
                </w:tcPr>
                <w:p w14:paraId="48D156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553" w:type="dxa"/>
                  <w:vMerge w:val="continue"/>
                  <w:tcBorders>
                    <w:tl2br w:val="nil"/>
                    <w:tr2bl w:val="nil"/>
                  </w:tcBorders>
                  <w:vAlign w:val="center"/>
                </w:tcPr>
                <w:p w14:paraId="7DADC5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696" w:type="dxa"/>
                  <w:tcBorders>
                    <w:tl2br w:val="nil"/>
                    <w:tr2bl w:val="nil"/>
                  </w:tcBorders>
                  <w:vAlign w:val="center"/>
                </w:tcPr>
                <w:p w14:paraId="62336F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洒水车1台，对场内道路及裸露地面每天洒水3次。</w:t>
                  </w:r>
                </w:p>
              </w:tc>
              <w:tc>
                <w:tcPr>
                  <w:tcW w:w="649" w:type="dxa"/>
                  <w:tcBorders>
                    <w:tl2br w:val="nil"/>
                    <w:tr2bl w:val="nil"/>
                  </w:tcBorders>
                  <w:vAlign w:val="center"/>
                </w:tcPr>
                <w:p w14:paraId="5CE24C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新建</w:t>
                  </w:r>
                </w:p>
              </w:tc>
            </w:tr>
            <w:tr w14:paraId="7293C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725" w:type="dxa"/>
                  <w:vMerge w:val="continue"/>
                  <w:tcBorders>
                    <w:tl2br w:val="nil"/>
                    <w:tr2bl w:val="nil"/>
                  </w:tcBorders>
                  <w:vAlign w:val="center"/>
                </w:tcPr>
                <w:p w14:paraId="6D792A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p>
              </w:tc>
              <w:tc>
                <w:tcPr>
                  <w:tcW w:w="847" w:type="dxa"/>
                  <w:vMerge w:val="continue"/>
                  <w:tcBorders>
                    <w:tl2br w:val="nil"/>
                    <w:tr2bl w:val="nil"/>
                  </w:tcBorders>
                  <w:vAlign w:val="center"/>
                </w:tcPr>
                <w:p w14:paraId="068A54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553" w:type="dxa"/>
                  <w:tcBorders>
                    <w:tl2br w:val="nil"/>
                    <w:tr2bl w:val="nil"/>
                  </w:tcBorders>
                  <w:vAlign w:val="center"/>
                </w:tcPr>
                <w:p w14:paraId="01266A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车辆行驶动力扬尘</w:t>
                  </w:r>
                </w:p>
              </w:tc>
              <w:tc>
                <w:tcPr>
                  <w:tcW w:w="3696" w:type="dxa"/>
                  <w:tcBorders>
                    <w:tl2br w:val="nil"/>
                    <w:tr2bl w:val="nil"/>
                  </w:tcBorders>
                  <w:vAlign w:val="center"/>
                </w:tcPr>
                <w:p w14:paraId="0A7E7D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车厢</w:t>
                  </w:r>
                  <w:r>
                    <w:rPr>
                      <w:rFonts w:hint="default" w:ascii="Times New Roman" w:hAnsi="Times New Roman" w:eastAsia="宋体" w:cs="Times New Roman"/>
                      <w:color w:val="auto"/>
                      <w:sz w:val="21"/>
                      <w:szCs w:val="21"/>
                      <w:highlight w:val="none"/>
                      <w:lang w:val="en-US" w:eastAsia="zh-CN"/>
                    </w:rPr>
                    <w:t>篷布遮盖密闭运输</w:t>
                  </w:r>
                  <w:r>
                    <w:rPr>
                      <w:rFonts w:hint="default" w:ascii="Times New Roman" w:hAnsi="Times New Roman" w:cs="Times New Roman"/>
                      <w:color w:val="auto"/>
                      <w:sz w:val="21"/>
                      <w:szCs w:val="21"/>
                      <w:highlight w:val="none"/>
                      <w:lang w:val="en-US" w:eastAsia="zh-CN"/>
                    </w:rPr>
                    <w:t>。</w:t>
                  </w:r>
                </w:p>
              </w:tc>
              <w:tc>
                <w:tcPr>
                  <w:tcW w:w="649" w:type="dxa"/>
                  <w:tcBorders>
                    <w:tl2br w:val="nil"/>
                    <w:tr2bl w:val="nil"/>
                  </w:tcBorders>
                  <w:vAlign w:val="center"/>
                </w:tcPr>
                <w:p w14:paraId="4C74A9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新建</w:t>
                  </w:r>
                </w:p>
              </w:tc>
            </w:tr>
            <w:tr w14:paraId="4BAF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2" w:hRule="atLeast"/>
                <w:jc w:val="center"/>
              </w:trPr>
              <w:tc>
                <w:tcPr>
                  <w:tcW w:w="725" w:type="dxa"/>
                  <w:vMerge w:val="continue"/>
                  <w:tcBorders>
                    <w:tl2br w:val="nil"/>
                    <w:tr2bl w:val="nil"/>
                  </w:tcBorders>
                  <w:vAlign w:val="center"/>
                </w:tcPr>
                <w:p w14:paraId="6E5F65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47" w:type="dxa"/>
                  <w:vMerge w:val="restart"/>
                  <w:tcBorders>
                    <w:tl2br w:val="nil"/>
                    <w:tr2bl w:val="nil"/>
                  </w:tcBorders>
                  <w:vAlign w:val="center"/>
                </w:tcPr>
                <w:p w14:paraId="1C66DE70">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553" w:type="dxa"/>
                  <w:vMerge w:val="restart"/>
                  <w:tcBorders>
                    <w:tl2br w:val="nil"/>
                    <w:tr2bl w:val="nil"/>
                  </w:tcBorders>
                  <w:vAlign w:val="center"/>
                </w:tcPr>
                <w:p w14:paraId="230A32D8">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生活废水</w:t>
                  </w:r>
                </w:p>
              </w:tc>
              <w:tc>
                <w:tcPr>
                  <w:tcW w:w="3696" w:type="dxa"/>
                  <w:tcBorders>
                    <w:tl2br w:val="nil"/>
                    <w:tr2bl w:val="nil"/>
                  </w:tcBorders>
                  <w:vAlign w:val="center"/>
                </w:tcPr>
                <w:p w14:paraId="4E2EC81F">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highlight w:val="none"/>
                      <w:u w:val="none"/>
                      <w:lang w:val="en-US" w:eastAsia="zh-CN"/>
                    </w:rPr>
                    <w:t>项目生活区南侧设置1座</w:t>
                  </w:r>
                  <w:r>
                    <w:rPr>
                      <w:rFonts w:hint="default" w:ascii="Times New Roman" w:hAnsi="Times New Roman" w:eastAsia="宋体" w:cs="Times New Roman"/>
                      <w:color w:val="auto"/>
                      <w:sz w:val="21"/>
                      <w:szCs w:val="21"/>
                      <w:highlight w:val="none"/>
                      <w:u w:val="none"/>
                      <w:lang w:val="en-US" w:eastAsia="zh-CN"/>
                    </w:rPr>
                    <w:t>化粪池</w:t>
                  </w:r>
                  <w:r>
                    <w:rPr>
                      <w:rFonts w:hint="default" w:ascii="Times New Roman" w:hAnsi="Times New Roman" w:cs="Times New Roman"/>
                      <w:color w:val="auto"/>
                      <w:sz w:val="21"/>
                      <w:szCs w:val="21"/>
                      <w:highlight w:val="none"/>
                      <w:u w:val="none"/>
                      <w:lang w:val="en-US" w:eastAsia="zh-CN"/>
                    </w:rPr>
                    <w:t>，有效容积15m</w:t>
                  </w:r>
                  <w:r>
                    <w:rPr>
                      <w:rFonts w:hint="default" w:ascii="Times New Roman" w:hAnsi="Times New Roman" w:cs="Times New Roman"/>
                      <w:color w:val="auto"/>
                      <w:sz w:val="21"/>
                      <w:szCs w:val="21"/>
                      <w:highlight w:val="none"/>
                      <w:u w:val="none"/>
                      <w:vertAlign w:val="superscript"/>
                      <w:lang w:val="en-US" w:eastAsia="zh-CN"/>
                    </w:rPr>
                    <w:t>3</w:t>
                  </w:r>
                  <w:r>
                    <w:rPr>
                      <w:rFonts w:hint="default" w:ascii="Times New Roman" w:hAnsi="Times New Roman" w:cs="Times New Roman"/>
                      <w:color w:val="auto"/>
                      <w:sz w:val="21"/>
                      <w:szCs w:val="21"/>
                      <w:highlight w:val="none"/>
                      <w:u w:val="none"/>
                      <w:vertAlign w:val="baseline"/>
                      <w:lang w:val="en-US" w:eastAsia="zh-CN"/>
                    </w:rPr>
                    <w:t>。</w:t>
                  </w:r>
                </w:p>
              </w:tc>
              <w:tc>
                <w:tcPr>
                  <w:tcW w:w="649" w:type="dxa"/>
                  <w:tcBorders>
                    <w:tl2br w:val="nil"/>
                    <w:tr2bl w:val="nil"/>
                  </w:tcBorders>
                  <w:vAlign w:val="center"/>
                </w:tcPr>
                <w:p w14:paraId="4846B2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利旧</w:t>
                  </w:r>
                </w:p>
              </w:tc>
            </w:tr>
            <w:tr w14:paraId="02A2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2" w:hRule="atLeast"/>
                <w:jc w:val="center"/>
              </w:trPr>
              <w:tc>
                <w:tcPr>
                  <w:tcW w:w="725" w:type="dxa"/>
                  <w:vMerge w:val="continue"/>
                  <w:tcBorders>
                    <w:tl2br w:val="nil"/>
                    <w:tr2bl w:val="nil"/>
                  </w:tcBorders>
                  <w:vAlign w:val="center"/>
                </w:tcPr>
                <w:p w14:paraId="7E7C42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47" w:type="dxa"/>
                  <w:vMerge w:val="continue"/>
                  <w:tcBorders>
                    <w:tl2br w:val="nil"/>
                    <w:tr2bl w:val="nil"/>
                  </w:tcBorders>
                  <w:vAlign w:val="center"/>
                </w:tcPr>
                <w:p w14:paraId="7C8FE958">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553" w:type="dxa"/>
                  <w:vMerge w:val="continue"/>
                  <w:tcBorders>
                    <w:tl2br w:val="nil"/>
                    <w:tr2bl w:val="nil"/>
                  </w:tcBorders>
                  <w:vAlign w:val="center"/>
                </w:tcPr>
                <w:p w14:paraId="31356CDA">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696" w:type="dxa"/>
                  <w:tcBorders>
                    <w:tl2br w:val="nil"/>
                    <w:tr2bl w:val="nil"/>
                  </w:tcBorders>
                  <w:vAlign w:val="center"/>
                </w:tcPr>
                <w:p w14:paraId="2B29D619">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FF"/>
                      <w:sz w:val="21"/>
                      <w:szCs w:val="21"/>
                      <w:highlight w:val="none"/>
                      <w:u w:val="none"/>
                      <w:lang w:val="en-US" w:eastAsia="zh-CN"/>
                    </w:rPr>
                  </w:pPr>
                  <w:r>
                    <w:rPr>
                      <w:rFonts w:hint="eastAsia" w:cs="Times New Roman"/>
                      <w:color w:val="0000FF"/>
                      <w:sz w:val="21"/>
                      <w:szCs w:val="21"/>
                      <w:highlight w:val="none"/>
                      <w:u w:val="none"/>
                      <w:lang w:val="en-US" w:eastAsia="zh-CN"/>
                    </w:rPr>
                    <w:t>一体化污水处理设备1座，处理能力5m</w:t>
                  </w:r>
                  <w:r>
                    <w:rPr>
                      <w:rFonts w:hint="eastAsia" w:cs="Times New Roman"/>
                      <w:color w:val="0000FF"/>
                      <w:sz w:val="21"/>
                      <w:szCs w:val="21"/>
                      <w:highlight w:val="none"/>
                      <w:u w:val="none"/>
                      <w:vertAlign w:val="superscript"/>
                      <w:lang w:val="en-US" w:eastAsia="zh-CN"/>
                    </w:rPr>
                    <w:t>3</w:t>
                  </w:r>
                  <w:r>
                    <w:rPr>
                      <w:rFonts w:hint="eastAsia" w:cs="Times New Roman"/>
                      <w:color w:val="0000FF"/>
                      <w:sz w:val="21"/>
                      <w:szCs w:val="21"/>
                      <w:highlight w:val="none"/>
                      <w:u w:val="none"/>
                      <w:lang w:val="en-US" w:eastAsia="zh-CN"/>
                    </w:rPr>
                    <w:t>/d。</w:t>
                  </w:r>
                </w:p>
              </w:tc>
              <w:tc>
                <w:tcPr>
                  <w:tcW w:w="649" w:type="dxa"/>
                  <w:tcBorders>
                    <w:tl2br w:val="nil"/>
                    <w:tr2bl w:val="nil"/>
                  </w:tcBorders>
                  <w:vAlign w:val="center"/>
                </w:tcPr>
                <w:p w14:paraId="3AF9CC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新建</w:t>
                  </w:r>
                </w:p>
              </w:tc>
            </w:tr>
            <w:tr w14:paraId="5D521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5" w:type="dxa"/>
                  <w:vMerge w:val="continue"/>
                  <w:tcBorders>
                    <w:tl2br w:val="nil"/>
                    <w:tr2bl w:val="nil"/>
                  </w:tcBorders>
                  <w:vAlign w:val="center"/>
                </w:tcPr>
                <w:p w14:paraId="16A56F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47" w:type="dxa"/>
                  <w:vMerge w:val="continue"/>
                  <w:tcBorders>
                    <w:tl2br w:val="nil"/>
                    <w:tr2bl w:val="nil"/>
                  </w:tcBorders>
                  <w:vAlign w:val="center"/>
                </w:tcPr>
                <w:p w14:paraId="1381A9C4">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553" w:type="dxa"/>
                  <w:tcBorders>
                    <w:tl2br w:val="nil"/>
                    <w:tr2bl w:val="nil"/>
                  </w:tcBorders>
                  <w:vAlign w:val="center"/>
                </w:tcPr>
                <w:p w14:paraId="7BD6CDB2">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车辆清洗废水</w:t>
                  </w:r>
                </w:p>
              </w:tc>
              <w:tc>
                <w:tcPr>
                  <w:tcW w:w="3696" w:type="dxa"/>
                  <w:tcBorders>
                    <w:tl2br w:val="nil"/>
                    <w:tr2bl w:val="nil"/>
                  </w:tcBorders>
                  <w:vAlign w:val="center"/>
                </w:tcPr>
                <w:p w14:paraId="54047F3F">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yellow"/>
                      <w:u w:val="none"/>
                      <w:lang w:val="en-US" w:eastAsia="zh-CN"/>
                    </w:rPr>
                  </w:pPr>
                  <w:r>
                    <w:rPr>
                      <w:rFonts w:hint="default" w:ascii="Times New Roman" w:hAnsi="Times New Roman" w:cs="Times New Roman"/>
                      <w:color w:val="auto"/>
                      <w:kern w:val="2"/>
                      <w:sz w:val="21"/>
                      <w:szCs w:val="21"/>
                    </w:rPr>
                    <w:t>位于</w:t>
                  </w:r>
                  <w:r>
                    <w:rPr>
                      <w:rFonts w:hint="default" w:ascii="Times New Roman" w:hAnsi="Times New Roman" w:cs="Times New Roman"/>
                      <w:color w:val="auto"/>
                      <w:kern w:val="2"/>
                      <w:sz w:val="21"/>
                      <w:szCs w:val="21"/>
                      <w:lang w:val="en-US" w:eastAsia="zh-CN"/>
                    </w:rPr>
                    <w:t>项目</w:t>
                  </w:r>
                  <w:r>
                    <w:rPr>
                      <w:rFonts w:hint="eastAsia" w:ascii="Times New Roman" w:hAnsi="Times New Roman" w:cs="Times New Roman"/>
                      <w:color w:val="auto"/>
                      <w:kern w:val="2"/>
                      <w:sz w:val="21"/>
                      <w:szCs w:val="21"/>
                      <w:lang w:val="en-US" w:eastAsia="zh-CN"/>
                    </w:rPr>
                    <w:t>出</w:t>
                  </w:r>
                  <w:r>
                    <w:rPr>
                      <w:rFonts w:hint="default" w:ascii="Times New Roman" w:hAnsi="Times New Roman" w:cs="Times New Roman"/>
                      <w:color w:val="auto"/>
                      <w:kern w:val="2"/>
                      <w:sz w:val="21"/>
                      <w:szCs w:val="21"/>
                    </w:rPr>
                    <w:t>口处，过水池1</w:t>
                  </w:r>
                  <w:r>
                    <w:rPr>
                      <w:rFonts w:hint="default" w:ascii="Times New Roman" w:hAnsi="Times New Roman" w:cs="Times New Roman"/>
                      <w:color w:val="auto"/>
                      <w:kern w:val="2"/>
                      <w:sz w:val="21"/>
                      <w:szCs w:val="21"/>
                      <w:lang w:val="en-US" w:eastAsia="zh-CN"/>
                    </w:rPr>
                    <w:t>座</w:t>
                  </w:r>
                  <w:r>
                    <w:rPr>
                      <w:rFonts w:hint="default" w:ascii="Times New Roman" w:hAnsi="Times New Roman" w:cs="Times New Roman"/>
                      <w:color w:val="auto"/>
                      <w:kern w:val="2"/>
                      <w:sz w:val="21"/>
                      <w:szCs w:val="21"/>
                    </w:rPr>
                    <w:t>，</w:t>
                  </w:r>
                  <w:r>
                    <w:rPr>
                      <w:rFonts w:hint="eastAsia" w:cs="Times New Roman"/>
                      <w:color w:val="auto"/>
                      <w:kern w:val="2"/>
                      <w:sz w:val="21"/>
                      <w:szCs w:val="21"/>
                      <w:lang w:eastAsia="zh-CN"/>
                    </w:rPr>
                    <w:t>5m</w:t>
                  </w:r>
                  <w:r>
                    <w:rPr>
                      <w:rFonts w:hint="eastAsia" w:cs="Times New Roman"/>
                      <w:color w:val="auto"/>
                      <w:kern w:val="2"/>
                      <w:sz w:val="21"/>
                      <w:szCs w:val="21"/>
                      <w:vertAlign w:val="superscript"/>
                      <w:lang w:eastAsia="zh-CN"/>
                    </w:rPr>
                    <w:t>3</w:t>
                  </w:r>
                  <w:r>
                    <w:rPr>
                      <w:rFonts w:hint="default" w:ascii="Times New Roman" w:hAnsi="Times New Roman" w:cs="Times New Roman"/>
                      <w:color w:val="auto"/>
                      <w:kern w:val="2"/>
                      <w:sz w:val="21"/>
                      <w:szCs w:val="21"/>
                    </w:rPr>
                    <w:t>，沉淀池1</w:t>
                  </w:r>
                  <w:r>
                    <w:rPr>
                      <w:rFonts w:hint="default" w:ascii="Times New Roman" w:hAnsi="Times New Roman" w:cs="Times New Roman"/>
                      <w:color w:val="auto"/>
                      <w:kern w:val="2"/>
                      <w:sz w:val="21"/>
                      <w:szCs w:val="21"/>
                      <w:lang w:val="en-US" w:eastAsia="zh-CN"/>
                    </w:rPr>
                    <w:t>座</w:t>
                  </w:r>
                  <w:r>
                    <w:rPr>
                      <w:rFonts w:hint="default" w:ascii="Times New Roman" w:hAnsi="Times New Roman" w:cs="Times New Roman"/>
                      <w:color w:val="auto"/>
                      <w:kern w:val="2"/>
                      <w:sz w:val="21"/>
                      <w:szCs w:val="21"/>
                    </w:rPr>
                    <w:t>，</w:t>
                  </w:r>
                  <w:r>
                    <w:rPr>
                      <w:rFonts w:hint="eastAsia" w:cs="Times New Roman"/>
                      <w:color w:val="auto"/>
                      <w:kern w:val="2"/>
                      <w:sz w:val="21"/>
                      <w:szCs w:val="21"/>
                      <w:lang w:eastAsia="zh-CN"/>
                    </w:rPr>
                    <w:t>5m</w:t>
                  </w:r>
                  <w:r>
                    <w:rPr>
                      <w:rFonts w:hint="eastAsia" w:cs="Times New Roman"/>
                      <w:color w:val="auto"/>
                      <w:kern w:val="2"/>
                      <w:sz w:val="21"/>
                      <w:szCs w:val="21"/>
                      <w:vertAlign w:val="superscript"/>
                      <w:lang w:eastAsia="zh-CN"/>
                    </w:rPr>
                    <w:t>3</w:t>
                  </w:r>
                  <w:r>
                    <w:rPr>
                      <w:rFonts w:hint="default" w:ascii="Times New Roman" w:hAnsi="Times New Roman" w:cs="Times New Roman"/>
                      <w:color w:val="auto"/>
                      <w:kern w:val="2"/>
                      <w:sz w:val="21"/>
                      <w:szCs w:val="21"/>
                    </w:rPr>
                    <w:t>，洗车设备一套，供出场车辆清洗车胎、车厢。</w:t>
                  </w:r>
                </w:p>
              </w:tc>
              <w:tc>
                <w:tcPr>
                  <w:tcW w:w="649" w:type="dxa"/>
                  <w:tcBorders>
                    <w:tl2br w:val="nil"/>
                    <w:tr2bl w:val="nil"/>
                  </w:tcBorders>
                  <w:vAlign w:val="center"/>
                </w:tcPr>
                <w:p w14:paraId="1A6256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14:paraId="3F641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5" w:type="dxa"/>
                  <w:vMerge w:val="continue"/>
                  <w:tcBorders>
                    <w:tl2br w:val="nil"/>
                    <w:tr2bl w:val="nil"/>
                  </w:tcBorders>
                  <w:vAlign w:val="center"/>
                </w:tcPr>
                <w:p w14:paraId="2D029C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47" w:type="dxa"/>
                  <w:vMerge w:val="continue"/>
                  <w:tcBorders>
                    <w:tl2br w:val="nil"/>
                    <w:tr2bl w:val="nil"/>
                  </w:tcBorders>
                  <w:vAlign w:val="center"/>
                </w:tcPr>
                <w:p w14:paraId="6DBD0219">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553" w:type="dxa"/>
                  <w:tcBorders>
                    <w:tl2br w:val="nil"/>
                    <w:tr2bl w:val="nil"/>
                  </w:tcBorders>
                  <w:vAlign w:val="center"/>
                </w:tcPr>
                <w:p w14:paraId="1CC07587">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初期雨水</w:t>
                  </w:r>
                </w:p>
              </w:tc>
              <w:tc>
                <w:tcPr>
                  <w:tcW w:w="3696" w:type="dxa"/>
                  <w:tcBorders>
                    <w:tl2br w:val="nil"/>
                    <w:tr2bl w:val="nil"/>
                  </w:tcBorders>
                  <w:vAlign w:val="center"/>
                </w:tcPr>
                <w:p w14:paraId="41302CAF">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yellow"/>
                      <w:u w:val="none"/>
                      <w:lang w:val="en-US" w:eastAsia="zh-CN"/>
                    </w:rPr>
                  </w:pPr>
                  <w:r>
                    <w:rPr>
                      <w:rFonts w:hint="default" w:ascii="Times New Roman" w:hAnsi="Times New Roman" w:cs="Times New Roman"/>
                      <w:color w:val="auto"/>
                      <w:sz w:val="21"/>
                      <w:szCs w:val="21"/>
                      <w:highlight w:val="none"/>
                      <w:u w:val="none"/>
                      <w:lang w:val="en-US" w:eastAsia="zh-CN"/>
                    </w:rPr>
                    <w:t>储煤仓库1西侧设置1座初期雨水收集池，有效容积</w:t>
                  </w:r>
                  <w:r>
                    <w:rPr>
                      <w:rFonts w:hint="eastAsia" w:cs="Times New Roman"/>
                      <w:color w:val="auto"/>
                      <w:sz w:val="21"/>
                      <w:highlight w:val="none"/>
                      <w:u w:val="none"/>
                      <w:lang w:val="en-US" w:eastAsia="zh-CN"/>
                    </w:rPr>
                    <w:t>310</w:t>
                  </w:r>
                  <w:r>
                    <w:rPr>
                      <w:rFonts w:hint="default" w:ascii="Times New Roman" w:hAnsi="Times New Roman" w:cs="Times New Roman"/>
                      <w:color w:val="auto"/>
                      <w:sz w:val="21"/>
                      <w:szCs w:val="21"/>
                      <w:highlight w:val="none"/>
                      <w:u w:val="none"/>
                      <w:lang w:val="en-US" w:eastAsia="zh-CN"/>
                    </w:rPr>
                    <w:t>m</w:t>
                  </w:r>
                  <w:r>
                    <w:rPr>
                      <w:rFonts w:hint="default" w:ascii="Times New Roman" w:hAnsi="Times New Roman" w:cs="Times New Roman"/>
                      <w:color w:val="auto"/>
                      <w:sz w:val="21"/>
                      <w:szCs w:val="21"/>
                      <w:highlight w:val="none"/>
                      <w:u w:val="none"/>
                      <w:vertAlign w:val="superscript"/>
                      <w:lang w:val="en-US" w:eastAsia="zh-CN"/>
                    </w:rPr>
                    <w:t>3</w:t>
                  </w:r>
                  <w:r>
                    <w:rPr>
                      <w:rFonts w:hint="default" w:ascii="Times New Roman" w:hAnsi="Times New Roman" w:cs="Times New Roman"/>
                      <w:color w:val="auto"/>
                      <w:sz w:val="21"/>
                      <w:szCs w:val="21"/>
                      <w:highlight w:val="none"/>
                      <w:u w:val="none"/>
                      <w:lang w:val="en-US" w:eastAsia="zh-CN"/>
                    </w:rPr>
                    <w:t>。</w:t>
                  </w:r>
                </w:p>
              </w:tc>
              <w:tc>
                <w:tcPr>
                  <w:tcW w:w="649" w:type="dxa"/>
                  <w:tcBorders>
                    <w:tl2br w:val="nil"/>
                    <w:tr2bl w:val="nil"/>
                  </w:tcBorders>
                  <w:vAlign w:val="center"/>
                </w:tcPr>
                <w:p w14:paraId="2847ED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14:paraId="46426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5" w:type="dxa"/>
                  <w:vMerge w:val="continue"/>
                  <w:tcBorders>
                    <w:tl2br w:val="nil"/>
                    <w:tr2bl w:val="nil"/>
                  </w:tcBorders>
                  <w:vAlign w:val="center"/>
                </w:tcPr>
                <w:p w14:paraId="3B23D7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47" w:type="dxa"/>
                  <w:tcBorders>
                    <w:tl2br w:val="nil"/>
                    <w:tr2bl w:val="nil"/>
                  </w:tcBorders>
                  <w:vAlign w:val="center"/>
                </w:tcPr>
                <w:p w14:paraId="304F25EA">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553" w:type="dxa"/>
                  <w:tcBorders>
                    <w:tl2br w:val="nil"/>
                    <w:tr2bl w:val="nil"/>
                  </w:tcBorders>
                  <w:vAlign w:val="center"/>
                </w:tcPr>
                <w:p w14:paraId="2E523B47">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减震、隔声</w:t>
                  </w:r>
                </w:p>
              </w:tc>
              <w:tc>
                <w:tcPr>
                  <w:tcW w:w="3696" w:type="dxa"/>
                  <w:tcBorders>
                    <w:tl2br w:val="nil"/>
                    <w:tr2bl w:val="nil"/>
                  </w:tcBorders>
                  <w:vAlign w:val="center"/>
                </w:tcPr>
                <w:p w14:paraId="7C6E42BD">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装载机及运输车辆</w:t>
                  </w:r>
                  <w:r>
                    <w:rPr>
                      <w:rFonts w:hint="default" w:ascii="Times New Roman" w:hAnsi="Times New Roman" w:eastAsia="宋体" w:cs="Times New Roman"/>
                      <w:color w:val="auto"/>
                      <w:sz w:val="21"/>
                      <w:szCs w:val="21"/>
                      <w:highlight w:val="none"/>
                      <w:lang w:val="en-US" w:eastAsia="zh-CN"/>
                    </w:rPr>
                    <w:t>采用低噪声设备。</w:t>
                  </w:r>
                </w:p>
              </w:tc>
              <w:tc>
                <w:tcPr>
                  <w:tcW w:w="649" w:type="dxa"/>
                  <w:tcBorders>
                    <w:tl2br w:val="nil"/>
                    <w:tr2bl w:val="nil"/>
                  </w:tcBorders>
                  <w:vAlign w:val="center"/>
                </w:tcPr>
                <w:p w14:paraId="2A5587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新建</w:t>
                  </w:r>
                </w:p>
              </w:tc>
            </w:tr>
            <w:tr w14:paraId="10C5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725" w:type="dxa"/>
                  <w:vMerge w:val="continue"/>
                  <w:tcBorders>
                    <w:tl2br w:val="nil"/>
                    <w:tr2bl w:val="nil"/>
                  </w:tcBorders>
                  <w:vAlign w:val="center"/>
                </w:tcPr>
                <w:p w14:paraId="1772AB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47" w:type="dxa"/>
                  <w:vMerge w:val="restart"/>
                  <w:tcBorders>
                    <w:tl2br w:val="nil"/>
                    <w:tr2bl w:val="nil"/>
                  </w:tcBorders>
                  <w:vAlign w:val="center"/>
                </w:tcPr>
                <w:p w14:paraId="0821C524">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固废处理设施</w:t>
                  </w:r>
                </w:p>
              </w:tc>
              <w:tc>
                <w:tcPr>
                  <w:tcW w:w="1553" w:type="dxa"/>
                  <w:vMerge w:val="restart"/>
                  <w:tcBorders>
                    <w:tl2br w:val="nil"/>
                    <w:tr2bl w:val="nil"/>
                  </w:tcBorders>
                  <w:vAlign w:val="center"/>
                </w:tcPr>
                <w:p w14:paraId="1EAFD961">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一般固废</w:t>
                  </w:r>
                </w:p>
              </w:tc>
              <w:tc>
                <w:tcPr>
                  <w:tcW w:w="3696" w:type="dxa"/>
                  <w:tcBorders>
                    <w:tl2br w:val="nil"/>
                    <w:tr2bl w:val="nil"/>
                  </w:tcBorders>
                  <w:vAlign w:val="center"/>
                </w:tcPr>
                <w:p w14:paraId="145E44BA">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生活垃圾：设3个带盖生活垃圾通收集；委托环卫部门统一清运。</w:t>
                  </w:r>
                </w:p>
              </w:tc>
              <w:tc>
                <w:tcPr>
                  <w:tcW w:w="649" w:type="dxa"/>
                  <w:tcBorders>
                    <w:tl2br w:val="nil"/>
                    <w:tr2bl w:val="nil"/>
                  </w:tcBorders>
                  <w:vAlign w:val="center"/>
                </w:tcPr>
                <w:p w14:paraId="44699740">
                  <w:pPr>
                    <w:pStyle w:val="17"/>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14:paraId="68AED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725" w:type="dxa"/>
                  <w:vMerge w:val="continue"/>
                  <w:tcBorders>
                    <w:tl2br w:val="nil"/>
                    <w:tr2bl w:val="nil"/>
                  </w:tcBorders>
                  <w:vAlign w:val="center"/>
                </w:tcPr>
                <w:p w14:paraId="64383D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47" w:type="dxa"/>
                  <w:vMerge w:val="continue"/>
                  <w:tcBorders>
                    <w:tl2br w:val="nil"/>
                    <w:tr2bl w:val="nil"/>
                  </w:tcBorders>
                  <w:vAlign w:val="center"/>
                </w:tcPr>
                <w:p w14:paraId="03BBF4C4">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553" w:type="dxa"/>
                  <w:vMerge w:val="continue"/>
                  <w:tcBorders>
                    <w:tl2br w:val="nil"/>
                    <w:tr2bl w:val="nil"/>
                  </w:tcBorders>
                  <w:vAlign w:val="center"/>
                </w:tcPr>
                <w:p w14:paraId="44DE624D">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3696" w:type="dxa"/>
                  <w:tcBorders>
                    <w:tl2br w:val="nil"/>
                    <w:tr2bl w:val="nil"/>
                  </w:tcBorders>
                  <w:vAlign w:val="center"/>
                </w:tcPr>
                <w:p w14:paraId="07ACE7EB">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沉淀池沉渣</w:t>
                  </w:r>
                  <w:r>
                    <w:rPr>
                      <w:rFonts w:hint="default" w:ascii="Times New Roman" w:hAnsi="Times New Roman" w:cs="Times New Roman"/>
                      <w:color w:val="auto"/>
                      <w:sz w:val="21"/>
                      <w:szCs w:val="21"/>
                      <w:highlight w:val="none"/>
                      <w:u w:val="none"/>
                      <w:lang w:val="en-US" w:eastAsia="zh-CN"/>
                    </w:rPr>
                    <w:t>：</w:t>
                  </w:r>
                  <w:r>
                    <w:rPr>
                      <w:rFonts w:hint="default" w:ascii="Times New Roman" w:hAnsi="Times New Roman" w:cs="Times New Roman"/>
                      <w:color w:val="auto"/>
                      <w:kern w:val="2"/>
                      <w:sz w:val="21"/>
                      <w:szCs w:val="21"/>
                      <w:highlight w:val="none"/>
                      <w:lang w:val="en-US" w:eastAsia="zh-CN"/>
                    </w:rPr>
                    <w:t>定期清掏并运送至附近的一般工业固废消纳场进行处置。</w:t>
                  </w:r>
                </w:p>
              </w:tc>
              <w:tc>
                <w:tcPr>
                  <w:tcW w:w="649" w:type="dxa"/>
                  <w:tcBorders>
                    <w:tl2br w:val="nil"/>
                    <w:tr2bl w:val="nil"/>
                  </w:tcBorders>
                  <w:vAlign w:val="center"/>
                </w:tcPr>
                <w:p w14:paraId="2AD5D7F7">
                  <w:pPr>
                    <w:pStyle w:val="17"/>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14:paraId="42A04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725" w:type="dxa"/>
                  <w:vMerge w:val="continue"/>
                  <w:tcBorders>
                    <w:tl2br w:val="nil"/>
                    <w:tr2bl w:val="nil"/>
                  </w:tcBorders>
                  <w:vAlign w:val="center"/>
                </w:tcPr>
                <w:p w14:paraId="0E5AC4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47" w:type="dxa"/>
                  <w:vMerge w:val="continue"/>
                  <w:tcBorders>
                    <w:tl2br w:val="nil"/>
                    <w:tr2bl w:val="nil"/>
                  </w:tcBorders>
                  <w:vAlign w:val="center"/>
                </w:tcPr>
                <w:p w14:paraId="2F0B3E9B">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553" w:type="dxa"/>
                  <w:vMerge w:val="continue"/>
                  <w:tcBorders>
                    <w:tl2br w:val="nil"/>
                    <w:tr2bl w:val="nil"/>
                  </w:tcBorders>
                  <w:vAlign w:val="center"/>
                </w:tcPr>
                <w:p w14:paraId="7E5E2403">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3696" w:type="dxa"/>
                  <w:tcBorders>
                    <w:tl2br w:val="nil"/>
                    <w:tr2bl w:val="nil"/>
                  </w:tcBorders>
                  <w:vAlign w:val="center"/>
                </w:tcPr>
                <w:p w14:paraId="57AB8EE0">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化粪池污泥：委托环卫部门定期清掏处置</w:t>
                  </w:r>
                  <w:r>
                    <w:rPr>
                      <w:rFonts w:hint="default" w:ascii="Times New Roman" w:hAnsi="Times New Roman" w:eastAsia="宋体" w:cs="Times New Roman"/>
                      <w:color w:val="auto"/>
                      <w:sz w:val="21"/>
                      <w:szCs w:val="21"/>
                      <w:highlight w:val="none"/>
                      <w:u w:val="none"/>
                      <w:lang w:val="en-US" w:eastAsia="zh-CN"/>
                    </w:rPr>
                    <w:t>。</w:t>
                  </w:r>
                </w:p>
              </w:tc>
              <w:tc>
                <w:tcPr>
                  <w:tcW w:w="649" w:type="dxa"/>
                  <w:tcBorders>
                    <w:tl2br w:val="nil"/>
                    <w:tr2bl w:val="nil"/>
                  </w:tcBorders>
                  <w:vAlign w:val="center"/>
                </w:tcPr>
                <w:p w14:paraId="0033E322">
                  <w:pPr>
                    <w:pStyle w:val="17"/>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14:paraId="4E51E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725" w:type="dxa"/>
                  <w:vMerge w:val="continue"/>
                  <w:tcBorders>
                    <w:tl2br w:val="nil"/>
                    <w:tr2bl w:val="nil"/>
                  </w:tcBorders>
                  <w:vAlign w:val="center"/>
                </w:tcPr>
                <w:p w14:paraId="68077B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47" w:type="dxa"/>
                  <w:vMerge w:val="continue"/>
                  <w:tcBorders>
                    <w:tl2br w:val="nil"/>
                    <w:tr2bl w:val="nil"/>
                  </w:tcBorders>
                  <w:vAlign w:val="center"/>
                </w:tcPr>
                <w:p w14:paraId="2C32FD39">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553" w:type="dxa"/>
                  <w:tcBorders>
                    <w:tl2br w:val="nil"/>
                    <w:tr2bl w:val="nil"/>
                  </w:tcBorders>
                  <w:vAlign w:val="center"/>
                </w:tcPr>
                <w:p w14:paraId="1315032D">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危险废物</w:t>
                  </w:r>
                </w:p>
              </w:tc>
              <w:tc>
                <w:tcPr>
                  <w:tcW w:w="3696" w:type="dxa"/>
                  <w:tcBorders>
                    <w:tl2br w:val="nil"/>
                    <w:tr2bl w:val="nil"/>
                  </w:tcBorders>
                  <w:vAlign w:val="center"/>
                </w:tcPr>
                <w:p w14:paraId="6BEA5D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subscript"/>
                      <w:lang w:val="en-US" w:eastAsia="zh-CN"/>
                    </w:rPr>
                  </w:pPr>
                  <w:r>
                    <w:rPr>
                      <w:rFonts w:hint="default" w:ascii="Times New Roman" w:hAnsi="Times New Roman" w:cs="Times New Roman"/>
                      <w:color w:val="auto"/>
                      <w:sz w:val="21"/>
                      <w:szCs w:val="21"/>
                      <w:highlight w:val="none"/>
                      <w:u w:val="none"/>
                      <w:vertAlign w:val="baseline"/>
                      <w:lang w:val="en-US" w:eastAsia="zh-CN"/>
                    </w:rPr>
                    <w:t>在生活区西侧设置1间危废暂存间，占地面积5</w:t>
                  </w:r>
                  <w:r>
                    <w:rPr>
                      <w:rFonts w:hint="default" w:ascii="Times New Roman" w:hAnsi="Times New Roman" w:cs="Times New Roman"/>
                      <w:color w:val="auto"/>
                      <w:kern w:val="2"/>
                      <w:sz w:val="21"/>
                      <w:szCs w:val="21"/>
                    </w:rPr>
                    <w:t>m</w:t>
                  </w:r>
                  <w:r>
                    <w:rPr>
                      <w:rFonts w:hint="default" w:ascii="Times New Roman" w:hAnsi="Times New Roman" w:cs="Times New Roman"/>
                      <w:color w:val="auto"/>
                      <w:kern w:val="2"/>
                      <w:sz w:val="21"/>
                      <w:szCs w:val="21"/>
                      <w:vertAlign w:val="superscript"/>
                      <w:lang w:val="en-US" w:eastAsia="zh-CN"/>
                    </w:rPr>
                    <w:t>2</w:t>
                  </w:r>
                  <w:r>
                    <w:rPr>
                      <w:rFonts w:hint="default" w:ascii="Times New Roman" w:hAnsi="Times New Roman" w:cs="Times New Roman"/>
                      <w:color w:val="auto"/>
                      <w:sz w:val="21"/>
                      <w:szCs w:val="21"/>
                      <w:highlight w:val="none"/>
                      <w:u w:val="none"/>
                      <w:vertAlign w:val="baseline"/>
                      <w:lang w:val="en-US" w:eastAsia="zh-CN"/>
                    </w:rPr>
                    <w:t>。</w:t>
                  </w:r>
                  <w:r>
                    <w:rPr>
                      <w:rFonts w:hint="default" w:ascii="Times New Roman" w:hAnsi="Times New Roman" w:eastAsia="宋体" w:cs="Times New Roman"/>
                      <w:color w:val="auto"/>
                      <w:kern w:val="2"/>
                      <w:sz w:val="21"/>
                      <w:szCs w:val="21"/>
                    </w:rPr>
                    <w:t>严格按照《危险废物贮存污染控制标准》（GB18597-2023）的相关要求进行建设；危险废物暂存间内设若干危险废物专用收集容器。</w:t>
                  </w:r>
                </w:p>
              </w:tc>
              <w:tc>
                <w:tcPr>
                  <w:tcW w:w="649" w:type="dxa"/>
                  <w:tcBorders>
                    <w:tl2br w:val="nil"/>
                    <w:tr2bl w:val="nil"/>
                  </w:tcBorders>
                  <w:vAlign w:val="center"/>
                </w:tcPr>
                <w:p w14:paraId="01DD9E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bl>
          <w:p w14:paraId="3F3C6443">
            <w:pPr>
              <w:numPr>
                <w:ilvl w:val="0"/>
                <w:numId w:val="0"/>
              </w:numPr>
              <w:bidi w:val="0"/>
              <w:ind w:firstLine="482" w:firstLineChars="200"/>
              <w:rPr>
                <w:rFonts w:hint="default" w:ascii="Times New Roman" w:hAnsi="Times New Roman" w:cs="Times New Roman"/>
                <w:b/>
                <w:bCs/>
                <w:sz w:val="24"/>
                <w:lang w:val="en-US" w:eastAsia="zh-CN"/>
              </w:rPr>
            </w:pPr>
            <w:r>
              <w:rPr>
                <w:rFonts w:hint="default" w:ascii="Times New Roman" w:hAnsi="Times New Roman" w:cs="Times New Roman"/>
                <w:b/>
                <w:bCs/>
                <w:kern w:val="2"/>
                <w:sz w:val="24"/>
                <w:szCs w:val="24"/>
                <w:lang w:val="en-US" w:eastAsia="zh-CN" w:bidi="ar-SA"/>
              </w:rPr>
              <w:t>4</w:t>
            </w:r>
            <w:r>
              <w:rPr>
                <w:rFonts w:hint="default" w:ascii="Times New Roman" w:hAnsi="Times New Roman" w:eastAsia="宋体" w:cs="Times New Roman"/>
                <w:b/>
                <w:bCs/>
                <w:kern w:val="2"/>
                <w:sz w:val="24"/>
                <w:szCs w:val="24"/>
                <w:lang w:val="en-US" w:eastAsia="zh-CN" w:bidi="ar-SA"/>
              </w:rPr>
              <w:t>、</w:t>
            </w:r>
            <w:r>
              <w:rPr>
                <w:rFonts w:hint="default" w:ascii="Times New Roman" w:hAnsi="Times New Roman" w:cs="Times New Roman"/>
                <w:b/>
                <w:bCs/>
                <w:sz w:val="24"/>
                <w:lang w:val="en-US" w:eastAsia="zh-CN"/>
              </w:rPr>
              <w:t>主要产品</w:t>
            </w:r>
            <w:r>
              <w:rPr>
                <w:rFonts w:hint="eastAsia" w:ascii="Times New Roman" w:hAnsi="Times New Roman" w:cs="Times New Roman"/>
                <w:b/>
                <w:bCs/>
                <w:sz w:val="24"/>
                <w:lang w:val="en-US" w:eastAsia="zh-CN"/>
              </w:rPr>
              <w:t>及中转</w:t>
            </w:r>
            <w:r>
              <w:rPr>
                <w:rFonts w:hint="default" w:ascii="Times New Roman" w:hAnsi="Times New Roman" w:cs="Times New Roman"/>
                <w:b/>
                <w:bCs/>
                <w:sz w:val="24"/>
                <w:lang w:val="en-US" w:eastAsia="zh-CN"/>
              </w:rPr>
              <w:t>方案</w:t>
            </w:r>
          </w:p>
          <w:p w14:paraId="37243CBC">
            <w:pPr>
              <w:widowControl/>
              <w:spacing w:line="360" w:lineRule="auto"/>
              <w:ind w:firstLine="480" w:firstLineChars="200"/>
              <w:rPr>
                <w:rFonts w:hint="default" w:ascii="Times New Roman" w:hAnsi="Times New Roman" w:eastAsia="宋体" w:cs="Times New Roman"/>
                <w:bCs/>
                <w:color w:val="auto"/>
                <w:sz w:val="24"/>
                <w:u w:val="none"/>
              </w:rPr>
            </w:pPr>
            <w:r>
              <w:rPr>
                <w:rFonts w:hint="default" w:ascii="Times New Roman" w:hAnsi="Times New Roman" w:eastAsia="宋体" w:cs="Times New Roman"/>
                <w:bCs/>
                <w:color w:val="auto"/>
                <w:sz w:val="24"/>
                <w:u w:val="none"/>
                <w:lang w:val="en-US" w:eastAsia="zh-CN"/>
              </w:rPr>
              <w:t>本项目</w:t>
            </w:r>
            <w:r>
              <w:rPr>
                <w:rFonts w:hint="default" w:ascii="Times New Roman" w:hAnsi="Times New Roman" w:eastAsia="宋体" w:cs="Times New Roman"/>
                <w:bCs/>
                <w:color w:val="auto"/>
                <w:sz w:val="24"/>
                <w:u w:val="none"/>
              </w:rPr>
              <w:t>主要产品内容见下表2-</w:t>
            </w:r>
            <w:r>
              <w:rPr>
                <w:rFonts w:hint="default" w:ascii="Times New Roman" w:hAnsi="Times New Roman" w:eastAsia="宋体" w:cs="Times New Roman"/>
                <w:bCs/>
                <w:color w:val="auto"/>
                <w:sz w:val="24"/>
                <w:u w:val="none"/>
                <w:lang w:val="en-US" w:eastAsia="zh-CN"/>
              </w:rPr>
              <w:t>2</w:t>
            </w:r>
            <w:r>
              <w:rPr>
                <w:rFonts w:hint="default" w:ascii="Times New Roman" w:hAnsi="Times New Roman" w:eastAsia="宋体" w:cs="Times New Roman"/>
                <w:bCs/>
                <w:color w:val="auto"/>
                <w:sz w:val="24"/>
                <w:u w:val="none"/>
              </w:rPr>
              <w:t>。</w:t>
            </w:r>
          </w:p>
          <w:p w14:paraId="07D0ED8F">
            <w:pPr>
              <w:widowControl/>
              <w:spacing w:line="360" w:lineRule="auto"/>
              <w:ind w:firstLine="482" w:firstLineChars="200"/>
              <w:jc w:val="center"/>
              <w:rPr>
                <w:rFonts w:hint="default" w:ascii="Times New Roman" w:hAnsi="Times New Roman" w:eastAsia="宋体" w:cs="Times New Roman"/>
                <w:b/>
                <w:bCs w:val="0"/>
                <w:color w:val="auto"/>
                <w:sz w:val="24"/>
                <w:u w:val="none"/>
              </w:rPr>
            </w:pPr>
            <w:r>
              <w:rPr>
                <w:rFonts w:hint="default" w:ascii="Times New Roman" w:hAnsi="Times New Roman" w:eastAsia="宋体" w:cs="Times New Roman"/>
                <w:b/>
                <w:bCs w:val="0"/>
                <w:color w:val="auto"/>
                <w:sz w:val="24"/>
                <w:u w:val="none"/>
              </w:rPr>
              <w:t>表2-</w:t>
            </w:r>
            <w:r>
              <w:rPr>
                <w:rFonts w:hint="default" w:ascii="Times New Roman" w:hAnsi="Times New Roman" w:eastAsia="宋体" w:cs="Times New Roman"/>
                <w:b/>
                <w:bCs w:val="0"/>
                <w:color w:val="auto"/>
                <w:sz w:val="24"/>
                <w:u w:val="none"/>
                <w:lang w:val="en-US" w:eastAsia="zh-CN"/>
              </w:rPr>
              <w:t>2</w:t>
            </w:r>
            <w:r>
              <w:rPr>
                <w:rFonts w:hint="default" w:ascii="Times New Roman" w:hAnsi="Times New Roman" w:eastAsia="宋体" w:cs="Times New Roman"/>
                <w:b/>
                <w:bCs w:val="0"/>
                <w:color w:val="auto"/>
                <w:sz w:val="24"/>
                <w:u w:val="none"/>
              </w:rPr>
              <w:t xml:space="preserve">  项目产品</w:t>
            </w:r>
            <w:r>
              <w:rPr>
                <w:rFonts w:hint="eastAsia" w:ascii="Times New Roman" w:hAnsi="Times New Roman" w:eastAsia="宋体" w:cs="Times New Roman"/>
                <w:b/>
                <w:bCs w:val="0"/>
                <w:color w:val="auto"/>
                <w:sz w:val="24"/>
                <w:u w:val="none"/>
                <w:lang w:val="en-US" w:eastAsia="zh-CN"/>
              </w:rPr>
              <w:t>及中转</w:t>
            </w:r>
            <w:r>
              <w:rPr>
                <w:rFonts w:hint="default" w:ascii="Times New Roman" w:hAnsi="Times New Roman" w:eastAsia="宋体" w:cs="Times New Roman"/>
                <w:b/>
                <w:bCs w:val="0"/>
                <w:color w:val="auto"/>
                <w:sz w:val="24"/>
                <w:u w:val="none"/>
              </w:rPr>
              <w:t>方案一览表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1914"/>
              <w:gridCol w:w="2356"/>
              <w:gridCol w:w="1198"/>
              <w:gridCol w:w="1500"/>
            </w:tblGrid>
            <w:tr w14:paraId="4EFE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333" w:type="pct"/>
                  <w:tcBorders>
                    <w:tl2br w:val="nil"/>
                    <w:tr2bl w:val="nil"/>
                  </w:tcBorders>
                  <w:vAlign w:val="center"/>
                </w:tcPr>
                <w:p w14:paraId="0EA1AB49">
                  <w:pPr>
                    <w:pStyle w:val="33"/>
                    <w:keepNext w:val="0"/>
                    <w:keepLines w:val="0"/>
                    <w:pageBreakBefore w:val="0"/>
                    <w:widowControl w:val="0"/>
                    <w:kinsoku/>
                    <w:wordWrap w:val="0"/>
                    <w:overflowPunct/>
                    <w:topLinePunct w:val="0"/>
                    <w:autoSpaceDE/>
                    <w:autoSpaceDN/>
                    <w:bidi w:val="0"/>
                    <w:ind w:firstLine="0" w:firstLineChars="0"/>
                    <w:jc w:val="center"/>
                    <w:textAlignment w:val="auto"/>
                    <w:outlineLvl w:val="9"/>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名称</w:t>
                  </w:r>
                </w:p>
              </w:tc>
              <w:tc>
                <w:tcPr>
                  <w:tcW w:w="1281" w:type="pct"/>
                  <w:tcBorders>
                    <w:tl2br w:val="nil"/>
                    <w:tr2bl w:val="nil"/>
                  </w:tcBorders>
                  <w:vAlign w:val="center"/>
                </w:tcPr>
                <w:p w14:paraId="1FE57B84">
                  <w:pPr>
                    <w:pStyle w:val="33"/>
                    <w:keepNext w:val="0"/>
                    <w:keepLines w:val="0"/>
                    <w:pageBreakBefore w:val="0"/>
                    <w:widowControl w:val="0"/>
                    <w:kinsoku/>
                    <w:wordWrap w:val="0"/>
                    <w:overflowPunct/>
                    <w:topLinePunct w:val="0"/>
                    <w:autoSpaceDE/>
                    <w:autoSpaceDN/>
                    <w:bidi w:val="0"/>
                    <w:ind w:firstLine="0" w:firstLineChars="0"/>
                    <w:jc w:val="center"/>
                    <w:textAlignment w:val="auto"/>
                    <w:outlineLvl w:val="9"/>
                    <w:rPr>
                      <w:rFonts w:hint="default" w:ascii="Times New Roman" w:hAnsi="Times New Roman" w:cs="Times New Roman"/>
                      <w:b/>
                      <w:bCs/>
                      <w:sz w:val="21"/>
                      <w:highlight w:val="none"/>
                      <w:lang w:val="en-US" w:eastAsia="zh-CN"/>
                    </w:rPr>
                  </w:pPr>
                  <w:r>
                    <w:rPr>
                      <w:rFonts w:hint="eastAsia" w:ascii="Times New Roman" w:hAnsi="Times New Roman" w:cs="Times New Roman"/>
                      <w:b/>
                      <w:bCs/>
                      <w:sz w:val="21"/>
                      <w:highlight w:val="none"/>
                      <w:lang w:val="en-US" w:eastAsia="zh-CN"/>
                    </w:rPr>
                    <w:t>来源</w:t>
                  </w:r>
                </w:p>
              </w:tc>
              <w:tc>
                <w:tcPr>
                  <w:tcW w:w="1577" w:type="pct"/>
                  <w:tcBorders>
                    <w:tl2br w:val="nil"/>
                    <w:tr2bl w:val="nil"/>
                  </w:tcBorders>
                  <w:vAlign w:val="center"/>
                </w:tcPr>
                <w:p w14:paraId="3839707C">
                  <w:pPr>
                    <w:pStyle w:val="33"/>
                    <w:keepNext w:val="0"/>
                    <w:keepLines w:val="0"/>
                    <w:pageBreakBefore w:val="0"/>
                    <w:widowControl w:val="0"/>
                    <w:kinsoku/>
                    <w:wordWrap w:val="0"/>
                    <w:overflowPunct/>
                    <w:topLinePunct w:val="0"/>
                    <w:autoSpaceDE/>
                    <w:autoSpaceDN/>
                    <w:bidi w:val="0"/>
                    <w:ind w:firstLine="0" w:firstLineChars="0"/>
                    <w:jc w:val="center"/>
                    <w:textAlignment w:val="auto"/>
                    <w:outlineLvl w:val="9"/>
                    <w:rPr>
                      <w:rFonts w:hint="default" w:ascii="Times New Roman" w:hAnsi="Times New Roman" w:cs="Times New Roman"/>
                      <w:b/>
                      <w:bCs/>
                      <w:color w:val="0000FF"/>
                      <w:sz w:val="21"/>
                      <w:highlight w:val="none"/>
                      <w:lang w:val="en-US" w:eastAsia="zh-CN"/>
                    </w:rPr>
                  </w:pPr>
                  <w:r>
                    <w:rPr>
                      <w:rFonts w:hint="eastAsia" w:cs="Times New Roman"/>
                      <w:b/>
                      <w:bCs/>
                      <w:color w:val="0000FF"/>
                      <w:sz w:val="21"/>
                      <w:highlight w:val="none"/>
                      <w:lang w:val="en-US" w:eastAsia="zh-CN"/>
                    </w:rPr>
                    <w:t>运输线路</w:t>
                  </w:r>
                </w:p>
              </w:tc>
              <w:tc>
                <w:tcPr>
                  <w:tcW w:w="802" w:type="pct"/>
                  <w:tcBorders>
                    <w:tl2br w:val="nil"/>
                    <w:tr2bl w:val="nil"/>
                  </w:tcBorders>
                  <w:vAlign w:val="center"/>
                </w:tcPr>
                <w:p w14:paraId="10639DE1">
                  <w:pPr>
                    <w:pStyle w:val="33"/>
                    <w:keepNext w:val="0"/>
                    <w:keepLines w:val="0"/>
                    <w:pageBreakBefore w:val="0"/>
                    <w:widowControl w:val="0"/>
                    <w:kinsoku/>
                    <w:wordWrap w:val="0"/>
                    <w:overflowPunct/>
                    <w:topLinePunct w:val="0"/>
                    <w:autoSpaceDE/>
                    <w:autoSpaceDN/>
                    <w:bidi w:val="0"/>
                    <w:ind w:firstLine="0" w:firstLineChars="0"/>
                    <w:jc w:val="center"/>
                    <w:textAlignment w:val="auto"/>
                    <w:outlineLvl w:val="9"/>
                    <w:rPr>
                      <w:rFonts w:hint="default" w:ascii="Times New Roman" w:hAnsi="Times New Roman" w:cs="Times New Roman"/>
                      <w:b/>
                      <w:bCs/>
                      <w:sz w:val="21"/>
                      <w:highlight w:val="none"/>
                      <w:lang w:val="en-US" w:eastAsia="zh-CN"/>
                    </w:rPr>
                  </w:pPr>
                  <w:r>
                    <w:rPr>
                      <w:rFonts w:hint="eastAsia" w:ascii="Times New Roman" w:hAnsi="Times New Roman" w:cs="Times New Roman"/>
                      <w:b/>
                      <w:bCs/>
                      <w:sz w:val="21"/>
                      <w:highlight w:val="none"/>
                      <w:lang w:val="en-US" w:eastAsia="zh-CN"/>
                    </w:rPr>
                    <w:t>年最大转运量</w:t>
                  </w:r>
                </w:p>
              </w:tc>
              <w:tc>
                <w:tcPr>
                  <w:tcW w:w="1004" w:type="pct"/>
                  <w:tcBorders>
                    <w:tl2br w:val="nil"/>
                    <w:tr2bl w:val="nil"/>
                  </w:tcBorders>
                  <w:vAlign w:val="center"/>
                </w:tcPr>
                <w:p w14:paraId="056074B7">
                  <w:pPr>
                    <w:pStyle w:val="33"/>
                    <w:keepNext w:val="0"/>
                    <w:keepLines w:val="0"/>
                    <w:pageBreakBefore w:val="0"/>
                    <w:widowControl w:val="0"/>
                    <w:kinsoku/>
                    <w:wordWrap w:val="0"/>
                    <w:overflowPunct/>
                    <w:topLinePunct w:val="0"/>
                    <w:autoSpaceDE/>
                    <w:autoSpaceDN/>
                    <w:bidi w:val="0"/>
                    <w:ind w:firstLine="0" w:firstLineChars="0"/>
                    <w:jc w:val="center"/>
                    <w:textAlignment w:val="auto"/>
                    <w:outlineLvl w:val="9"/>
                    <w:rPr>
                      <w:rFonts w:hint="default" w:ascii="Times New Roman" w:hAnsi="Times New Roman" w:cs="Times New Roman"/>
                      <w:b/>
                      <w:bCs/>
                      <w:sz w:val="21"/>
                      <w:highlight w:val="none"/>
                      <w:lang w:val="en-US" w:eastAsia="zh-CN"/>
                    </w:rPr>
                  </w:pPr>
                  <w:r>
                    <w:rPr>
                      <w:rFonts w:hint="eastAsia" w:ascii="Times New Roman" w:hAnsi="Times New Roman" w:cs="Times New Roman"/>
                      <w:b/>
                      <w:bCs/>
                      <w:sz w:val="21"/>
                      <w:highlight w:val="none"/>
                      <w:lang w:val="en-US" w:eastAsia="zh-CN"/>
                    </w:rPr>
                    <w:t>最终去向</w:t>
                  </w:r>
                </w:p>
              </w:tc>
            </w:tr>
            <w:tr w14:paraId="36C3B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vMerge w:val="restart"/>
                  <w:tcBorders>
                    <w:tl2br w:val="nil"/>
                    <w:tr2bl w:val="nil"/>
                  </w:tcBorders>
                  <w:vAlign w:val="center"/>
                </w:tcPr>
                <w:p w14:paraId="30E965E5">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lang w:val="en-US" w:eastAsia="zh-CN"/>
                    </w:rPr>
                  </w:pPr>
                  <w:r>
                    <w:rPr>
                      <w:rFonts w:hint="default" w:ascii="Times New Roman" w:hAnsi="Times New Roman" w:cs="Times New Roman"/>
                      <w:b w:val="0"/>
                      <w:bCs w:val="0"/>
                      <w:kern w:val="2"/>
                      <w:sz w:val="21"/>
                      <w:szCs w:val="21"/>
                      <w:vertAlign w:val="baseline"/>
                      <w:lang w:val="en-US" w:eastAsia="zh-CN" w:bidi="ar-SA"/>
                    </w:rPr>
                    <w:t>煤炭储运</w:t>
                  </w:r>
                </w:p>
              </w:tc>
              <w:tc>
                <w:tcPr>
                  <w:tcW w:w="1281" w:type="pct"/>
                  <w:tcBorders>
                    <w:tl2br w:val="nil"/>
                    <w:tr2bl w:val="nil"/>
                  </w:tcBorders>
                  <w:vAlign w:val="center"/>
                </w:tcPr>
                <w:p w14:paraId="7EB5E547">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cs="Times New Roman"/>
                      <w:b w:val="0"/>
                      <w:bCs w:val="0"/>
                      <w:kern w:val="2"/>
                      <w:sz w:val="21"/>
                      <w:szCs w:val="21"/>
                      <w:highlight w:val="none"/>
                      <w:vertAlign w:val="baseline"/>
                      <w:lang w:val="en-US" w:eastAsia="zh-CN" w:bidi="ar-SA"/>
                    </w:rPr>
                    <w:t>寻甸县先锋镇姚家村煤矿有限公司5万t/a</w:t>
                  </w:r>
                </w:p>
              </w:tc>
              <w:tc>
                <w:tcPr>
                  <w:tcW w:w="1577" w:type="pct"/>
                  <w:tcBorders>
                    <w:tl2br w:val="nil"/>
                    <w:tr2bl w:val="nil"/>
                  </w:tcBorders>
                  <w:vAlign w:val="center"/>
                </w:tcPr>
                <w:p w14:paraId="2EBF4E2C">
                  <w:pPr>
                    <w:keepNext w:val="0"/>
                    <w:keepLines w:val="0"/>
                    <w:pageBreakBefore w:val="0"/>
                    <w:widowControl w:val="0"/>
                    <w:kinsoku/>
                    <w:wordWrap w:val="0"/>
                    <w:overflowPunct/>
                    <w:topLinePunct w:val="0"/>
                    <w:autoSpaceDE/>
                    <w:autoSpaceDN/>
                    <w:bidi w:val="0"/>
                    <w:spacing w:line="240" w:lineRule="auto"/>
                    <w:ind w:firstLine="0" w:firstLineChars="0"/>
                    <w:jc w:val="left"/>
                    <w:textAlignment w:val="auto"/>
                    <w:rPr>
                      <w:rFonts w:hint="default" w:ascii="Times New Roman" w:hAnsi="Times New Roman" w:cs="Times New Roman"/>
                      <w:b w:val="0"/>
                      <w:bCs w:val="0"/>
                      <w:color w:val="0000FF"/>
                      <w:kern w:val="2"/>
                      <w:sz w:val="21"/>
                      <w:szCs w:val="21"/>
                      <w:highlight w:val="none"/>
                      <w:vertAlign w:val="baseline"/>
                      <w:lang w:val="en-US" w:eastAsia="zh-CN" w:bidi="ar-SA"/>
                    </w:rPr>
                  </w:pPr>
                  <w:r>
                    <w:rPr>
                      <w:rFonts w:hint="eastAsia" w:cs="Times New Roman"/>
                      <w:b w:val="0"/>
                      <w:bCs w:val="0"/>
                      <w:color w:val="0000FF"/>
                      <w:kern w:val="2"/>
                      <w:sz w:val="21"/>
                      <w:szCs w:val="21"/>
                      <w:highlight w:val="none"/>
                      <w:vertAlign w:val="baseline"/>
                      <w:lang w:val="en-US" w:eastAsia="zh-CN" w:bidi="ar-SA"/>
                    </w:rPr>
                    <w:t>金柯线29.4km→三月三路1.6km</w:t>
                  </w:r>
                </w:p>
              </w:tc>
              <w:tc>
                <w:tcPr>
                  <w:tcW w:w="802" w:type="pct"/>
                  <w:vMerge w:val="restart"/>
                  <w:tcBorders>
                    <w:tl2br w:val="nil"/>
                    <w:tr2bl w:val="nil"/>
                  </w:tcBorders>
                  <w:vAlign w:val="center"/>
                </w:tcPr>
                <w:p w14:paraId="46834F52">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cs="Times New Roman"/>
                      <w:b w:val="0"/>
                      <w:bCs w:val="0"/>
                      <w:kern w:val="2"/>
                      <w:sz w:val="21"/>
                      <w:szCs w:val="21"/>
                      <w:highlight w:val="none"/>
                      <w:vertAlign w:val="baseline"/>
                      <w:lang w:val="en-US" w:eastAsia="zh-CN" w:bidi="ar-SA"/>
                    </w:rPr>
                    <w:t>10万t</w:t>
                  </w:r>
                </w:p>
              </w:tc>
              <w:tc>
                <w:tcPr>
                  <w:tcW w:w="1004" w:type="pct"/>
                  <w:vMerge w:val="restart"/>
                  <w:tcBorders>
                    <w:tl2br w:val="nil"/>
                    <w:tr2bl w:val="nil"/>
                  </w:tcBorders>
                  <w:vAlign w:val="center"/>
                </w:tcPr>
                <w:p w14:paraId="396D0A92">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default" w:ascii="Times New Roman" w:hAnsi="Times New Roman" w:cs="Times New Roman"/>
                      <w:b w:val="0"/>
                      <w:bCs w:val="0"/>
                      <w:kern w:val="2"/>
                      <w:sz w:val="21"/>
                      <w:szCs w:val="21"/>
                      <w:highlight w:val="none"/>
                      <w:vertAlign w:val="baseline"/>
                      <w:lang w:val="en-US" w:eastAsia="zh-CN" w:bidi="ar-SA"/>
                    </w:rPr>
                  </w:pPr>
                  <w:r>
                    <w:rPr>
                      <w:rFonts w:hint="eastAsia" w:ascii="Times New Roman" w:hAnsi="Times New Roman" w:cs="Times New Roman"/>
                      <w:b w:val="0"/>
                      <w:bCs w:val="0"/>
                      <w:kern w:val="2"/>
                      <w:sz w:val="21"/>
                      <w:szCs w:val="21"/>
                      <w:highlight w:val="none"/>
                      <w:vertAlign w:val="baseline"/>
                      <w:lang w:val="en-US" w:eastAsia="zh-CN" w:bidi="ar-SA"/>
                    </w:rPr>
                    <w:t>宣威电厂、白水电厂、昆明电厂</w:t>
                  </w:r>
                </w:p>
              </w:tc>
            </w:tr>
            <w:tr w14:paraId="21E9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vMerge w:val="continue"/>
                  <w:tcBorders>
                    <w:tl2br w:val="nil"/>
                    <w:tr2bl w:val="nil"/>
                  </w:tcBorders>
                  <w:vAlign w:val="center"/>
                </w:tcPr>
                <w:p w14:paraId="022A812D">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sz w:val="21"/>
                      <w:lang w:val="en-US" w:eastAsia="zh-CN"/>
                    </w:rPr>
                  </w:pPr>
                </w:p>
              </w:tc>
              <w:tc>
                <w:tcPr>
                  <w:tcW w:w="1281" w:type="pct"/>
                  <w:tcBorders>
                    <w:tl2br w:val="nil"/>
                    <w:tr2bl w:val="nil"/>
                  </w:tcBorders>
                  <w:vAlign w:val="center"/>
                </w:tcPr>
                <w:p w14:paraId="3C30F5A5">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cs="Times New Roman"/>
                      <w:b w:val="0"/>
                      <w:bCs w:val="0"/>
                      <w:kern w:val="2"/>
                      <w:sz w:val="21"/>
                      <w:szCs w:val="21"/>
                      <w:highlight w:val="none"/>
                      <w:vertAlign w:val="baseline"/>
                      <w:lang w:val="en-US" w:eastAsia="zh-CN" w:bidi="ar-SA"/>
                    </w:rPr>
                    <w:t>寻甸慧果能源开发有限公司5万t/a</w:t>
                  </w:r>
                </w:p>
              </w:tc>
              <w:tc>
                <w:tcPr>
                  <w:tcW w:w="1577" w:type="pct"/>
                  <w:tcBorders>
                    <w:tl2br w:val="nil"/>
                    <w:tr2bl w:val="nil"/>
                  </w:tcBorders>
                  <w:vAlign w:val="center"/>
                </w:tcPr>
                <w:p w14:paraId="28E09375">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cs="Times New Roman"/>
                      <w:b w:val="0"/>
                      <w:bCs w:val="0"/>
                      <w:color w:val="0000FF"/>
                      <w:kern w:val="2"/>
                      <w:sz w:val="21"/>
                      <w:szCs w:val="21"/>
                      <w:highlight w:val="none"/>
                      <w:vertAlign w:val="baseline"/>
                      <w:lang w:val="en-US" w:eastAsia="zh-CN" w:bidi="ar-SA"/>
                    </w:rPr>
                  </w:pPr>
                  <w:r>
                    <w:rPr>
                      <w:rFonts w:hint="eastAsia" w:cs="Times New Roman"/>
                      <w:b w:val="0"/>
                      <w:bCs w:val="0"/>
                      <w:color w:val="0000FF"/>
                      <w:kern w:val="2"/>
                      <w:sz w:val="21"/>
                      <w:szCs w:val="21"/>
                      <w:highlight w:val="none"/>
                      <w:vertAlign w:val="baseline"/>
                      <w:lang w:val="en-US" w:eastAsia="zh-CN" w:bidi="ar-SA"/>
                    </w:rPr>
                    <w:t>金海路380m→金柯线1.9km→三月三路1.6km</w:t>
                  </w:r>
                </w:p>
              </w:tc>
              <w:tc>
                <w:tcPr>
                  <w:tcW w:w="802" w:type="pct"/>
                  <w:vMerge w:val="continue"/>
                  <w:tcBorders>
                    <w:tl2br w:val="nil"/>
                    <w:tr2bl w:val="nil"/>
                  </w:tcBorders>
                  <w:vAlign w:val="center"/>
                </w:tcPr>
                <w:p w14:paraId="588910C5">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p>
              </w:tc>
              <w:tc>
                <w:tcPr>
                  <w:tcW w:w="1004" w:type="pct"/>
                  <w:vMerge w:val="continue"/>
                  <w:tcBorders>
                    <w:tl2br w:val="nil"/>
                    <w:tr2bl w:val="nil"/>
                  </w:tcBorders>
                  <w:vAlign w:val="center"/>
                </w:tcPr>
                <w:p w14:paraId="1FFB65F0">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p>
              </w:tc>
            </w:tr>
          </w:tbl>
          <w:p w14:paraId="66FC0CBB">
            <w:pPr>
              <w:widowControl/>
              <w:spacing w:line="360" w:lineRule="auto"/>
              <w:ind w:firstLine="482" w:firstLineChars="200"/>
              <w:rPr>
                <w:rFonts w:hint="default" w:ascii="Times New Roman" w:hAnsi="Times New Roman" w:eastAsia="宋体" w:cs="Times New Roman"/>
                <w:b/>
                <w:bCs w:val="0"/>
                <w:color w:val="auto"/>
                <w:sz w:val="24"/>
                <w:u w:val="none"/>
                <w:lang w:val="en-US" w:eastAsia="zh-CN"/>
              </w:rPr>
            </w:pPr>
            <w:r>
              <w:rPr>
                <w:rFonts w:hint="default" w:ascii="Times New Roman" w:hAnsi="Times New Roman" w:eastAsia="宋体" w:cs="Times New Roman"/>
                <w:b/>
                <w:bCs w:val="0"/>
                <w:color w:val="auto"/>
                <w:sz w:val="24"/>
                <w:u w:val="none"/>
                <w:lang w:val="en-US" w:eastAsia="zh-CN"/>
              </w:rPr>
              <w:t>5、主要原辅材料及能源消耗</w:t>
            </w:r>
          </w:p>
          <w:p w14:paraId="2397AEC2">
            <w:pPr>
              <w:widowControl/>
              <w:spacing w:line="360" w:lineRule="auto"/>
              <w:ind w:firstLine="480" w:firstLineChars="200"/>
              <w:rPr>
                <w:rFonts w:hint="default" w:ascii="Times New Roman" w:hAnsi="Times New Roman" w:eastAsia="宋体" w:cs="Times New Roman"/>
                <w:b/>
                <w:bCs w:val="0"/>
                <w:color w:val="auto"/>
                <w:sz w:val="24"/>
                <w:u w:val="none"/>
              </w:rPr>
            </w:pPr>
            <w:r>
              <w:rPr>
                <w:rFonts w:hint="default" w:ascii="Times New Roman" w:hAnsi="Times New Roman" w:eastAsia="宋体" w:cs="Times New Roman"/>
                <w:bCs/>
                <w:color w:val="auto"/>
                <w:sz w:val="24"/>
                <w:u w:val="none"/>
                <w:lang w:val="en-US" w:eastAsia="zh-CN"/>
              </w:rPr>
              <w:t>本项目</w:t>
            </w:r>
            <w:r>
              <w:rPr>
                <w:rFonts w:hint="default" w:ascii="Times New Roman" w:hAnsi="Times New Roman" w:eastAsia="宋体" w:cs="Times New Roman"/>
                <w:bCs/>
                <w:color w:val="auto"/>
                <w:sz w:val="24"/>
                <w:u w:val="none"/>
              </w:rPr>
              <w:t>主要产品内容见下表2-</w:t>
            </w:r>
            <w:r>
              <w:rPr>
                <w:rFonts w:hint="eastAsia" w:ascii="Times New Roman" w:hAnsi="Times New Roman" w:eastAsia="宋体" w:cs="Times New Roman"/>
                <w:bCs/>
                <w:color w:val="auto"/>
                <w:sz w:val="24"/>
                <w:u w:val="none"/>
                <w:lang w:val="en-US" w:eastAsia="zh-CN"/>
              </w:rPr>
              <w:t>3</w:t>
            </w:r>
            <w:r>
              <w:rPr>
                <w:rFonts w:hint="default" w:ascii="Times New Roman" w:hAnsi="Times New Roman" w:eastAsia="宋体" w:cs="Times New Roman"/>
                <w:bCs/>
                <w:color w:val="auto"/>
                <w:sz w:val="24"/>
                <w:u w:val="none"/>
              </w:rPr>
              <w:t>。</w:t>
            </w:r>
          </w:p>
          <w:p w14:paraId="54C82EA8">
            <w:pPr>
              <w:widowControl/>
              <w:spacing w:line="360" w:lineRule="auto"/>
              <w:ind w:firstLine="482" w:firstLineChars="200"/>
              <w:jc w:val="center"/>
              <w:rPr>
                <w:rFonts w:hint="default" w:ascii="Times New Roman" w:hAnsi="Times New Roman" w:eastAsia="宋体" w:cs="Times New Roman"/>
                <w:b/>
                <w:bCs w:val="0"/>
                <w:color w:val="auto"/>
                <w:sz w:val="24"/>
                <w:u w:val="none"/>
                <w:lang w:val="en-US" w:eastAsia="zh-CN"/>
              </w:rPr>
            </w:pPr>
            <w:r>
              <w:rPr>
                <w:rFonts w:hint="default" w:ascii="Times New Roman" w:hAnsi="Times New Roman" w:eastAsia="宋体" w:cs="Times New Roman"/>
                <w:b/>
                <w:bCs w:val="0"/>
                <w:color w:val="auto"/>
                <w:sz w:val="24"/>
                <w:u w:val="none"/>
              </w:rPr>
              <w:t>表2-</w:t>
            </w:r>
            <w:r>
              <w:rPr>
                <w:rFonts w:hint="default" w:ascii="Times New Roman" w:hAnsi="Times New Roman" w:eastAsia="宋体" w:cs="Times New Roman"/>
                <w:b/>
                <w:bCs w:val="0"/>
                <w:color w:val="auto"/>
                <w:sz w:val="24"/>
                <w:u w:val="none"/>
                <w:lang w:val="en-US" w:eastAsia="zh-CN"/>
              </w:rPr>
              <w:t>3</w:t>
            </w:r>
            <w:r>
              <w:rPr>
                <w:rFonts w:hint="default" w:ascii="Times New Roman" w:hAnsi="Times New Roman" w:eastAsia="宋体" w:cs="Times New Roman"/>
                <w:b/>
                <w:bCs w:val="0"/>
                <w:color w:val="auto"/>
                <w:sz w:val="24"/>
                <w:u w:val="none"/>
              </w:rPr>
              <w:t xml:space="preserve">  项目</w:t>
            </w:r>
            <w:r>
              <w:rPr>
                <w:rFonts w:hint="default" w:ascii="Times New Roman" w:hAnsi="Times New Roman" w:eastAsia="宋体" w:cs="Times New Roman"/>
                <w:b/>
                <w:bCs w:val="0"/>
                <w:color w:val="auto"/>
                <w:sz w:val="24"/>
                <w:u w:val="none"/>
                <w:lang w:val="en-US" w:eastAsia="zh-CN"/>
              </w:rPr>
              <w:t>原辅材料及能源消耗</w:t>
            </w:r>
          </w:p>
          <w:tbl>
            <w:tblPr>
              <w:tblStyle w:val="24"/>
              <w:tblW w:w="7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1920"/>
              <w:gridCol w:w="1935"/>
              <w:gridCol w:w="2564"/>
            </w:tblGrid>
            <w:tr w14:paraId="2B04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1048" w:type="dxa"/>
                  <w:tcBorders>
                    <w:tl2br w:val="nil"/>
                    <w:tr2bl w:val="nil"/>
                  </w:tcBorders>
                  <w:vAlign w:val="center"/>
                </w:tcPr>
                <w:p w14:paraId="5B95DCBD">
                  <w:pPr>
                    <w:pStyle w:val="33"/>
                    <w:keepNext w:val="0"/>
                    <w:keepLines w:val="0"/>
                    <w:pageBreakBefore w:val="0"/>
                    <w:widowControl w:val="0"/>
                    <w:tabs>
                      <w:tab w:val="left" w:pos="1887"/>
                    </w:tabs>
                    <w:kinsoku/>
                    <w:wordWrap/>
                    <w:overflowPunct/>
                    <w:topLinePunct w:val="0"/>
                    <w:autoSpaceDE/>
                    <w:autoSpaceDN/>
                    <w:bidi w:val="0"/>
                    <w:ind w:firstLine="0" w:firstLineChars="0"/>
                    <w:jc w:val="center"/>
                    <w:textAlignment w:val="auto"/>
                    <w:outlineLvl w:val="9"/>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序号</w:t>
                  </w:r>
                </w:p>
              </w:tc>
              <w:tc>
                <w:tcPr>
                  <w:tcW w:w="1920" w:type="dxa"/>
                  <w:tcBorders>
                    <w:tl2br w:val="nil"/>
                    <w:tr2bl w:val="nil"/>
                  </w:tcBorders>
                  <w:vAlign w:val="center"/>
                </w:tcPr>
                <w:p w14:paraId="44B077CF">
                  <w:pPr>
                    <w:pStyle w:val="33"/>
                    <w:keepNext w:val="0"/>
                    <w:keepLines w:val="0"/>
                    <w:pageBreakBefore w:val="0"/>
                    <w:widowControl w:val="0"/>
                    <w:kinsoku/>
                    <w:wordWrap/>
                    <w:overflowPunct/>
                    <w:topLinePunct w:val="0"/>
                    <w:autoSpaceDE/>
                    <w:autoSpaceDN/>
                    <w:bidi w:val="0"/>
                    <w:ind w:firstLine="0" w:firstLineChars="0"/>
                    <w:jc w:val="center"/>
                    <w:textAlignment w:val="auto"/>
                    <w:outlineLvl w:val="9"/>
                    <w:rPr>
                      <w:rFonts w:hint="default" w:ascii="Times New Roman" w:hAnsi="Times New Roman" w:eastAsia="宋体" w:cs="Times New Roman"/>
                      <w:b/>
                      <w:bCs/>
                      <w:sz w:val="21"/>
                      <w:lang w:eastAsia="zh-CN"/>
                    </w:rPr>
                  </w:pPr>
                  <w:r>
                    <w:rPr>
                      <w:rFonts w:hint="default" w:ascii="Times New Roman" w:hAnsi="Times New Roman" w:eastAsia="宋体" w:cs="Times New Roman"/>
                      <w:b/>
                      <w:bCs/>
                      <w:sz w:val="21"/>
                      <w:lang w:val="en-US" w:eastAsia="zh-CN"/>
                    </w:rPr>
                    <w:t>名称</w:t>
                  </w:r>
                </w:p>
              </w:tc>
              <w:tc>
                <w:tcPr>
                  <w:tcW w:w="1935" w:type="dxa"/>
                  <w:tcBorders>
                    <w:tl2br w:val="nil"/>
                    <w:tr2bl w:val="nil"/>
                  </w:tcBorders>
                  <w:vAlign w:val="center"/>
                </w:tcPr>
                <w:p w14:paraId="4597CA73">
                  <w:pPr>
                    <w:pStyle w:val="33"/>
                    <w:keepNext w:val="0"/>
                    <w:keepLines w:val="0"/>
                    <w:pageBreakBefore w:val="0"/>
                    <w:widowControl w:val="0"/>
                    <w:kinsoku/>
                    <w:wordWrap/>
                    <w:overflowPunct/>
                    <w:topLinePunct w:val="0"/>
                    <w:autoSpaceDE/>
                    <w:autoSpaceDN/>
                    <w:bidi w:val="0"/>
                    <w:ind w:firstLine="0" w:firstLineChars="0"/>
                    <w:jc w:val="center"/>
                    <w:textAlignment w:val="auto"/>
                    <w:outlineLvl w:val="9"/>
                    <w:rPr>
                      <w:rFonts w:hint="default" w:ascii="Times New Roman" w:hAnsi="Times New Roman" w:eastAsia="宋体" w:cs="Times New Roman"/>
                      <w:b/>
                      <w:bCs/>
                      <w:sz w:val="21"/>
                      <w:highlight w:val="none"/>
                      <w:lang w:val="en-US" w:eastAsia="zh-CN"/>
                    </w:rPr>
                  </w:pPr>
                  <w:r>
                    <w:rPr>
                      <w:rFonts w:hint="default" w:ascii="Times New Roman" w:hAnsi="Times New Roman" w:eastAsia="宋体" w:cs="Times New Roman"/>
                      <w:b/>
                      <w:bCs/>
                      <w:sz w:val="21"/>
                      <w:highlight w:val="none"/>
                    </w:rPr>
                    <w:t>年</w:t>
                  </w:r>
                  <w:r>
                    <w:rPr>
                      <w:rFonts w:hint="default" w:ascii="Times New Roman" w:hAnsi="Times New Roman" w:eastAsia="宋体" w:cs="Times New Roman"/>
                      <w:b/>
                      <w:bCs/>
                      <w:sz w:val="21"/>
                      <w:highlight w:val="none"/>
                      <w:lang w:val="en-US" w:eastAsia="zh-CN"/>
                    </w:rPr>
                    <w:t>用量</w:t>
                  </w:r>
                </w:p>
              </w:tc>
              <w:tc>
                <w:tcPr>
                  <w:tcW w:w="2564" w:type="dxa"/>
                  <w:tcBorders>
                    <w:tl2br w:val="nil"/>
                    <w:tr2bl w:val="nil"/>
                  </w:tcBorders>
                  <w:vAlign w:val="center"/>
                </w:tcPr>
                <w:p w14:paraId="6255F951">
                  <w:pPr>
                    <w:pStyle w:val="33"/>
                    <w:keepNext w:val="0"/>
                    <w:keepLines w:val="0"/>
                    <w:pageBreakBefore w:val="0"/>
                    <w:widowControl w:val="0"/>
                    <w:kinsoku/>
                    <w:wordWrap/>
                    <w:overflowPunct/>
                    <w:topLinePunct w:val="0"/>
                    <w:autoSpaceDE/>
                    <w:autoSpaceDN/>
                    <w:bidi w:val="0"/>
                    <w:ind w:firstLine="0" w:firstLineChars="0"/>
                    <w:jc w:val="center"/>
                    <w:textAlignment w:val="auto"/>
                    <w:outlineLvl w:val="9"/>
                    <w:rPr>
                      <w:rFonts w:hint="default" w:ascii="Times New Roman" w:hAnsi="Times New Roman" w:eastAsia="宋体" w:cs="Times New Roman"/>
                      <w:b/>
                      <w:bCs/>
                      <w:sz w:val="21"/>
                      <w:highlight w:val="none"/>
                      <w:lang w:val="en-US" w:eastAsia="zh-CN"/>
                    </w:rPr>
                  </w:pPr>
                  <w:r>
                    <w:rPr>
                      <w:rFonts w:hint="default" w:ascii="Times New Roman" w:hAnsi="Times New Roman" w:cs="Times New Roman"/>
                      <w:b/>
                      <w:bCs/>
                      <w:sz w:val="21"/>
                      <w:highlight w:val="none"/>
                      <w:lang w:val="en-US" w:eastAsia="zh-CN"/>
                    </w:rPr>
                    <w:t>来源</w:t>
                  </w:r>
                </w:p>
              </w:tc>
            </w:tr>
            <w:tr w14:paraId="0AB00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048" w:type="dxa"/>
                  <w:tcBorders>
                    <w:tl2br w:val="nil"/>
                    <w:tr2bl w:val="nil"/>
                  </w:tcBorders>
                  <w:vAlign w:val="center"/>
                </w:tcPr>
                <w:p w14:paraId="04092EC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w:t>
                  </w:r>
                </w:p>
              </w:tc>
              <w:tc>
                <w:tcPr>
                  <w:tcW w:w="1920" w:type="dxa"/>
                  <w:tcBorders>
                    <w:tl2br w:val="nil"/>
                    <w:tr2bl w:val="nil"/>
                  </w:tcBorders>
                  <w:vAlign w:val="center"/>
                </w:tcPr>
                <w:p w14:paraId="44565F6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褐煤</w:t>
                  </w:r>
                </w:p>
              </w:tc>
              <w:tc>
                <w:tcPr>
                  <w:tcW w:w="1935" w:type="dxa"/>
                  <w:tcBorders>
                    <w:tl2br w:val="nil"/>
                    <w:tr2bl w:val="nil"/>
                  </w:tcBorders>
                  <w:vAlign w:val="center"/>
                </w:tcPr>
                <w:p w14:paraId="3C1C1BE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cs="Times New Roman"/>
                      <w:b w:val="0"/>
                      <w:bCs w:val="0"/>
                      <w:kern w:val="2"/>
                      <w:sz w:val="21"/>
                      <w:szCs w:val="21"/>
                      <w:highlight w:val="none"/>
                      <w:vertAlign w:val="baseline"/>
                      <w:lang w:val="en-US" w:eastAsia="zh-CN" w:bidi="ar-SA"/>
                    </w:rPr>
                    <w:t>10</w:t>
                  </w:r>
                  <w:r>
                    <w:rPr>
                      <w:rFonts w:hint="default" w:ascii="Times New Roman" w:hAnsi="Times New Roman" w:eastAsia="宋体" w:cs="Times New Roman"/>
                      <w:b w:val="0"/>
                      <w:bCs w:val="0"/>
                      <w:kern w:val="2"/>
                      <w:sz w:val="21"/>
                      <w:szCs w:val="21"/>
                      <w:highlight w:val="none"/>
                      <w:vertAlign w:val="baseline"/>
                      <w:lang w:val="en-US" w:eastAsia="zh-CN" w:bidi="ar-SA"/>
                    </w:rPr>
                    <w:t>万吨</w:t>
                  </w:r>
                </w:p>
              </w:tc>
              <w:tc>
                <w:tcPr>
                  <w:tcW w:w="2564" w:type="dxa"/>
                  <w:tcBorders>
                    <w:tl2br w:val="nil"/>
                    <w:tr2bl w:val="nil"/>
                  </w:tcBorders>
                  <w:vAlign w:val="center"/>
                </w:tcPr>
                <w:p w14:paraId="05B0435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default" w:ascii="Times New Roman" w:hAnsi="Times New Roman" w:eastAsia="宋体" w:cs="Times New Roman"/>
                      <w:sz w:val="21"/>
                      <w:vertAlign w:val="baseline"/>
                      <w:lang w:val="en-US" w:eastAsia="zh-CN"/>
                    </w:rPr>
                    <w:t>寻甸金所</w:t>
                  </w:r>
                  <w:r>
                    <w:rPr>
                      <w:rFonts w:hint="default" w:ascii="Times New Roman" w:hAnsi="Times New Roman" w:cs="Times New Roman"/>
                      <w:sz w:val="21"/>
                      <w:vertAlign w:val="baseline"/>
                      <w:lang w:val="en-US" w:eastAsia="zh-CN"/>
                    </w:rPr>
                    <w:t>、先锋</w:t>
                  </w:r>
                  <w:r>
                    <w:rPr>
                      <w:rFonts w:hint="default" w:ascii="Times New Roman" w:hAnsi="Times New Roman" w:eastAsia="宋体" w:cs="Times New Roman"/>
                      <w:sz w:val="21"/>
                      <w:vertAlign w:val="baseline"/>
                      <w:lang w:val="en-US" w:eastAsia="zh-CN"/>
                    </w:rPr>
                    <w:t>煤矿</w:t>
                  </w:r>
                </w:p>
              </w:tc>
            </w:tr>
            <w:tr w14:paraId="50D33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048" w:type="dxa"/>
                  <w:tcBorders>
                    <w:tl2br w:val="nil"/>
                    <w:tr2bl w:val="nil"/>
                  </w:tcBorders>
                  <w:vAlign w:val="center"/>
                </w:tcPr>
                <w:p w14:paraId="10458E7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2</w:t>
                  </w:r>
                </w:p>
              </w:tc>
              <w:tc>
                <w:tcPr>
                  <w:tcW w:w="1920" w:type="dxa"/>
                  <w:tcBorders>
                    <w:tl2br w:val="nil"/>
                    <w:tr2bl w:val="nil"/>
                  </w:tcBorders>
                  <w:vAlign w:val="center"/>
                </w:tcPr>
                <w:p w14:paraId="0245F7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水</w:t>
                  </w:r>
                </w:p>
              </w:tc>
              <w:tc>
                <w:tcPr>
                  <w:tcW w:w="1935" w:type="dxa"/>
                  <w:tcBorders>
                    <w:tl2br w:val="nil"/>
                    <w:tr2bl w:val="nil"/>
                  </w:tcBorders>
                  <w:vAlign w:val="center"/>
                </w:tcPr>
                <w:p w14:paraId="32D475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color w:val="0000FF"/>
                      <w:sz w:val="21"/>
                      <w:highlight w:val="none"/>
                      <w:vertAlign w:val="baseline"/>
                      <w:lang w:val="en-US" w:eastAsia="zh-CN"/>
                    </w:rPr>
                    <w:t>5710.26</w:t>
                  </w:r>
                  <w:r>
                    <w:rPr>
                      <w:rFonts w:hint="default" w:ascii="Times New Roman" w:hAnsi="Times New Roman" w:eastAsia="宋体" w:cs="Times New Roman"/>
                      <w:color w:val="0000FF"/>
                      <w:sz w:val="21"/>
                      <w:highlight w:val="none"/>
                      <w:vertAlign w:val="baseline"/>
                      <w:lang w:val="en-US" w:eastAsia="zh-CN"/>
                    </w:rPr>
                    <w:t>吨</w:t>
                  </w:r>
                </w:p>
              </w:tc>
              <w:tc>
                <w:tcPr>
                  <w:tcW w:w="2564" w:type="dxa"/>
                  <w:tcBorders>
                    <w:tl2br w:val="nil"/>
                    <w:tr2bl w:val="nil"/>
                  </w:tcBorders>
                  <w:vAlign w:val="center"/>
                </w:tcPr>
                <w:p w14:paraId="1A3D36B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default" w:ascii="Times New Roman" w:hAnsi="Times New Roman" w:eastAsia="宋体" w:cs="Times New Roman"/>
                      <w:b w:val="0"/>
                      <w:bCs w:val="0"/>
                      <w:kern w:val="2"/>
                      <w:sz w:val="21"/>
                      <w:szCs w:val="21"/>
                      <w:highlight w:val="none"/>
                      <w:vertAlign w:val="baseline"/>
                      <w:lang w:val="en-US" w:eastAsia="zh-CN" w:bidi="ar-SA"/>
                    </w:rPr>
                    <w:t>市政</w:t>
                  </w:r>
                  <w:r>
                    <w:rPr>
                      <w:rFonts w:hint="default" w:ascii="Times New Roman" w:hAnsi="Times New Roman" w:cs="Times New Roman"/>
                      <w:b w:val="0"/>
                      <w:bCs w:val="0"/>
                      <w:kern w:val="2"/>
                      <w:sz w:val="21"/>
                      <w:szCs w:val="21"/>
                      <w:highlight w:val="none"/>
                      <w:vertAlign w:val="baseline"/>
                      <w:lang w:val="en-US" w:eastAsia="zh-CN" w:bidi="ar-SA"/>
                    </w:rPr>
                    <w:t>供水</w:t>
                  </w:r>
                  <w:r>
                    <w:rPr>
                      <w:rFonts w:hint="default" w:ascii="Times New Roman" w:hAnsi="Times New Roman" w:eastAsia="宋体" w:cs="Times New Roman"/>
                      <w:b w:val="0"/>
                      <w:bCs w:val="0"/>
                      <w:kern w:val="2"/>
                      <w:sz w:val="21"/>
                      <w:szCs w:val="21"/>
                      <w:highlight w:val="none"/>
                      <w:vertAlign w:val="baseline"/>
                      <w:lang w:val="en-US" w:eastAsia="zh-CN" w:bidi="ar-SA"/>
                    </w:rPr>
                    <w:t>管网提供</w:t>
                  </w:r>
                </w:p>
              </w:tc>
            </w:tr>
            <w:tr w14:paraId="5B7FD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048" w:type="dxa"/>
                  <w:tcBorders>
                    <w:tl2br w:val="nil"/>
                    <w:tr2bl w:val="nil"/>
                  </w:tcBorders>
                  <w:vAlign w:val="center"/>
                </w:tcPr>
                <w:p w14:paraId="56BE641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3</w:t>
                  </w:r>
                </w:p>
              </w:tc>
              <w:tc>
                <w:tcPr>
                  <w:tcW w:w="1920" w:type="dxa"/>
                  <w:tcBorders>
                    <w:tl2br w:val="nil"/>
                    <w:tr2bl w:val="nil"/>
                  </w:tcBorders>
                  <w:vAlign w:val="center"/>
                </w:tcPr>
                <w:p w14:paraId="5E657D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电</w:t>
                  </w:r>
                </w:p>
              </w:tc>
              <w:tc>
                <w:tcPr>
                  <w:tcW w:w="1935" w:type="dxa"/>
                  <w:tcBorders>
                    <w:tl2br w:val="nil"/>
                    <w:tr2bl w:val="nil"/>
                  </w:tcBorders>
                  <w:vAlign w:val="center"/>
                </w:tcPr>
                <w:p w14:paraId="3B594F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highlight w:val="none"/>
                      <w:vertAlign w:val="baseline"/>
                      <w:lang w:val="en-US" w:eastAsia="zh-CN"/>
                    </w:rPr>
                    <w:t>200</w:t>
                  </w:r>
                  <w:r>
                    <w:rPr>
                      <w:rFonts w:hint="default" w:ascii="Times New Roman" w:hAnsi="Times New Roman" w:cs="Times New Roman"/>
                      <w:b w:val="0"/>
                      <w:bCs w:val="0"/>
                      <w:sz w:val="21"/>
                      <w:szCs w:val="21"/>
                      <w:highlight w:val="none"/>
                      <w:vertAlign w:val="baseline"/>
                      <w:lang w:val="en-US" w:eastAsia="zh-CN"/>
                    </w:rPr>
                    <w:t>千瓦</w:t>
                  </w:r>
                </w:p>
              </w:tc>
              <w:tc>
                <w:tcPr>
                  <w:tcW w:w="2564" w:type="dxa"/>
                  <w:tcBorders>
                    <w:tl2br w:val="nil"/>
                    <w:tr2bl w:val="nil"/>
                  </w:tcBorders>
                  <w:vAlign w:val="center"/>
                </w:tcPr>
                <w:p w14:paraId="76171EB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市政电网供电</w:t>
                  </w:r>
                </w:p>
              </w:tc>
            </w:tr>
          </w:tbl>
          <w:p w14:paraId="3465491F">
            <w:pPr>
              <w:widowControl/>
              <w:autoSpaceDE w:val="0"/>
              <w:autoSpaceDN w:val="0"/>
              <w:adjustRightInd w:val="0"/>
              <w:spacing w:before="120" w:beforeLines="50" w:line="360" w:lineRule="auto"/>
              <w:ind w:firstLine="482" w:firstLineChars="200"/>
              <w:rPr>
                <w:rFonts w:hint="default" w:ascii="Times New Roman" w:hAnsi="Times New Roman" w:cs="Times New Roman"/>
                <w:b/>
                <w:bCs/>
                <w:color w:val="auto"/>
                <w:sz w:val="24"/>
                <w:u w:val="none"/>
              </w:rPr>
            </w:pPr>
            <w:r>
              <w:rPr>
                <w:rFonts w:hint="default" w:ascii="Times New Roman" w:hAnsi="Times New Roman" w:cs="Times New Roman"/>
                <w:b/>
                <w:bCs/>
                <w:color w:val="auto"/>
                <w:sz w:val="24"/>
                <w:u w:val="none"/>
              </w:rPr>
              <w:t>主要原辅料性能及理化性质：</w:t>
            </w:r>
          </w:p>
          <w:p w14:paraId="3993730D">
            <w:pPr>
              <w:widowControl/>
              <w:spacing w:line="360" w:lineRule="auto"/>
              <w:ind w:firstLine="480" w:firstLineChars="200"/>
              <w:rPr>
                <w:rFonts w:hint="default" w:ascii="Times New Roman" w:hAnsi="Times New Roman" w:eastAsia="宋体" w:cs="Times New Roman"/>
                <w:bCs/>
                <w:color w:val="auto"/>
                <w:sz w:val="24"/>
                <w:u w:val="none"/>
              </w:rPr>
            </w:pPr>
            <w:r>
              <w:rPr>
                <w:rFonts w:hint="default" w:ascii="Times New Roman" w:hAnsi="Times New Roman" w:cs="Times New Roman"/>
                <w:bCs/>
                <w:color w:val="auto"/>
                <w:sz w:val="24"/>
                <w:u w:val="none"/>
              </w:rPr>
              <w:t>褐煤：又名柴煤，是煤化程度最低的矿产煤。一种棕黑色、无光泽的低级煤。化学反应性强，在空气中容易风化，不易储存和远运。由于它富含</w:t>
            </w:r>
            <w:r>
              <w:rPr>
                <w:rFonts w:hint="default" w:ascii="Times New Roman" w:hAnsi="Times New Roman" w:cs="Times New Roman"/>
                <w:bCs/>
                <w:color w:val="auto"/>
                <w:sz w:val="24"/>
                <w:u w:val="none"/>
                <w:lang w:eastAsia="zh-CN"/>
              </w:rPr>
              <w:t>挥发分</w:t>
            </w:r>
            <w:r>
              <w:rPr>
                <w:rFonts w:hint="default" w:ascii="Times New Roman" w:hAnsi="Times New Roman" w:cs="Times New Roman"/>
                <w:bCs/>
                <w:color w:val="auto"/>
                <w:sz w:val="24"/>
                <w:u w:val="none"/>
              </w:rPr>
              <w:t>，所以易于燃烧并冒烟。剖面上可以清楚地看出原来木质的痕迹(由裸子植物形成)。含有可溶于碱液内的腐殖酸。含碳量60%~77%，密度约为1.1-1.2，挥发成分大于40%。无胶质层厚度。恒湿无灰基高位发热量约为23.0-27.2兆焦/公斤</w:t>
            </w:r>
            <w:r>
              <w:rPr>
                <w:rFonts w:hint="default" w:ascii="Times New Roman" w:hAnsi="Times New Roman" w:cs="Times New Roman"/>
                <w:bCs/>
                <w:color w:val="auto"/>
                <w:sz w:val="24"/>
                <w:u w:val="none"/>
                <w:lang w:eastAsia="zh-CN"/>
              </w:rPr>
              <w:t>（</w:t>
            </w:r>
            <w:r>
              <w:rPr>
                <w:rFonts w:hint="default" w:ascii="Times New Roman" w:hAnsi="Times New Roman" w:cs="Times New Roman"/>
                <w:bCs/>
                <w:color w:val="auto"/>
                <w:sz w:val="24"/>
                <w:u w:val="none"/>
              </w:rPr>
              <w:t>5500-6500千卡/公斤</w:t>
            </w:r>
            <w:r>
              <w:rPr>
                <w:rFonts w:hint="default" w:ascii="Times New Roman" w:hAnsi="Times New Roman" w:cs="Times New Roman"/>
                <w:bCs/>
                <w:color w:val="auto"/>
                <w:sz w:val="24"/>
                <w:u w:val="none"/>
                <w:lang w:eastAsia="zh-CN"/>
              </w:rPr>
              <w:t>）</w:t>
            </w:r>
            <w:r>
              <w:rPr>
                <w:rFonts w:hint="default" w:ascii="Times New Roman" w:hAnsi="Times New Roman" w:cs="Times New Roman"/>
                <w:bCs/>
                <w:color w:val="auto"/>
                <w:sz w:val="24"/>
                <w:u w:val="none"/>
              </w:rPr>
              <w:t>。多</w:t>
            </w:r>
            <w:r>
              <w:rPr>
                <w:rFonts w:hint="default" w:ascii="Times New Roman" w:hAnsi="Times New Roman" w:eastAsia="宋体" w:cs="Times New Roman"/>
                <w:bCs/>
                <w:color w:val="auto"/>
                <w:sz w:val="24"/>
                <w:u w:val="none"/>
              </w:rPr>
              <w:t>呈褐色或褐黑色，相对密度1.2~1.45。</w:t>
            </w:r>
          </w:p>
          <w:p w14:paraId="30469C32">
            <w:pPr>
              <w:widowControl/>
              <w:spacing w:line="360" w:lineRule="auto"/>
              <w:ind w:firstLine="482" w:firstLineChars="200"/>
              <w:rPr>
                <w:rFonts w:hint="default" w:ascii="Times New Roman" w:hAnsi="Times New Roman" w:eastAsia="宋体" w:cs="Times New Roman"/>
                <w:b/>
                <w:bCs w:val="0"/>
                <w:color w:val="auto"/>
                <w:sz w:val="24"/>
                <w:u w:val="none"/>
                <w:lang w:val="en-US" w:eastAsia="zh-CN"/>
              </w:rPr>
            </w:pPr>
            <w:r>
              <w:rPr>
                <w:rFonts w:hint="default" w:ascii="Times New Roman" w:hAnsi="Times New Roman" w:eastAsia="宋体" w:cs="Times New Roman"/>
                <w:b/>
                <w:bCs w:val="0"/>
                <w:color w:val="auto"/>
                <w:sz w:val="24"/>
                <w:u w:val="none"/>
                <w:lang w:val="en-US" w:eastAsia="zh-CN"/>
              </w:rPr>
              <w:t>6、建设项目主要设备</w:t>
            </w:r>
          </w:p>
          <w:p w14:paraId="5504617B">
            <w:pPr>
              <w:widowControl/>
              <w:spacing w:line="360" w:lineRule="auto"/>
              <w:ind w:firstLine="480" w:firstLineChars="200"/>
              <w:rPr>
                <w:rFonts w:hint="default" w:ascii="Times New Roman" w:hAnsi="Times New Roman" w:eastAsia="宋体" w:cs="Times New Roman"/>
                <w:bCs/>
                <w:color w:val="auto"/>
                <w:sz w:val="24"/>
                <w:u w:val="none"/>
                <w:lang w:val="en-US" w:eastAsia="zh-CN"/>
              </w:rPr>
            </w:pPr>
            <w:r>
              <w:rPr>
                <w:rFonts w:hint="default" w:ascii="Times New Roman" w:hAnsi="Times New Roman" w:eastAsia="宋体" w:cs="Times New Roman"/>
                <w:bCs/>
                <w:color w:val="auto"/>
                <w:sz w:val="24"/>
                <w:u w:val="none"/>
                <w:lang w:val="en-US" w:eastAsia="zh-CN"/>
              </w:rPr>
              <w:t>项目</w:t>
            </w:r>
            <w:r>
              <w:rPr>
                <w:rFonts w:hint="default" w:ascii="Times New Roman" w:hAnsi="Times New Roman" w:eastAsia="宋体" w:cs="Times New Roman"/>
                <w:bCs/>
                <w:color w:val="auto"/>
                <w:sz w:val="24"/>
                <w:u w:val="none"/>
              </w:rPr>
              <w:t>主要设备见表2-</w:t>
            </w:r>
            <w:r>
              <w:rPr>
                <w:rFonts w:hint="default" w:ascii="Times New Roman" w:hAnsi="Times New Roman" w:eastAsia="宋体" w:cs="Times New Roman"/>
                <w:bCs/>
                <w:color w:val="auto"/>
                <w:sz w:val="24"/>
                <w:u w:val="none"/>
                <w:lang w:val="en-US" w:eastAsia="zh-CN"/>
              </w:rPr>
              <w:t>4</w:t>
            </w:r>
            <w:r>
              <w:rPr>
                <w:rFonts w:hint="default" w:ascii="Times New Roman" w:hAnsi="Times New Roman" w:eastAsia="宋体" w:cs="Times New Roman"/>
                <w:bCs/>
                <w:color w:val="auto"/>
                <w:sz w:val="24"/>
                <w:u w:val="none"/>
              </w:rPr>
              <w:t>。</w:t>
            </w:r>
          </w:p>
          <w:p w14:paraId="50B4BE5E">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eastAsia="黑体" w:cs="Times New Roman"/>
                <w:lang w:val="en-US" w:eastAsia="zh-CN"/>
              </w:rPr>
            </w:pPr>
            <w:r>
              <w:rPr>
                <w:rFonts w:hint="default" w:ascii="Times New Roman" w:hAnsi="Times New Roman" w:eastAsia="宋体" w:cs="Times New Roman"/>
                <w:b/>
                <w:bCs/>
                <w:color w:val="auto"/>
                <w:szCs w:val="21"/>
                <w:highlight w:val="none"/>
              </w:rPr>
              <w:t>表2-</w:t>
            </w:r>
            <w:r>
              <w:rPr>
                <w:rFonts w:hint="default" w:ascii="Times New Roman" w:hAnsi="Times New Roman" w:eastAsia="宋体" w:cs="Times New Roman"/>
                <w:b/>
                <w:bCs/>
                <w:color w:val="auto"/>
                <w:szCs w:val="21"/>
                <w:highlight w:val="none"/>
                <w:lang w:val="en-US" w:eastAsia="zh-CN"/>
              </w:rPr>
              <w:t>4</w:t>
            </w:r>
            <w:r>
              <w:rPr>
                <w:rFonts w:hint="default" w:ascii="Times New Roman" w:hAnsi="Times New Roman" w:eastAsia="宋体" w:cs="Times New Roman"/>
                <w:b/>
                <w:bCs/>
                <w:color w:val="auto"/>
                <w:szCs w:val="21"/>
                <w:highlight w:val="none"/>
              </w:rPr>
              <w:t xml:space="preserve">  项目</w:t>
            </w:r>
            <w:r>
              <w:rPr>
                <w:rFonts w:hint="default" w:ascii="Times New Roman" w:hAnsi="Times New Roman" w:eastAsia="宋体" w:cs="Times New Roman"/>
                <w:b/>
                <w:bCs/>
                <w:color w:val="auto"/>
                <w:szCs w:val="21"/>
                <w:highlight w:val="none"/>
                <w:lang w:val="en-US" w:eastAsia="zh-CN"/>
              </w:rPr>
              <w:t>主要设备一览表</w:t>
            </w:r>
          </w:p>
          <w:tbl>
            <w:tblPr>
              <w:tblStyle w:val="24"/>
              <w:tblW w:w="7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1644"/>
              <w:gridCol w:w="1644"/>
              <w:gridCol w:w="1644"/>
              <w:gridCol w:w="1644"/>
            </w:tblGrid>
            <w:tr w14:paraId="75FE4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894" w:type="dxa"/>
                  <w:tcBorders>
                    <w:tl2br w:val="nil"/>
                    <w:tr2bl w:val="nil"/>
                  </w:tcBorders>
                  <w:vAlign w:val="center"/>
                </w:tcPr>
                <w:p w14:paraId="27808C5F">
                  <w:pPr>
                    <w:pStyle w:val="33"/>
                    <w:keepNext w:val="0"/>
                    <w:keepLines w:val="0"/>
                    <w:pageBreakBefore w:val="0"/>
                    <w:widowControl w:val="0"/>
                    <w:tabs>
                      <w:tab w:val="left" w:pos="1887"/>
                    </w:tabs>
                    <w:kinsoku/>
                    <w:wordWrap/>
                    <w:overflowPunct/>
                    <w:topLinePunct w:val="0"/>
                    <w:autoSpaceDE/>
                    <w:autoSpaceDN/>
                    <w:bidi w:val="0"/>
                    <w:ind w:firstLine="0" w:firstLineChars="0"/>
                    <w:jc w:val="center"/>
                    <w:textAlignment w:val="auto"/>
                    <w:outlineLvl w:val="9"/>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序号</w:t>
                  </w:r>
                </w:p>
              </w:tc>
              <w:tc>
                <w:tcPr>
                  <w:tcW w:w="1644" w:type="dxa"/>
                  <w:tcBorders>
                    <w:tl2br w:val="nil"/>
                    <w:tr2bl w:val="nil"/>
                  </w:tcBorders>
                  <w:vAlign w:val="center"/>
                </w:tcPr>
                <w:p w14:paraId="15F64E15">
                  <w:pPr>
                    <w:pStyle w:val="33"/>
                    <w:keepNext w:val="0"/>
                    <w:keepLines w:val="0"/>
                    <w:pageBreakBefore w:val="0"/>
                    <w:widowControl w:val="0"/>
                    <w:kinsoku/>
                    <w:wordWrap/>
                    <w:overflowPunct/>
                    <w:topLinePunct w:val="0"/>
                    <w:autoSpaceDE/>
                    <w:autoSpaceDN/>
                    <w:bidi w:val="0"/>
                    <w:ind w:firstLine="0" w:firstLineChars="0"/>
                    <w:jc w:val="center"/>
                    <w:textAlignment w:val="auto"/>
                    <w:outlineLvl w:val="9"/>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设备名称</w:t>
                  </w:r>
                </w:p>
              </w:tc>
              <w:tc>
                <w:tcPr>
                  <w:tcW w:w="1644" w:type="dxa"/>
                  <w:tcBorders>
                    <w:tl2br w:val="nil"/>
                    <w:tr2bl w:val="nil"/>
                  </w:tcBorders>
                  <w:vAlign w:val="center"/>
                </w:tcPr>
                <w:p w14:paraId="4D6DA58B">
                  <w:pPr>
                    <w:pStyle w:val="33"/>
                    <w:keepNext w:val="0"/>
                    <w:keepLines w:val="0"/>
                    <w:pageBreakBefore w:val="0"/>
                    <w:widowControl w:val="0"/>
                    <w:kinsoku/>
                    <w:wordWrap/>
                    <w:overflowPunct/>
                    <w:topLinePunct w:val="0"/>
                    <w:autoSpaceDE/>
                    <w:autoSpaceDN/>
                    <w:bidi w:val="0"/>
                    <w:ind w:firstLine="0" w:firstLineChars="0"/>
                    <w:jc w:val="center"/>
                    <w:textAlignment w:val="auto"/>
                    <w:outlineLvl w:val="9"/>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型号</w:t>
                  </w:r>
                </w:p>
              </w:tc>
              <w:tc>
                <w:tcPr>
                  <w:tcW w:w="1644" w:type="dxa"/>
                  <w:tcBorders>
                    <w:tl2br w:val="nil"/>
                    <w:tr2bl w:val="nil"/>
                  </w:tcBorders>
                  <w:vAlign w:val="center"/>
                </w:tcPr>
                <w:p w14:paraId="590E4667">
                  <w:pPr>
                    <w:pStyle w:val="33"/>
                    <w:keepNext w:val="0"/>
                    <w:keepLines w:val="0"/>
                    <w:pageBreakBefore w:val="0"/>
                    <w:widowControl w:val="0"/>
                    <w:kinsoku/>
                    <w:wordWrap/>
                    <w:overflowPunct/>
                    <w:topLinePunct w:val="0"/>
                    <w:autoSpaceDE/>
                    <w:autoSpaceDN/>
                    <w:bidi w:val="0"/>
                    <w:ind w:firstLine="0" w:firstLineChars="0"/>
                    <w:jc w:val="center"/>
                    <w:textAlignment w:val="auto"/>
                    <w:outlineLvl w:val="9"/>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数量</w:t>
                  </w:r>
                </w:p>
              </w:tc>
              <w:tc>
                <w:tcPr>
                  <w:tcW w:w="1644" w:type="dxa"/>
                  <w:tcBorders>
                    <w:tl2br w:val="nil"/>
                    <w:tr2bl w:val="nil"/>
                  </w:tcBorders>
                  <w:vAlign w:val="center"/>
                </w:tcPr>
                <w:p w14:paraId="46E6F93D">
                  <w:pPr>
                    <w:pStyle w:val="33"/>
                    <w:keepNext w:val="0"/>
                    <w:keepLines w:val="0"/>
                    <w:pageBreakBefore w:val="0"/>
                    <w:widowControl w:val="0"/>
                    <w:kinsoku/>
                    <w:wordWrap/>
                    <w:overflowPunct/>
                    <w:topLinePunct w:val="0"/>
                    <w:autoSpaceDE/>
                    <w:autoSpaceDN/>
                    <w:bidi w:val="0"/>
                    <w:ind w:firstLine="0" w:firstLineChars="0"/>
                    <w:jc w:val="center"/>
                    <w:textAlignment w:val="auto"/>
                    <w:outlineLvl w:val="9"/>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用途</w:t>
                  </w:r>
                </w:p>
              </w:tc>
            </w:tr>
            <w:tr w14:paraId="24B59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94" w:type="dxa"/>
                  <w:tcBorders>
                    <w:tl2br w:val="nil"/>
                    <w:tr2bl w:val="nil"/>
                  </w:tcBorders>
                  <w:vAlign w:val="center"/>
                </w:tcPr>
                <w:p w14:paraId="5295959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w:t>
                  </w:r>
                </w:p>
              </w:tc>
              <w:tc>
                <w:tcPr>
                  <w:tcW w:w="1644" w:type="dxa"/>
                  <w:tcBorders>
                    <w:tl2br w:val="nil"/>
                    <w:tr2bl w:val="nil"/>
                  </w:tcBorders>
                  <w:vAlign w:val="center"/>
                </w:tcPr>
                <w:p w14:paraId="1D4642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vertAlign w:val="baseline"/>
                      <w:lang w:val="en-US" w:eastAsia="zh-CN"/>
                    </w:rPr>
                    <w:t>装载机</w:t>
                  </w:r>
                </w:p>
              </w:tc>
              <w:tc>
                <w:tcPr>
                  <w:tcW w:w="1644" w:type="dxa"/>
                  <w:tcBorders>
                    <w:tl2br w:val="nil"/>
                    <w:tr2bl w:val="nil"/>
                  </w:tcBorders>
                  <w:vAlign w:val="center"/>
                </w:tcPr>
                <w:p w14:paraId="4B10B7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vertAlign w:val="baseline"/>
                      <w:lang w:val="en-US" w:eastAsia="zh-CN"/>
                    </w:rPr>
                    <w:t>50型</w:t>
                  </w:r>
                </w:p>
              </w:tc>
              <w:tc>
                <w:tcPr>
                  <w:tcW w:w="1644" w:type="dxa"/>
                  <w:tcBorders>
                    <w:tl2br w:val="nil"/>
                    <w:tr2bl w:val="nil"/>
                  </w:tcBorders>
                  <w:vAlign w:val="center"/>
                </w:tcPr>
                <w:p w14:paraId="728BEF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vertAlign w:val="baseline"/>
                      <w:lang w:val="en-US" w:eastAsia="zh-CN"/>
                    </w:rPr>
                    <w:t>2台</w:t>
                  </w:r>
                </w:p>
              </w:tc>
              <w:tc>
                <w:tcPr>
                  <w:tcW w:w="1644" w:type="dxa"/>
                  <w:tcBorders>
                    <w:tl2br w:val="nil"/>
                    <w:tr2bl w:val="nil"/>
                  </w:tcBorders>
                  <w:vAlign w:val="center"/>
                </w:tcPr>
                <w:p w14:paraId="79236F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vertAlign w:val="baseline"/>
                      <w:lang w:val="en-US" w:eastAsia="zh-CN"/>
                    </w:rPr>
                    <w:t>装卸</w:t>
                  </w:r>
                </w:p>
              </w:tc>
            </w:tr>
            <w:tr w14:paraId="5B052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94" w:type="dxa"/>
                  <w:tcBorders>
                    <w:tl2br w:val="nil"/>
                    <w:tr2bl w:val="nil"/>
                  </w:tcBorders>
                  <w:vAlign w:val="center"/>
                </w:tcPr>
                <w:p w14:paraId="6008020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2</w:t>
                  </w:r>
                </w:p>
              </w:tc>
              <w:tc>
                <w:tcPr>
                  <w:tcW w:w="1644" w:type="dxa"/>
                  <w:tcBorders>
                    <w:tl2br w:val="nil"/>
                    <w:tr2bl w:val="nil"/>
                  </w:tcBorders>
                  <w:vAlign w:val="center"/>
                </w:tcPr>
                <w:p w14:paraId="229DCC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vertAlign w:val="baseline"/>
                      <w:lang w:val="en-US" w:eastAsia="zh-CN"/>
                    </w:rPr>
                    <w:t>洒水车</w:t>
                  </w:r>
                </w:p>
              </w:tc>
              <w:tc>
                <w:tcPr>
                  <w:tcW w:w="1644" w:type="dxa"/>
                  <w:tcBorders>
                    <w:tl2br w:val="nil"/>
                    <w:tr2bl w:val="nil"/>
                  </w:tcBorders>
                  <w:vAlign w:val="center"/>
                </w:tcPr>
                <w:p w14:paraId="703B0F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vertAlign w:val="baseline"/>
                      <w:lang w:val="en-US" w:eastAsia="zh-CN"/>
                    </w:rPr>
                    <w:t>东风天锦</w:t>
                  </w:r>
                </w:p>
              </w:tc>
              <w:tc>
                <w:tcPr>
                  <w:tcW w:w="1644" w:type="dxa"/>
                  <w:tcBorders>
                    <w:tl2br w:val="nil"/>
                    <w:tr2bl w:val="nil"/>
                  </w:tcBorders>
                  <w:vAlign w:val="center"/>
                </w:tcPr>
                <w:p w14:paraId="0FCE3E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vertAlign w:val="baseline"/>
                      <w:lang w:val="en-US" w:eastAsia="zh-CN"/>
                    </w:rPr>
                    <w:t>1台</w:t>
                  </w:r>
                </w:p>
              </w:tc>
              <w:tc>
                <w:tcPr>
                  <w:tcW w:w="1644" w:type="dxa"/>
                  <w:tcBorders>
                    <w:tl2br w:val="nil"/>
                    <w:tr2bl w:val="nil"/>
                  </w:tcBorders>
                  <w:vAlign w:val="center"/>
                </w:tcPr>
                <w:p w14:paraId="1764F3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vertAlign w:val="baseline"/>
                      <w:lang w:val="en-US" w:eastAsia="zh-CN"/>
                    </w:rPr>
                    <w:t>场地洒水</w:t>
                  </w:r>
                </w:p>
              </w:tc>
            </w:tr>
            <w:tr w14:paraId="0DDA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94" w:type="dxa"/>
                  <w:tcBorders>
                    <w:tl2br w:val="nil"/>
                    <w:tr2bl w:val="nil"/>
                  </w:tcBorders>
                  <w:vAlign w:val="center"/>
                </w:tcPr>
                <w:p w14:paraId="5339CD0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3</w:t>
                  </w:r>
                </w:p>
              </w:tc>
              <w:tc>
                <w:tcPr>
                  <w:tcW w:w="1644" w:type="dxa"/>
                  <w:tcBorders>
                    <w:tl2br w:val="nil"/>
                    <w:tr2bl w:val="nil"/>
                  </w:tcBorders>
                  <w:vAlign w:val="center"/>
                </w:tcPr>
                <w:p w14:paraId="05E72F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vertAlign w:val="baseline"/>
                      <w:lang w:val="en-US" w:eastAsia="zh-CN"/>
                    </w:rPr>
                    <w:t>地磅</w:t>
                  </w:r>
                </w:p>
              </w:tc>
              <w:tc>
                <w:tcPr>
                  <w:tcW w:w="1644" w:type="dxa"/>
                  <w:tcBorders>
                    <w:tl2br w:val="nil"/>
                    <w:tr2bl w:val="nil"/>
                  </w:tcBorders>
                  <w:vAlign w:val="center"/>
                </w:tcPr>
                <w:p w14:paraId="008E94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color w:val="000000"/>
                      <w:sz w:val="21"/>
                      <w:u w:val="none"/>
                    </w:rPr>
                    <w:t>SCS120</w:t>
                  </w:r>
                </w:p>
              </w:tc>
              <w:tc>
                <w:tcPr>
                  <w:tcW w:w="1644" w:type="dxa"/>
                  <w:tcBorders>
                    <w:tl2br w:val="nil"/>
                    <w:tr2bl w:val="nil"/>
                  </w:tcBorders>
                  <w:vAlign w:val="center"/>
                </w:tcPr>
                <w:p w14:paraId="20B5D8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vertAlign w:val="baseline"/>
                      <w:lang w:val="en-US" w:eastAsia="zh-CN"/>
                    </w:rPr>
                    <w:t>1台</w:t>
                  </w:r>
                </w:p>
              </w:tc>
              <w:tc>
                <w:tcPr>
                  <w:tcW w:w="1644" w:type="dxa"/>
                  <w:tcBorders>
                    <w:tl2br w:val="nil"/>
                    <w:tr2bl w:val="nil"/>
                  </w:tcBorders>
                  <w:vAlign w:val="center"/>
                </w:tcPr>
                <w:p w14:paraId="522843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vertAlign w:val="baseline"/>
                      <w:lang w:val="en-US" w:eastAsia="zh-CN"/>
                    </w:rPr>
                    <w:t>计量</w:t>
                  </w:r>
                </w:p>
              </w:tc>
            </w:tr>
            <w:tr w14:paraId="2575D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94" w:type="dxa"/>
                  <w:tcBorders>
                    <w:tl2br w:val="nil"/>
                    <w:tr2bl w:val="nil"/>
                  </w:tcBorders>
                  <w:vAlign w:val="center"/>
                </w:tcPr>
                <w:p w14:paraId="288D09E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0000FF"/>
                      <w:sz w:val="21"/>
                      <w:lang w:val="en-US" w:eastAsia="zh-CN"/>
                    </w:rPr>
                  </w:pPr>
                  <w:r>
                    <w:rPr>
                      <w:rFonts w:hint="default" w:ascii="Times New Roman" w:hAnsi="Times New Roman" w:eastAsia="宋体" w:cs="Times New Roman"/>
                      <w:color w:val="0000FF"/>
                      <w:sz w:val="21"/>
                      <w:lang w:val="en-US" w:eastAsia="zh-CN"/>
                    </w:rPr>
                    <w:t>4</w:t>
                  </w:r>
                </w:p>
              </w:tc>
              <w:tc>
                <w:tcPr>
                  <w:tcW w:w="1644" w:type="dxa"/>
                  <w:tcBorders>
                    <w:tl2br w:val="nil"/>
                    <w:tr2bl w:val="nil"/>
                  </w:tcBorders>
                  <w:vAlign w:val="center"/>
                </w:tcPr>
                <w:p w14:paraId="5758F2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FF"/>
                      <w:kern w:val="2"/>
                      <w:sz w:val="21"/>
                      <w:szCs w:val="21"/>
                      <w:vertAlign w:val="baseline"/>
                      <w:lang w:val="en-US" w:eastAsia="zh-CN" w:bidi="ar-SA"/>
                    </w:rPr>
                  </w:pPr>
                  <w:r>
                    <w:rPr>
                      <w:rFonts w:hint="default" w:ascii="Times New Roman" w:hAnsi="Times New Roman" w:cs="Times New Roman"/>
                      <w:color w:val="0000FF"/>
                      <w:sz w:val="21"/>
                      <w:u w:val="none"/>
                      <w:lang w:val="en-US" w:eastAsia="zh-CN"/>
                    </w:rPr>
                    <w:t>潜水泵</w:t>
                  </w:r>
                </w:p>
              </w:tc>
              <w:tc>
                <w:tcPr>
                  <w:tcW w:w="1644" w:type="dxa"/>
                  <w:tcBorders>
                    <w:tl2br w:val="nil"/>
                    <w:tr2bl w:val="nil"/>
                  </w:tcBorders>
                  <w:vAlign w:val="center"/>
                </w:tcPr>
                <w:p w14:paraId="174CC9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FF"/>
                      <w:kern w:val="2"/>
                      <w:sz w:val="21"/>
                      <w:szCs w:val="21"/>
                      <w:vertAlign w:val="baseline"/>
                      <w:lang w:val="en-US" w:eastAsia="zh-CN" w:bidi="ar-SA"/>
                    </w:rPr>
                  </w:pPr>
                  <w:r>
                    <w:rPr>
                      <w:rFonts w:hint="default" w:ascii="Times New Roman" w:hAnsi="Times New Roman" w:cs="Times New Roman"/>
                      <w:color w:val="0000FF"/>
                      <w:sz w:val="21"/>
                      <w:u w:val="none"/>
                      <w:lang w:val="en-US" w:eastAsia="zh-CN"/>
                    </w:rPr>
                    <w:t>QJR</w:t>
                  </w:r>
                </w:p>
              </w:tc>
              <w:tc>
                <w:tcPr>
                  <w:tcW w:w="1644" w:type="dxa"/>
                  <w:tcBorders>
                    <w:tl2br w:val="nil"/>
                    <w:tr2bl w:val="nil"/>
                  </w:tcBorders>
                  <w:vAlign w:val="center"/>
                </w:tcPr>
                <w:p w14:paraId="082D08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FF"/>
                      <w:kern w:val="2"/>
                      <w:sz w:val="21"/>
                      <w:szCs w:val="21"/>
                      <w:vertAlign w:val="baseline"/>
                      <w:lang w:val="en-US" w:eastAsia="zh-CN" w:bidi="ar-SA"/>
                    </w:rPr>
                  </w:pPr>
                  <w:r>
                    <w:rPr>
                      <w:rFonts w:hint="default" w:ascii="Times New Roman" w:hAnsi="Times New Roman" w:eastAsia="宋体" w:cs="Times New Roman"/>
                      <w:color w:val="0000FF"/>
                      <w:sz w:val="21"/>
                      <w:vertAlign w:val="baseline"/>
                      <w:lang w:val="en-US" w:eastAsia="zh-CN"/>
                    </w:rPr>
                    <w:t>2台</w:t>
                  </w:r>
                </w:p>
              </w:tc>
              <w:tc>
                <w:tcPr>
                  <w:tcW w:w="1644" w:type="dxa"/>
                  <w:tcBorders>
                    <w:tl2br w:val="nil"/>
                    <w:tr2bl w:val="nil"/>
                  </w:tcBorders>
                  <w:vAlign w:val="center"/>
                </w:tcPr>
                <w:p w14:paraId="7EAD1A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FF"/>
                      <w:kern w:val="2"/>
                      <w:sz w:val="21"/>
                      <w:szCs w:val="21"/>
                      <w:vertAlign w:val="baseline"/>
                      <w:lang w:val="en-US" w:eastAsia="zh-CN" w:bidi="ar-SA"/>
                    </w:rPr>
                  </w:pPr>
                  <w:r>
                    <w:rPr>
                      <w:rFonts w:hint="eastAsia" w:cs="Times New Roman"/>
                      <w:color w:val="0000FF"/>
                      <w:sz w:val="21"/>
                      <w:vertAlign w:val="baseline"/>
                      <w:lang w:val="en-US" w:eastAsia="zh-CN"/>
                    </w:rPr>
                    <w:t>车辆冲洗</w:t>
                  </w:r>
                </w:p>
              </w:tc>
            </w:tr>
            <w:tr w14:paraId="2749E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94" w:type="dxa"/>
                  <w:tcBorders>
                    <w:tl2br w:val="nil"/>
                    <w:tr2bl w:val="nil"/>
                  </w:tcBorders>
                  <w:vAlign w:val="center"/>
                </w:tcPr>
                <w:p w14:paraId="7F42092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0000FF"/>
                      <w:sz w:val="21"/>
                      <w:lang w:val="en-US" w:eastAsia="zh-CN"/>
                    </w:rPr>
                  </w:pPr>
                  <w:r>
                    <w:rPr>
                      <w:rFonts w:hint="eastAsia" w:cs="Times New Roman"/>
                      <w:color w:val="0000FF"/>
                      <w:sz w:val="21"/>
                      <w:lang w:val="en-US" w:eastAsia="zh-CN"/>
                    </w:rPr>
                    <w:t>5</w:t>
                  </w:r>
                </w:p>
              </w:tc>
              <w:tc>
                <w:tcPr>
                  <w:tcW w:w="1644" w:type="dxa"/>
                  <w:tcBorders>
                    <w:tl2br w:val="nil"/>
                    <w:tr2bl w:val="nil"/>
                  </w:tcBorders>
                  <w:vAlign w:val="center"/>
                </w:tcPr>
                <w:p w14:paraId="3357B9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FF"/>
                      <w:sz w:val="21"/>
                      <w:u w:val="none"/>
                      <w:lang w:val="en-US" w:eastAsia="zh-CN"/>
                    </w:rPr>
                  </w:pPr>
                  <w:r>
                    <w:rPr>
                      <w:rFonts w:hint="eastAsia" w:cs="Times New Roman"/>
                      <w:color w:val="0000FF"/>
                      <w:sz w:val="21"/>
                      <w:u w:val="none"/>
                      <w:lang w:val="en-US" w:eastAsia="zh-CN"/>
                    </w:rPr>
                    <w:t>运输车</w:t>
                  </w:r>
                </w:p>
              </w:tc>
              <w:tc>
                <w:tcPr>
                  <w:tcW w:w="1644" w:type="dxa"/>
                  <w:tcBorders>
                    <w:tl2br w:val="nil"/>
                    <w:tr2bl w:val="nil"/>
                  </w:tcBorders>
                  <w:vAlign w:val="center"/>
                </w:tcPr>
                <w:p w14:paraId="7CB469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FF"/>
                      <w:sz w:val="21"/>
                      <w:u w:val="none"/>
                      <w:lang w:val="en-US" w:eastAsia="zh-CN"/>
                    </w:rPr>
                  </w:pPr>
                  <w:r>
                    <w:rPr>
                      <w:rFonts w:hint="eastAsia" w:cs="Times New Roman"/>
                      <w:color w:val="0000FF"/>
                      <w:sz w:val="21"/>
                      <w:u w:val="none"/>
                      <w:lang w:val="en-US" w:eastAsia="zh-CN"/>
                    </w:rPr>
                    <w:t>30t</w:t>
                  </w:r>
                </w:p>
              </w:tc>
              <w:tc>
                <w:tcPr>
                  <w:tcW w:w="1644" w:type="dxa"/>
                  <w:tcBorders>
                    <w:tl2br w:val="nil"/>
                    <w:tr2bl w:val="nil"/>
                  </w:tcBorders>
                  <w:vAlign w:val="center"/>
                </w:tcPr>
                <w:p w14:paraId="741C9D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FF"/>
                      <w:sz w:val="21"/>
                      <w:vertAlign w:val="baseline"/>
                      <w:lang w:val="en-US" w:eastAsia="zh-CN"/>
                    </w:rPr>
                  </w:pPr>
                  <w:r>
                    <w:rPr>
                      <w:rFonts w:hint="eastAsia" w:cs="Times New Roman"/>
                      <w:color w:val="0000FF"/>
                      <w:sz w:val="21"/>
                      <w:vertAlign w:val="baseline"/>
                      <w:lang w:val="en-US" w:eastAsia="zh-CN"/>
                    </w:rPr>
                    <w:t>5辆</w:t>
                  </w:r>
                </w:p>
              </w:tc>
              <w:tc>
                <w:tcPr>
                  <w:tcW w:w="1644" w:type="dxa"/>
                  <w:tcBorders>
                    <w:tl2br w:val="nil"/>
                    <w:tr2bl w:val="nil"/>
                  </w:tcBorders>
                  <w:vAlign w:val="center"/>
                </w:tcPr>
                <w:p w14:paraId="464DBF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cs="Times New Roman"/>
                      <w:color w:val="0000FF"/>
                      <w:sz w:val="21"/>
                      <w:vertAlign w:val="baseline"/>
                      <w:lang w:val="en-US" w:eastAsia="zh-CN"/>
                    </w:rPr>
                  </w:pPr>
                  <w:r>
                    <w:rPr>
                      <w:rFonts w:hint="eastAsia" w:cs="Times New Roman"/>
                      <w:color w:val="0000FF"/>
                      <w:sz w:val="21"/>
                      <w:vertAlign w:val="baseline"/>
                      <w:lang w:val="en-US" w:eastAsia="zh-CN"/>
                    </w:rPr>
                    <w:t>物料运输</w:t>
                  </w:r>
                </w:p>
              </w:tc>
            </w:tr>
            <w:tr w14:paraId="38AEC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94" w:type="dxa"/>
                  <w:tcBorders>
                    <w:tl2br w:val="nil"/>
                    <w:tr2bl w:val="nil"/>
                  </w:tcBorders>
                  <w:vAlign w:val="center"/>
                </w:tcPr>
                <w:p w14:paraId="75D6FAC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cs="Times New Roman"/>
                      <w:color w:val="0000FF"/>
                      <w:sz w:val="21"/>
                      <w:lang w:val="en-US" w:eastAsia="zh-CN"/>
                    </w:rPr>
                  </w:pPr>
                  <w:r>
                    <w:rPr>
                      <w:rFonts w:hint="eastAsia" w:cs="Times New Roman"/>
                      <w:color w:val="0000FF"/>
                      <w:sz w:val="21"/>
                      <w:lang w:val="en-US" w:eastAsia="zh-CN"/>
                    </w:rPr>
                    <w:t>6</w:t>
                  </w:r>
                </w:p>
              </w:tc>
              <w:tc>
                <w:tcPr>
                  <w:tcW w:w="1644" w:type="dxa"/>
                  <w:tcBorders>
                    <w:tl2br w:val="nil"/>
                    <w:tr2bl w:val="nil"/>
                  </w:tcBorders>
                  <w:vAlign w:val="center"/>
                </w:tcPr>
                <w:p w14:paraId="02F10A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cs="Times New Roman"/>
                      <w:color w:val="0000FF"/>
                      <w:sz w:val="21"/>
                      <w:u w:val="none"/>
                      <w:lang w:val="en-US" w:eastAsia="zh-CN"/>
                    </w:rPr>
                  </w:pPr>
                  <w:r>
                    <w:rPr>
                      <w:rFonts w:hint="eastAsia" w:cs="Times New Roman"/>
                      <w:color w:val="0000FF"/>
                      <w:sz w:val="21"/>
                      <w:u w:val="none"/>
                      <w:lang w:val="en-US" w:eastAsia="zh-CN"/>
                    </w:rPr>
                    <w:t>雾炮机</w:t>
                  </w:r>
                </w:p>
              </w:tc>
              <w:tc>
                <w:tcPr>
                  <w:tcW w:w="1644" w:type="dxa"/>
                  <w:tcBorders>
                    <w:tl2br w:val="nil"/>
                    <w:tr2bl w:val="nil"/>
                  </w:tcBorders>
                  <w:vAlign w:val="center"/>
                </w:tcPr>
                <w:p w14:paraId="75CAB4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cs="Times New Roman"/>
                      <w:color w:val="0000FF"/>
                      <w:sz w:val="21"/>
                      <w:u w:val="none"/>
                      <w:lang w:val="en-US" w:eastAsia="zh-CN"/>
                    </w:rPr>
                  </w:pPr>
                  <w:r>
                    <w:rPr>
                      <w:rFonts w:hint="eastAsia" w:cs="Times New Roman"/>
                      <w:color w:val="0000FF"/>
                      <w:sz w:val="21"/>
                      <w:u w:val="none"/>
                      <w:lang w:val="en-US" w:eastAsia="zh-CN"/>
                    </w:rPr>
                    <w:t>BO-30</w:t>
                  </w:r>
                </w:p>
              </w:tc>
              <w:tc>
                <w:tcPr>
                  <w:tcW w:w="1644" w:type="dxa"/>
                  <w:tcBorders>
                    <w:tl2br w:val="nil"/>
                    <w:tr2bl w:val="nil"/>
                  </w:tcBorders>
                  <w:vAlign w:val="center"/>
                </w:tcPr>
                <w:p w14:paraId="6860F8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cs="Times New Roman"/>
                      <w:color w:val="0000FF"/>
                      <w:sz w:val="21"/>
                      <w:vertAlign w:val="baseline"/>
                      <w:lang w:val="en-US" w:eastAsia="zh-CN"/>
                    </w:rPr>
                  </w:pPr>
                  <w:r>
                    <w:rPr>
                      <w:rFonts w:hint="eastAsia" w:cs="Times New Roman"/>
                      <w:color w:val="0000FF"/>
                      <w:sz w:val="21"/>
                      <w:vertAlign w:val="baseline"/>
                      <w:lang w:val="en-US" w:eastAsia="zh-CN"/>
                    </w:rPr>
                    <w:t>4台</w:t>
                  </w:r>
                </w:p>
              </w:tc>
              <w:tc>
                <w:tcPr>
                  <w:tcW w:w="1644" w:type="dxa"/>
                  <w:tcBorders>
                    <w:tl2br w:val="nil"/>
                    <w:tr2bl w:val="nil"/>
                  </w:tcBorders>
                  <w:vAlign w:val="center"/>
                </w:tcPr>
                <w:p w14:paraId="1D87AF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cs="Times New Roman"/>
                      <w:color w:val="0000FF"/>
                      <w:sz w:val="21"/>
                      <w:vertAlign w:val="baseline"/>
                      <w:lang w:val="en-US" w:eastAsia="zh-CN"/>
                    </w:rPr>
                  </w:pPr>
                  <w:r>
                    <w:rPr>
                      <w:rFonts w:hint="eastAsia" w:cs="Times New Roman"/>
                      <w:color w:val="0000FF"/>
                      <w:sz w:val="21"/>
                      <w:vertAlign w:val="baseline"/>
                      <w:lang w:val="en-US" w:eastAsia="zh-CN"/>
                    </w:rPr>
                    <w:t>降尘</w:t>
                  </w:r>
                </w:p>
              </w:tc>
            </w:tr>
          </w:tbl>
          <w:p w14:paraId="5606A416">
            <w:pPr>
              <w:bidi w:val="0"/>
              <w:outlineLvl w:val="9"/>
              <w:rPr>
                <w:rFonts w:hint="default" w:ascii="Times New Roman" w:hAnsi="Times New Roman" w:cs="Times New Roman"/>
                <w:b/>
                <w:bCs/>
              </w:rPr>
            </w:pPr>
            <w:r>
              <w:rPr>
                <w:rFonts w:hint="default" w:ascii="Times New Roman" w:hAnsi="Times New Roman" w:cs="Times New Roman"/>
                <w:b/>
                <w:bCs/>
                <w:lang w:val="en-US" w:eastAsia="zh-CN"/>
              </w:rPr>
              <w:t>7</w:t>
            </w:r>
            <w:r>
              <w:rPr>
                <w:rFonts w:hint="default" w:ascii="Times New Roman" w:hAnsi="Times New Roman" w:cs="Times New Roman"/>
                <w:b/>
                <w:bCs/>
              </w:rPr>
              <w:t>、劳动定员及工作制度</w:t>
            </w:r>
          </w:p>
          <w:p w14:paraId="029CDB8E">
            <w:pPr>
              <w:pStyle w:val="9"/>
              <w:rPr>
                <w:rFonts w:hint="default" w:ascii="Times New Roman" w:hAnsi="Times New Roman" w:eastAsia="宋体" w:cs="Times New Roman"/>
                <w:sz w:val="24"/>
                <w:lang w:val="en-US" w:eastAsia="zh-CN"/>
              </w:rPr>
            </w:pPr>
            <w:r>
              <w:rPr>
                <w:rFonts w:hint="default" w:ascii="Times New Roman" w:hAnsi="Times New Roman" w:eastAsia="宋体" w:cs="Times New Roman"/>
                <w:sz w:val="24"/>
              </w:rPr>
              <w:t>本项目</w:t>
            </w:r>
            <w:r>
              <w:rPr>
                <w:rFonts w:hint="default" w:ascii="Times New Roman" w:hAnsi="Times New Roman" w:eastAsia="宋体" w:cs="Times New Roman"/>
                <w:sz w:val="24"/>
                <w:lang w:val="en-US" w:eastAsia="zh-CN"/>
              </w:rPr>
              <w:t>员工人数5人，年工作300天，每天工作8小时，员工不在厂区食宿。</w:t>
            </w:r>
          </w:p>
          <w:p w14:paraId="4A4B15FB">
            <w:pPr>
              <w:keepNext w:val="0"/>
              <w:keepLines w:val="0"/>
              <w:pageBreakBefore w:val="0"/>
              <w:kinsoku/>
              <w:wordWrap/>
              <w:overflowPunct/>
              <w:topLinePunct w:val="0"/>
              <w:autoSpaceDE/>
              <w:autoSpaceDN/>
              <w:bidi w:val="0"/>
              <w:ind w:firstLine="482" w:firstLineChars="200"/>
              <w:textAlignment w:val="auto"/>
              <w:outlineLvl w:val="9"/>
              <w:rPr>
                <w:rFonts w:hint="default" w:ascii="Times New Roman" w:hAnsi="Times New Roman" w:cs="Times New Roman"/>
                <w:b/>
                <w:bCs/>
                <w:lang w:val="en-US" w:eastAsia="zh-CN"/>
              </w:rPr>
            </w:pPr>
            <w:r>
              <w:rPr>
                <w:rFonts w:hint="default" w:ascii="Times New Roman" w:hAnsi="Times New Roman" w:cs="Times New Roman"/>
                <w:b/>
                <w:bCs/>
                <w:lang w:val="en-US" w:eastAsia="zh-CN"/>
              </w:rPr>
              <w:t>8</w:t>
            </w:r>
            <w:r>
              <w:rPr>
                <w:rFonts w:hint="default" w:ascii="Times New Roman" w:hAnsi="Times New Roman" w:cs="Times New Roman"/>
                <w:b/>
                <w:bCs/>
              </w:rPr>
              <w:t>、</w:t>
            </w:r>
            <w:r>
              <w:rPr>
                <w:rFonts w:hint="default" w:ascii="Times New Roman" w:hAnsi="Times New Roman" w:cs="Times New Roman"/>
                <w:b/>
                <w:bCs/>
                <w:lang w:val="en-US" w:eastAsia="zh-CN"/>
              </w:rPr>
              <w:t>公用工程</w:t>
            </w:r>
          </w:p>
          <w:p w14:paraId="7419BD8D">
            <w:pPr>
              <w:pStyle w:val="9"/>
              <w:keepNext w:val="0"/>
              <w:keepLines w:val="0"/>
              <w:pageBreakBefore w:val="0"/>
              <w:kinsoku/>
              <w:wordWrap/>
              <w:overflowPunct/>
              <w:topLinePunct w:val="0"/>
              <w:autoSpaceDE/>
              <w:autoSpaceDN/>
              <w:bidi w:val="0"/>
              <w:ind w:firstLine="482" w:firstLineChars="200"/>
              <w:textAlignment w:val="auto"/>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（1）给水系统</w:t>
            </w:r>
          </w:p>
          <w:p w14:paraId="58A94E72">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本项目用水环节主要为洒水降尘用水、出厂车辆清洗用水及生活用水。</w:t>
            </w:r>
            <w:r>
              <w:rPr>
                <w:rFonts w:hint="eastAsia" w:ascii="Times New Roman" w:hAnsi="Times New Roman" w:cs="Times New Roman"/>
                <w:sz w:val="24"/>
                <w:lang w:val="en-US" w:eastAsia="zh-CN"/>
              </w:rPr>
              <w:t xml:space="preserve">                                                                                                                                                                                                                                                                                                                                                                                                                                                                                                                                                                                                                                                                                                                                                                                                                                                                                                                                                                                                                                                                                                                                                                                                                                                                                                                                                                                                                                                                                                                                                                                                                                                                                                                                                                                                                                                                                                                                                                                                                                                                                                                                                                                                                                                                                                                                                                                                                                                                                                                                                                                                                                                                                                                                                                                                                                                                                                                                                                                                                                                                                                                                                                                                                                                                                                  </w:t>
            </w:r>
          </w:p>
          <w:p w14:paraId="322A733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①生活用水</w:t>
            </w:r>
          </w:p>
          <w:p w14:paraId="1A26C9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sz w:val="24"/>
                <w:lang w:val="en-US" w:eastAsia="zh-CN"/>
              </w:rPr>
              <w:t>本项目员工</w:t>
            </w:r>
            <w:r>
              <w:rPr>
                <w:rFonts w:hint="default" w:ascii="Times New Roman" w:hAnsi="Times New Roman" w:cs="Times New Roman"/>
                <w:sz w:val="24"/>
                <w:lang w:val="en-US" w:eastAsia="zh-CN"/>
              </w:rPr>
              <w:t>5</w:t>
            </w:r>
            <w:r>
              <w:rPr>
                <w:rFonts w:hint="default" w:ascii="Times New Roman" w:hAnsi="Times New Roman" w:eastAsia="宋体" w:cs="Times New Roman"/>
                <w:sz w:val="24"/>
                <w:lang w:val="en-US" w:eastAsia="zh-CN"/>
              </w:rPr>
              <w:t>人，均在厂区食宿。</w:t>
            </w:r>
            <w:r>
              <w:rPr>
                <w:rFonts w:hint="default" w:ascii="Times New Roman" w:hAnsi="Times New Roman" w:eastAsia="宋体" w:cs="Times New Roman"/>
                <w:b w:val="0"/>
                <w:bCs w:val="0"/>
                <w:sz w:val="24"/>
                <w:lang w:val="en-US" w:eastAsia="zh-CN"/>
              </w:rPr>
              <w:t>生活用水参照《云南省用水定额标准》（DB53/T/168-2019），结合实际情况，</w:t>
            </w:r>
            <w:r>
              <w:rPr>
                <w:rFonts w:hint="default" w:ascii="Times New Roman" w:hAnsi="Times New Roman" w:eastAsia="宋体" w:cs="Times New Roman"/>
                <w:sz w:val="24"/>
                <w:lang w:val="en-US" w:eastAsia="zh-CN"/>
              </w:rPr>
              <w:t>员工生活用水定额取100L/（人·d），</w:t>
            </w:r>
            <w:r>
              <w:rPr>
                <w:rFonts w:hint="default" w:ascii="Times New Roman" w:hAnsi="Times New Roman" w:eastAsia="宋体" w:cs="Times New Roman"/>
                <w:b w:val="0"/>
                <w:bCs w:val="0"/>
                <w:sz w:val="24"/>
                <w:lang w:val="en-US" w:eastAsia="zh-CN"/>
              </w:rPr>
              <w:t>则生活用水量为0.</w:t>
            </w:r>
            <w:r>
              <w:rPr>
                <w:rFonts w:hint="default" w:ascii="Times New Roman" w:hAnsi="Times New Roman" w:cs="Times New Roman"/>
                <w:b w:val="0"/>
                <w:bCs w:val="0"/>
                <w:sz w:val="24"/>
                <w:lang w:val="en-US" w:eastAsia="zh-CN"/>
              </w:rPr>
              <w:t>5</w:t>
            </w:r>
            <w:r>
              <w:rPr>
                <w:rFonts w:hint="default" w:ascii="Times New Roman" w:hAnsi="Times New Roman" w:eastAsia="宋体" w:cs="Times New Roman"/>
                <w:b w:val="0"/>
                <w:bCs w:val="0"/>
                <w:sz w:val="24"/>
                <w:lang w:val="en-US" w:eastAsia="zh-CN"/>
              </w:rPr>
              <w:t>m</w:t>
            </w:r>
            <w:r>
              <w:rPr>
                <w:rFonts w:hint="default" w:ascii="Times New Roman" w:hAnsi="Times New Roman" w:eastAsia="宋体" w:cs="Times New Roman"/>
                <w:b w:val="0"/>
                <w:bCs w:val="0"/>
                <w:sz w:val="24"/>
                <w:vertAlign w:val="superscript"/>
                <w:lang w:val="en-US" w:eastAsia="zh-CN"/>
              </w:rPr>
              <w:t>3</w:t>
            </w:r>
            <w:r>
              <w:rPr>
                <w:rFonts w:hint="default" w:ascii="Times New Roman" w:hAnsi="Times New Roman" w:eastAsia="宋体" w:cs="Times New Roman"/>
                <w:b w:val="0"/>
                <w:bCs w:val="0"/>
                <w:sz w:val="24"/>
                <w:lang w:val="en-US" w:eastAsia="zh-CN"/>
              </w:rPr>
              <w:t>/d（</w:t>
            </w:r>
            <w:r>
              <w:rPr>
                <w:rFonts w:hint="default" w:ascii="Times New Roman" w:hAnsi="Times New Roman" w:cs="Times New Roman"/>
                <w:b w:val="0"/>
                <w:bCs w:val="0"/>
                <w:sz w:val="24"/>
                <w:lang w:val="en-US" w:eastAsia="zh-CN"/>
              </w:rPr>
              <w:t>150</w:t>
            </w:r>
            <w:r>
              <w:rPr>
                <w:rFonts w:hint="default" w:ascii="Times New Roman" w:hAnsi="Times New Roman" w:eastAsia="宋体" w:cs="Times New Roman"/>
                <w:b w:val="0"/>
                <w:bCs w:val="0"/>
                <w:sz w:val="24"/>
                <w:lang w:val="en-US" w:eastAsia="zh-CN"/>
              </w:rPr>
              <w:t>m</w:t>
            </w:r>
            <w:r>
              <w:rPr>
                <w:rFonts w:hint="default" w:ascii="Times New Roman" w:hAnsi="Times New Roman" w:eastAsia="宋体" w:cs="Times New Roman"/>
                <w:b w:val="0"/>
                <w:bCs w:val="0"/>
                <w:sz w:val="24"/>
                <w:vertAlign w:val="superscript"/>
                <w:lang w:val="en-US" w:eastAsia="zh-CN"/>
              </w:rPr>
              <w:t>3</w:t>
            </w:r>
            <w:r>
              <w:rPr>
                <w:rFonts w:hint="default" w:ascii="Times New Roman" w:hAnsi="Times New Roman" w:eastAsia="宋体" w:cs="Times New Roman"/>
                <w:b w:val="0"/>
                <w:bCs w:val="0"/>
                <w:sz w:val="24"/>
                <w:lang w:val="en-US" w:eastAsia="zh-CN"/>
              </w:rPr>
              <w:t>/a）。</w:t>
            </w:r>
          </w:p>
          <w:p w14:paraId="481D78FB">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b/>
                <w:bCs/>
                <w:color w:val="auto"/>
                <w:sz w:val="24"/>
                <w:u w:val="none"/>
                <w:lang w:val="en-US" w:eastAsia="zh-CN"/>
              </w:rPr>
              <w:t>②洒水降尘用水</w:t>
            </w:r>
          </w:p>
          <w:p w14:paraId="33FACD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pacing w:val="11"/>
                <w:sz w:val="24"/>
                <w:u w:val="none"/>
                <w:vertAlign w:val="baseline"/>
                <w:lang w:val="en-US" w:eastAsia="zh-CN"/>
              </w:rPr>
            </w:pPr>
            <w:r>
              <w:rPr>
                <w:rFonts w:hint="default" w:ascii="Times New Roman" w:hAnsi="Times New Roman" w:eastAsia="宋体" w:cs="Times New Roman"/>
                <w:color w:val="auto"/>
                <w:sz w:val="24"/>
                <w:szCs w:val="24"/>
                <w:highlight w:val="none"/>
                <w:u w:val="none"/>
                <w:lang w:val="en-US" w:eastAsia="zh-CN"/>
              </w:rPr>
              <w:t>本项目对场区进行洒水降尘，</w:t>
            </w:r>
            <w:r>
              <w:rPr>
                <w:rFonts w:hint="eastAsia" w:cs="Times New Roman"/>
                <w:color w:val="auto"/>
                <w:sz w:val="24"/>
                <w:szCs w:val="24"/>
                <w:highlight w:val="none"/>
                <w:u w:val="none"/>
                <w:lang w:val="en-US" w:eastAsia="zh-CN"/>
              </w:rPr>
              <w:t>堆煤场地</w:t>
            </w:r>
            <w:r>
              <w:rPr>
                <w:rFonts w:hint="default" w:ascii="Times New Roman" w:hAnsi="Times New Roman" w:eastAsia="宋体" w:cs="Times New Roman"/>
                <w:color w:val="auto"/>
                <w:sz w:val="24"/>
                <w:szCs w:val="24"/>
                <w:highlight w:val="none"/>
                <w:u w:val="none"/>
                <w:lang w:val="en-US" w:eastAsia="zh-CN"/>
              </w:rPr>
              <w:t>洒水面积按照</w:t>
            </w:r>
            <w:r>
              <w:rPr>
                <w:rFonts w:hint="eastAsia" w:cs="Times New Roman"/>
                <w:color w:val="0000FF"/>
                <w:sz w:val="24"/>
                <w:szCs w:val="24"/>
                <w:highlight w:val="none"/>
                <w:u w:val="none"/>
                <w:lang w:val="en-US" w:eastAsia="zh-CN"/>
              </w:rPr>
              <w:t>扣除排水管</w:t>
            </w:r>
            <w:r>
              <w:rPr>
                <w:rFonts w:hint="default" w:ascii="Times New Roman" w:hAnsi="Times New Roman" w:cs="Times New Roman"/>
                <w:color w:val="0000FF"/>
                <w:sz w:val="24"/>
                <w:szCs w:val="24"/>
                <w:highlight w:val="none"/>
                <w:u w:val="none"/>
                <w:lang w:val="en-US" w:eastAsia="zh-CN"/>
              </w:rPr>
              <w:t>、</w:t>
            </w:r>
            <w:r>
              <w:rPr>
                <w:rFonts w:hint="eastAsia" w:cs="Times New Roman"/>
                <w:color w:val="0000FF"/>
                <w:sz w:val="24"/>
                <w:szCs w:val="24"/>
                <w:highlight w:val="none"/>
                <w:u w:val="none"/>
                <w:lang w:val="en-US" w:eastAsia="zh-CN"/>
              </w:rPr>
              <w:t>雨水收集沟、</w:t>
            </w:r>
            <w:r>
              <w:rPr>
                <w:rFonts w:hint="default" w:ascii="Times New Roman" w:hAnsi="Times New Roman" w:cs="Times New Roman"/>
                <w:color w:val="0000FF"/>
                <w:sz w:val="24"/>
                <w:szCs w:val="24"/>
                <w:highlight w:val="none"/>
                <w:u w:val="none"/>
                <w:lang w:val="en-US" w:eastAsia="zh-CN"/>
              </w:rPr>
              <w:t>晾晒厂房、储煤仓库、泵房等区域面积</w:t>
            </w:r>
            <w:r>
              <w:rPr>
                <w:rFonts w:hint="eastAsia" w:cs="Times New Roman"/>
                <w:color w:val="0000FF"/>
                <w:sz w:val="24"/>
                <w:szCs w:val="24"/>
                <w:highlight w:val="none"/>
                <w:u w:val="none"/>
                <w:lang w:val="en-US" w:eastAsia="zh-CN"/>
              </w:rPr>
              <w:t>以外；其中，项目一体化污水处理设备处理的生活废水回用于生活区洒水降尘，雨水收集池收集的初期雨水回用于项目场内道路及裸露地表的洒水降尘；</w:t>
            </w:r>
            <w:r>
              <w:rPr>
                <w:rFonts w:hint="default" w:ascii="Times New Roman" w:hAnsi="Times New Roman" w:cs="Times New Roman"/>
                <w:color w:val="auto"/>
                <w:sz w:val="24"/>
                <w:szCs w:val="24"/>
                <w:highlight w:val="none"/>
                <w:u w:val="none"/>
                <w:lang w:val="en-US" w:eastAsia="zh-CN"/>
              </w:rPr>
              <w:t>则</w:t>
            </w:r>
            <w:r>
              <w:rPr>
                <w:rFonts w:hint="eastAsia" w:cs="Times New Roman"/>
                <w:color w:val="0000FF"/>
                <w:sz w:val="24"/>
                <w:szCs w:val="24"/>
                <w:highlight w:val="none"/>
                <w:u w:val="none"/>
                <w:lang w:val="en-US" w:eastAsia="zh-CN"/>
              </w:rPr>
              <w:t>项目场内道路及裸露地表</w:t>
            </w:r>
            <w:r>
              <w:rPr>
                <w:rFonts w:hint="default" w:ascii="Times New Roman" w:hAnsi="Times New Roman" w:cs="Times New Roman"/>
                <w:color w:val="0000FF"/>
                <w:sz w:val="24"/>
                <w:szCs w:val="24"/>
                <w:highlight w:val="none"/>
                <w:u w:val="none"/>
                <w:lang w:val="en-US" w:eastAsia="zh-CN"/>
              </w:rPr>
              <w:t>面积约为54</w:t>
            </w:r>
            <w:r>
              <w:rPr>
                <w:rFonts w:hint="eastAsia" w:cs="Times New Roman"/>
                <w:color w:val="0000FF"/>
                <w:sz w:val="24"/>
                <w:szCs w:val="24"/>
                <w:highlight w:val="none"/>
                <w:u w:val="none"/>
                <w:lang w:val="en-US" w:eastAsia="zh-CN"/>
              </w:rPr>
              <w:t>743</w:t>
            </w:r>
            <w:r>
              <w:rPr>
                <w:rFonts w:hint="default" w:ascii="Times New Roman" w:hAnsi="Times New Roman" w:cs="Times New Roman"/>
                <w:color w:val="0000FF"/>
                <w:sz w:val="24"/>
                <w:szCs w:val="24"/>
                <w:highlight w:val="none"/>
                <w:u w:val="none"/>
                <w:lang w:val="en-US" w:eastAsia="zh-CN"/>
              </w:rPr>
              <w:t>m</w:t>
            </w:r>
            <w:r>
              <w:rPr>
                <w:rFonts w:hint="default" w:ascii="Times New Roman" w:hAnsi="Times New Roman" w:cs="Times New Roman"/>
                <w:color w:val="0000FF"/>
                <w:sz w:val="24"/>
                <w:szCs w:val="24"/>
                <w:highlight w:val="none"/>
                <w:u w:val="none"/>
                <w:vertAlign w:val="superscript"/>
                <w:lang w:val="en-US" w:eastAsia="zh-CN"/>
              </w:rPr>
              <w:t>2</w:t>
            </w:r>
            <w:r>
              <w:rPr>
                <w:rFonts w:hint="eastAsia" w:cs="Times New Roman"/>
                <w:color w:val="auto"/>
                <w:sz w:val="24"/>
                <w:szCs w:val="24"/>
                <w:highlight w:val="none"/>
                <w:u w:val="none"/>
                <w:vertAlign w:val="baseline"/>
                <w:lang w:val="en-US" w:eastAsia="zh-CN"/>
              </w:rPr>
              <w:t>；</w:t>
            </w:r>
            <w:r>
              <w:rPr>
                <w:rFonts w:hint="eastAsia" w:cs="Times New Roman"/>
                <w:color w:val="0000FF"/>
                <w:sz w:val="24"/>
                <w:szCs w:val="24"/>
                <w:highlight w:val="none"/>
                <w:u w:val="none"/>
                <w:vertAlign w:val="baseline"/>
                <w:lang w:val="en-US" w:eastAsia="zh-CN"/>
              </w:rPr>
              <w:t>生活区需洒水降尘空地面积约为924</w:t>
            </w:r>
            <w:r>
              <w:rPr>
                <w:rFonts w:hint="default" w:ascii="Times New Roman" w:hAnsi="Times New Roman" w:cs="Times New Roman"/>
                <w:color w:val="0000FF"/>
                <w:sz w:val="24"/>
                <w:szCs w:val="24"/>
                <w:highlight w:val="none"/>
                <w:u w:val="none"/>
                <w:lang w:val="en-US" w:eastAsia="zh-CN"/>
              </w:rPr>
              <w:t>m</w:t>
            </w:r>
            <w:r>
              <w:rPr>
                <w:rFonts w:hint="default" w:ascii="Times New Roman" w:hAnsi="Times New Roman" w:cs="Times New Roman"/>
                <w:color w:val="0000FF"/>
                <w:sz w:val="24"/>
                <w:szCs w:val="24"/>
                <w:highlight w:val="none"/>
                <w:u w:val="none"/>
                <w:vertAlign w:val="superscript"/>
                <w:lang w:val="en-US" w:eastAsia="zh-CN"/>
              </w:rPr>
              <w:t>2</w:t>
            </w:r>
            <w:r>
              <w:rPr>
                <w:rFonts w:hint="eastAsia" w:cs="Times New Roman"/>
                <w:color w:val="0000FF"/>
                <w:sz w:val="24"/>
                <w:szCs w:val="24"/>
                <w:highlight w:val="none"/>
                <w:u w:val="none"/>
                <w:vertAlign w:val="baseline"/>
                <w:lang w:val="en-US" w:eastAsia="zh-CN"/>
              </w:rPr>
              <w:t>；</w:t>
            </w:r>
            <w:r>
              <w:rPr>
                <w:rFonts w:hint="default" w:ascii="Times New Roman" w:hAnsi="Times New Roman" w:eastAsia="宋体" w:cs="Times New Roman"/>
                <w:color w:val="0000FF"/>
                <w:sz w:val="24"/>
                <w:szCs w:val="24"/>
                <w:highlight w:val="none"/>
                <w:u w:val="none"/>
                <w:lang w:val="en-US" w:eastAsia="zh-CN"/>
              </w:rPr>
              <w:t>根据</w:t>
            </w:r>
            <w:r>
              <w:rPr>
                <w:rFonts w:hint="default" w:ascii="Times New Roman" w:hAnsi="Times New Roman" w:eastAsia="宋体" w:cs="Times New Roman"/>
                <w:b w:val="0"/>
                <w:bCs w:val="0"/>
                <w:color w:val="0000FF"/>
                <w:sz w:val="24"/>
                <w:szCs w:val="24"/>
                <w:highlight w:val="none"/>
                <w:u w:val="none"/>
              </w:rPr>
              <w:t>《云南省地方标准</w:t>
            </w:r>
            <w:r>
              <w:rPr>
                <w:rFonts w:hint="default" w:ascii="Times New Roman" w:hAnsi="Times New Roman" w:eastAsia="宋体" w:cs="Times New Roman"/>
                <w:b w:val="0"/>
                <w:bCs w:val="0"/>
                <w:color w:val="0000FF"/>
                <w:sz w:val="24"/>
                <w:szCs w:val="24"/>
                <w:highlight w:val="none"/>
                <w:u w:val="none"/>
                <w:lang w:val="en-US" w:eastAsia="zh-CN"/>
              </w:rPr>
              <w:t>-</w:t>
            </w:r>
            <w:r>
              <w:rPr>
                <w:rFonts w:hint="default" w:ascii="Times New Roman" w:hAnsi="Times New Roman" w:eastAsia="宋体" w:cs="Times New Roman"/>
                <w:b w:val="0"/>
                <w:bCs w:val="0"/>
                <w:color w:val="0000FF"/>
                <w:sz w:val="24"/>
                <w:szCs w:val="24"/>
                <w:highlight w:val="none"/>
                <w:u w:val="none"/>
              </w:rPr>
              <w:t>用水定额》（DB53/T 168</w:t>
            </w:r>
            <w:r>
              <w:rPr>
                <w:rFonts w:hint="default" w:ascii="Times New Roman" w:hAnsi="Times New Roman" w:eastAsia="宋体" w:cs="Times New Roman"/>
                <w:b w:val="0"/>
                <w:bCs w:val="0"/>
                <w:color w:val="0000FF"/>
                <w:sz w:val="24"/>
                <w:szCs w:val="24"/>
                <w:highlight w:val="none"/>
                <w:u w:val="none"/>
                <w:lang w:val="en-US" w:eastAsia="zh-CN"/>
              </w:rPr>
              <w:t>-</w:t>
            </w:r>
            <w:r>
              <w:rPr>
                <w:rFonts w:hint="default" w:ascii="Times New Roman" w:hAnsi="Times New Roman" w:eastAsia="宋体" w:cs="Times New Roman"/>
                <w:b w:val="0"/>
                <w:bCs w:val="0"/>
                <w:color w:val="0000FF"/>
                <w:sz w:val="24"/>
                <w:szCs w:val="24"/>
                <w:highlight w:val="none"/>
                <w:u w:val="none"/>
              </w:rPr>
              <w:t>2019）</w:t>
            </w:r>
            <w:r>
              <w:rPr>
                <w:rFonts w:hint="default" w:ascii="Times New Roman" w:hAnsi="Times New Roman" w:eastAsia="宋体" w:cs="Times New Roman"/>
                <w:b w:val="0"/>
                <w:bCs w:val="0"/>
                <w:color w:val="0000FF"/>
                <w:sz w:val="24"/>
                <w:szCs w:val="24"/>
                <w:highlight w:val="none"/>
                <w:u w:val="none"/>
                <w:lang w:eastAsia="zh-CN"/>
              </w:rPr>
              <w:t>，</w:t>
            </w:r>
            <w:r>
              <w:rPr>
                <w:rFonts w:hint="default" w:ascii="Times New Roman" w:hAnsi="Times New Roman" w:eastAsia="宋体" w:cs="Times New Roman"/>
                <w:b w:val="0"/>
                <w:bCs w:val="0"/>
                <w:color w:val="0000FF"/>
                <w:sz w:val="24"/>
                <w:szCs w:val="24"/>
                <w:highlight w:val="none"/>
                <w:u w:val="none"/>
                <w:lang w:val="en-US" w:eastAsia="zh-CN"/>
              </w:rPr>
              <w:t>用水量按2</w:t>
            </w:r>
            <w:r>
              <w:rPr>
                <w:rFonts w:hint="default" w:ascii="Times New Roman" w:hAnsi="Times New Roman" w:eastAsia="宋体" w:cs="Times New Roman"/>
                <w:color w:val="0000FF"/>
                <w:sz w:val="24"/>
                <w:szCs w:val="24"/>
                <w:highlight w:val="none"/>
                <w:u w:val="none"/>
                <w:lang w:val="en-US" w:eastAsia="zh-CN"/>
              </w:rPr>
              <w:t>L/m</w:t>
            </w:r>
            <w:r>
              <w:rPr>
                <w:rFonts w:hint="default" w:ascii="Times New Roman" w:hAnsi="Times New Roman" w:eastAsia="宋体" w:cs="Times New Roman"/>
                <w:color w:val="0000FF"/>
                <w:sz w:val="24"/>
                <w:szCs w:val="24"/>
                <w:highlight w:val="none"/>
                <w:u w:val="none"/>
                <w:vertAlign w:val="superscript"/>
                <w:lang w:val="en-US" w:eastAsia="zh-CN"/>
              </w:rPr>
              <w:t>2</w:t>
            </w:r>
            <w:r>
              <w:rPr>
                <w:rFonts w:hint="default" w:ascii="Times New Roman" w:hAnsi="Times New Roman" w:eastAsia="宋体" w:cs="Times New Roman"/>
                <w:color w:val="0000FF"/>
                <w:sz w:val="24"/>
                <w:szCs w:val="24"/>
                <w:highlight w:val="none"/>
                <w:u w:val="none"/>
                <w:lang w:val="en-US" w:eastAsia="zh-CN"/>
              </w:rPr>
              <w:t>·次计，</w:t>
            </w:r>
            <w:r>
              <w:rPr>
                <w:rFonts w:hint="eastAsia" w:cs="Times New Roman"/>
                <w:color w:val="0000FF"/>
                <w:sz w:val="24"/>
                <w:szCs w:val="24"/>
                <w:highlight w:val="none"/>
                <w:u w:val="none"/>
                <w:lang w:val="en-US" w:eastAsia="zh-CN"/>
              </w:rPr>
              <w:t>晴天</w:t>
            </w:r>
            <w:r>
              <w:rPr>
                <w:rFonts w:hint="default" w:ascii="Times New Roman" w:hAnsi="Times New Roman" w:eastAsia="宋体" w:cs="Times New Roman"/>
                <w:color w:val="0000FF"/>
                <w:sz w:val="24"/>
                <w:szCs w:val="24"/>
                <w:highlight w:val="none"/>
                <w:u w:val="none"/>
                <w:lang w:val="en-US" w:eastAsia="zh-CN"/>
              </w:rPr>
              <w:t>每天洒水</w:t>
            </w:r>
            <w:r>
              <w:rPr>
                <w:rFonts w:hint="eastAsia" w:cs="Times New Roman"/>
                <w:color w:val="0000FF"/>
                <w:sz w:val="24"/>
                <w:szCs w:val="24"/>
                <w:highlight w:val="none"/>
                <w:u w:val="none"/>
                <w:lang w:val="en-US" w:eastAsia="zh-CN"/>
              </w:rPr>
              <w:t>2</w:t>
            </w:r>
            <w:r>
              <w:rPr>
                <w:rFonts w:hint="default" w:ascii="Times New Roman" w:hAnsi="Times New Roman" w:eastAsia="宋体" w:cs="Times New Roman"/>
                <w:color w:val="0000FF"/>
                <w:sz w:val="24"/>
                <w:szCs w:val="24"/>
                <w:highlight w:val="none"/>
                <w:u w:val="none"/>
                <w:lang w:val="en-US" w:eastAsia="zh-CN"/>
              </w:rPr>
              <w:t>次，</w:t>
            </w:r>
            <w:r>
              <w:rPr>
                <w:rFonts w:hint="default" w:ascii="Times New Roman" w:hAnsi="Times New Roman" w:eastAsia="宋体" w:cs="Times New Roman"/>
                <w:b w:val="0"/>
                <w:bCs w:val="0"/>
                <w:color w:val="0000FF"/>
                <w:sz w:val="24"/>
                <w:szCs w:val="24"/>
                <w:highlight w:val="none"/>
                <w:u w:val="none"/>
                <w:lang w:val="en-US" w:eastAsia="zh-CN"/>
              </w:rPr>
              <w:t>项目区非雨天按照200天计算</w:t>
            </w:r>
            <w:r>
              <w:rPr>
                <w:rFonts w:hint="default" w:ascii="Times New Roman" w:hAnsi="Times New Roman" w:cs="Times New Roman"/>
                <w:b w:val="0"/>
                <w:bCs w:val="0"/>
                <w:color w:val="0000FF"/>
                <w:sz w:val="24"/>
                <w:szCs w:val="24"/>
                <w:highlight w:val="none"/>
                <w:u w:val="none"/>
                <w:lang w:val="en-US" w:eastAsia="zh-CN"/>
              </w:rPr>
              <w:t>，</w:t>
            </w:r>
            <w:r>
              <w:rPr>
                <w:rFonts w:hint="default" w:ascii="Times New Roman" w:hAnsi="Times New Roman" w:eastAsia="宋体" w:cs="Times New Roman"/>
                <w:color w:val="0000FF"/>
                <w:sz w:val="24"/>
                <w:szCs w:val="24"/>
                <w:highlight w:val="none"/>
                <w:u w:val="none"/>
                <w:vertAlign w:val="baseline"/>
                <w:lang w:val="en-US" w:eastAsia="zh-CN"/>
              </w:rPr>
              <w:t>则</w:t>
            </w:r>
            <w:r>
              <w:rPr>
                <w:rFonts w:hint="eastAsia" w:cs="Times New Roman"/>
                <w:color w:val="0000FF"/>
                <w:sz w:val="24"/>
                <w:szCs w:val="24"/>
                <w:highlight w:val="none"/>
                <w:u w:val="none"/>
                <w:lang w:val="en-US" w:eastAsia="zh-CN"/>
              </w:rPr>
              <w:t>项目场内道路及裸露地表</w:t>
            </w:r>
            <w:r>
              <w:rPr>
                <w:rFonts w:hint="default" w:ascii="Times New Roman" w:hAnsi="Times New Roman" w:eastAsia="宋体" w:cs="Times New Roman"/>
                <w:color w:val="0000FF"/>
                <w:sz w:val="24"/>
                <w:szCs w:val="24"/>
                <w:highlight w:val="none"/>
                <w:u w:val="none"/>
                <w:vertAlign w:val="baseline"/>
                <w:lang w:val="en-US" w:eastAsia="zh-CN"/>
              </w:rPr>
              <w:t>洒水降尘用水量为</w:t>
            </w:r>
            <w:r>
              <w:rPr>
                <w:rFonts w:hint="eastAsia" w:cs="Times New Roman"/>
                <w:color w:val="0000FF"/>
                <w:sz w:val="24"/>
                <w:szCs w:val="24"/>
                <w:highlight w:val="none"/>
                <w:u w:val="none"/>
                <w:vertAlign w:val="baseline"/>
                <w:lang w:val="en-US" w:eastAsia="zh-CN"/>
              </w:rPr>
              <w:t>437.944</w:t>
            </w:r>
            <w:r>
              <w:rPr>
                <w:rFonts w:hint="default" w:ascii="Times New Roman" w:hAnsi="Times New Roman" w:eastAsia="宋体" w:cs="Times New Roman"/>
                <w:b w:val="0"/>
                <w:bCs w:val="0"/>
                <w:color w:val="0000FF"/>
                <w:sz w:val="24"/>
                <w:u w:val="none"/>
                <w:lang w:val="en-US" w:eastAsia="zh-CN"/>
              </w:rPr>
              <w:t>m</w:t>
            </w:r>
            <w:r>
              <w:rPr>
                <w:rFonts w:hint="default" w:ascii="Times New Roman" w:hAnsi="Times New Roman" w:eastAsia="宋体" w:cs="Times New Roman"/>
                <w:b w:val="0"/>
                <w:bCs w:val="0"/>
                <w:color w:val="0000FF"/>
                <w:sz w:val="24"/>
                <w:u w:val="none"/>
                <w:vertAlign w:val="superscript"/>
                <w:lang w:val="en-US" w:eastAsia="zh-CN"/>
              </w:rPr>
              <w:t>3</w:t>
            </w:r>
            <w:r>
              <w:rPr>
                <w:rFonts w:hint="default" w:ascii="Times New Roman" w:hAnsi="Times New Roman" w:eastAsia="宋体" w:cs="Times New Roman"/>
                <w:b w:val="0"/>
                <w:bCs w:val="0"/>
                <w:color w:val="0000FF"/>
                <w:sz w:val="24"/>
                <w:u w:val="none"/>
                <w:lang w:val="en-US" w:eastAsia="zh-CN"/>
              </w:rPr>
              <w:t>/d（</w:t>
            </w:r>
            <w:r>
              <w:rPr>
                <w:rFonts w:hint="eastAsia" w:cs="Times New Roman"/>
                <w:b w:val="0"/>
                <w:bCs w:val="0"/>
                <w:color w:val="0000FF"/>
                <w:sz w:val="24"/>
                <w:u w:val="none"/>
                <w:lang w:val="en-US" w:eastAsia="zh-CN"/>
              </w:rPr>
              <w:t>87588.8</w:t>
            </w:r>
            <w:r>
              <w:rPr>
                <w:rFonts w:hint="default" w:ascii="Times New Roman" w:hAnsi="Times New Roman" w:eastAsia="宋体" w:cs="Times New Roman"/>
                <w:b w:val="0"/>
                <w:bCs w:val="0"/>
                <w:color w:val="0000FF"/>
                <w:sz w:val="24"/>
                <w:u w:val="none"/>
                <w:lang w:val="en-US" w:eastAsia="zh-CN"/>
              </w:rPr>
              <w:t>m</w:t>
            </w:r>
            <w:r>
              <w:rPr>
                <w:rFonts w:hint="default" w:ascii="Times New Roman" w:hAnsi="Times New Roman" w:eastAsia="宋体" w:cs="Times New Roman"/>
                <w:b w:val="0"/>
                <w:bCs w:val="0"/>
                <w:color w:val="0000FF"/>
                <w:sz w:val="24"/>
                <w:u w:val="none"/>
                <w:vertAlign w:val="superscript"/>
                <w:lang w:val="en-US" w:eastAsia="zh-CN"/>
              </w:rPr>
              <w:t>3</w:t>
            </w:r>
            <w:r>
              <w:rPr>
                <w:rFonts w:hint="default" w:ascii="Times New Roman" w:hAnsi="Times New Roman" w:eastAsia="宋体" w:cs="Times New Roman"/>
                <w:b w:val="0"/>
                <w:bCs w:val="0"/>
                <w:color w:val="0000FF"/>
                <w:sz w:val="24"/>
                <w:u w:val="none"/>
                <w:lang w:val="en-US" w:eastAsia="zh-CN"/>
              </w:rPr>
              <w:t>/a）</w:t>
            </w:r>
            <w:r>
              <w:rPr>
                <w:rFonts w:hint="eastAsia" w:cs="Times New Roman"/>
                <w:b w:val="0"/>
                <w:bCs w:val="0"/>
                <w:color w:val="0000FF"/>
                <w:sz w:val="24"/>
                <w:u w:val="none"/>
                <w:lang w:val="en-US" w:eastAsia="zh-CN"/>
              </w:rPr>
              <w:t>；</w:t>
            </w:r>
            <w:r>
              <w:rPr>
                <w:rFonts w:hint="eastAsia" w:cs="Times New Roman"/>
                <w:color w:val="0000FF"/>
                <w:sz w:val="24"/>
                <w:szCs w:val="24"/>
                <w:highlight w:val="none"/>
                <w:u w:val="none"/>
                <w:lang w:val="en-US" w:eastAsia="zh-CN"/>
              </w:rPr>
              <w:t>生活区</w:t>
            </w:r>
            <w:r>
              <w:rPr>
                <w:rFonts w:hint="default" w:ascii="Times New Roman" w:hAnsi="Times New Roman" w:eastAsia="宋体" w:cs="Times New Roman"/>
                <w:color w:val="0000FF"/>
                <w:sz w:val="24"/>
                <w:szCs w:val="24"/>
                <w:highlight w:val="none"/>
                <w:u w:val="none"/>
                <w:vertAlign w:val="baseline"/>
                <w:lang w:val="en-US" w:eastAsia="zh-CN"/>
              </w:rPr>
              <w:t>洒水降尘用水量为</w:t>
            </w:r>
            <w:r>
              <w:rPr>
                <w:rFonts w:hint="eastAsia" w:cs="Times New Roman"/>
                <w:color w:val="0000FF"/>
                <w:sz w:val="24"/>
                <w:szCs w:val="24"/>
                <w:highlight w:val="none"/>
                <w:u w:val="none"/>
                <w:vertAlign w:val="baseline"/>
                <w:lang w:val="en-US" w:eastAsia="zh-CN"/>
              </w:rPr>
              <w:t>3.696</w:t>
            </w:r>
            <w:r>
              <w:rPr>
                <w:rFonts w:hint="default" w:ascii="Times New Roman" w:hAnsi="Times New Roman" w:eastAsia="宋体" w:cs="Times New Roman"/>
                <w:b w:val="0"/>
                <w:bCs w:val="0"/>
                <w:color w:val="0000FF"/>
                <w:sz w:val="24"/>
                <w:u w:val="none"/>
                <w:lang w:val="en-US" w:eastAsia="zh-CN"/>
              </w:rPr>
              <w:t>m</w:t>
            </w:r>
            <w:r>
              <w:rPr>
                <w:rFonts w:hint="default" w:ascii="Times New Roman" w:hAnsi="Times New Roman" w:eastAsia="宋体" w:cs="Times New Roman"/>
                <w:b w:val="0"/>
                <w:bCs w:val="0"/>
                <w:color w:val="0000FF"/>
                <w:sz w:val="24"/>
                <w:u w:val="none"/>
                <w:vertAlign w:val="superscript"/>
                <w:lang w:val="en-US" w:eastAsia="zh-CN"/>
              </w:rPr>
              <w:t>3</w:t>
            </w:r>
            <w:r>
              <w:rPr>
                <w:rFonts w:hint="default" w:ascii="Times New Roman" w:hAnsi="Times New Roman" w:eastAsia="宋体" w:cs="Times New Roman"/>
                <w:b w:val="0"/>
                <w:bCs w:val="0"/>
                <w:color w:val="0000FF"/>
                <w:sz w:val="24"/>
                <w:u w:val="none"/>
                <w:lang w:val="en-US" w:eastAsia="zh-CN"/>
              </w:rPr>
              <w:t>/d（</w:t>
            </w:r>
            <w:r>
              <w:rPr>
                <w:rFonts w:hint="eastAsia" w:cs="Times New Roman"/>
                <w:b w:val="0"/>
                <w:bCs w:val="0"/>
                <w:color w:val="0000FF"/>
                <w:sz w:val="24"/>
                <w:u w:val="none"/>
                <w:lang w:val="en-US" w:eastAsia="zh-CN"/>
              </w:rPr>
              <w:t>739.2</w:t>
            </w:r>
            <w:r>
              <w:rPr>
                <w:rFonts w:hint="default" w:ascii="Times New Roman" w:hAnsi="Times New Roman" w:eastAsia="宋体" w:cs="Times New Roman"/>
                <w:b w:val="0"/>
                <w:bCs w:val="0"/>
                <w:color w:val="0000FF"/>
                <w:sz w:val="24"/>
                <w:u w:val="none"/>
                <w:lang w:val="en-US" w:eastAsia="zh-CN"/>
              </w:rPr>
              <w:t>m</w:t>
            </w:r>
            <w:r>
              <w:rPr>
                <w:rFonts w:hint="default" w:ascii="Times New Roman" w:hAnsi="Times New Roman" w:eastAsia="宋体" w:cs="Times New Roman"/>
                <w:b w:val="0"/>
                <w:bCs w:val="0"/>
                <w:color w:val="0000FF"/>
                <w:sz w:val="24"/>
                <w:u w:val="none"/>
                <w:vertAlign w:val="superscript"/>
                <w:lang w:val="en-US" w:eastAsia="zh-CN"/>
              </w:rPr>
              <w:t>3</w:t>
            </w:r>
            <w:r>
              <w:rPr>
                <w:rFonts w:hint="default" w:ascii="Times New Roman" w:hAnsi="Times New Roman" w:eastAsia="宋体" w:cs="Times New Roman"/>
                <w:b w:val="0"/>
                <w:bCs w:val="0"/>
                <w:color w:val="0000FF"/>
                <w:sz w:val="24"/>
                <w:u w:val="none"/>
                <w:lang w:val="en-US" w:eastAsia="zh-CN"/>
              </w:rPr>
              <w:t>/a）。</w:t>
            </w:r>
            <w:r>
              <w:rPr>
                <w:rFonts w:hint="default" w:ascii="Times New Roman" w:hAnsi="Times New Roman" w:eastAsia="宋体" w:cs="Times New Roman"/>
                <w:b w:val="0"/>
                <w:bCs w:val="0"/>
                <w:color w:val="auto"/>
                <w:sz w:val="24"/>
                <w:u w:val="none"/>
                <w:lang w:val="en-US" w:eastAsia="zh-CN"/>
              </w:rPr>
              <w:t>洒水降尘用水全部蒸发，无废水产生。</w:t>
            </w:r>
          </w:p>
          <w:p w14:paraId="1303DD05">
            <w:pPr>
              <w:pStyle w:val="3"/>
              <w:keepNext w:val="0"/>
              <w:keepLines w:val="0"/>
              <w:pageBreakBefore w:val="0"/>
              <w:widowControl w:val="0"/>
              <w:kinsoku/>
              <w:wordWrap/>
              <w:overflowPunct/>
              <w:topLinePunct w:val="0"/>
              <w:autoSpaceDE/>
              <w:autoSpaceDN/>
              <w:bidi w:val="0"/>
              <w:adjustRightInd/>
              <w:snapToGrid/>
              <w:spacing w:line="360" w:lineRule="auto"/>
              <w:ind w:firstLine="526" w:firstLineChars="200"/>
              <w:textAlignment w:val="auto"/>
              <w:rPr>
                <w:rFonts w:hint="default" w:ascii="Times New Roman" w:hAnsi="Times New Roman" w:eastAsia="宋体" w:cs="Times New Roman"/>
                <w:b/>
                <w:bCs/>
                <w:spacing w:val="11"/>
                <w:sz w:val="24"/>
                <w:lang w:val="en-US" w:eastAsia="zh-CN"/>
              </w:rPr>
            </w:pPr>
            <w:r>
              <w:rPr>
                <w:rFonts w:hint="default" w:ascii="Times New Roman" w:hAnsi="Times New Roman" w:eastAsia="宋体" w:cs="Times New Roman"/>
                <w:b/>
                <w:bCs/>
                <w:spacing w:val="11"/>
                <w:sz w:val="24"/>
                <w:lang w:val="en-US" w:eastAsia="zh-CN"/>
              </w:rPr>
              <w:t>③车辆冲洗用水</w:t>
            </w:r>
          </w:p>
          <w:p w14:paraId="100A02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sz w:val="24"/>
                <w:lang w:val="en-US" w:eastAsia="zh-CN"/>
              </w:rPr>
            </w:pPr>
            <w:r>
              <w:rPr>
                <w:rFonts w:hint="eastAsia"/>
                <w:color w:val="auto"/>
                <w:kern w:val="2"/>
                <w:sz w:val="24"/>
                <w:szCs w:val="24"/>
              </w:rPr>
              <w:t>项目设置</w:t>
            </w:r>
            <w:r>
              <w:rPr>
                <w:rFonts w:hint="eastAsia"/>
                <w:color w:val="0000FF"/>
                <w:kern w:val="2"/>
                <w:sz w:val="24"/>
                <w:szCs w:val="24"/>
                <w:lang w:eastAsia="zh-CN"/>
              </w:rPr>
              <w:t>过水池</w:t>
            </w:r>
            <w:r>
              <w:rPr>
                <w:rFonts w:hint="eastAsia"/>
                <w:color w:val="auto"/>
                <w:kern w:val="2"/>
                <w:sz w:val="24"/>
                <w:szCs w:val="24"/>
              </w:rPr>
              <w:t>，位于项目进口处，</w:t>
            </w:r>
            <w:r>
              <w:rPr>
                <w:rFonts w:hint="eastAsia"/>
                <w:color w:val="0000FF"/>
                <w:kern w:val="2"/>
                <w:sz w:val="24"/>
                <w:szCs w:val="24"/>
                <w:lang w:eastAsia="zh-CN"/>
              </w:rPr>
              <w:t>过水池</w:t>
            </w:r>
            <w:r>
              <w:rPr>
                <w:rFonts w:hint="eastAsia"/>
                <w:color w:val="auto"/>
                <w:kern w:val="2"/>
                <w:sz w:val="24"/>
                <w:szCs w:val="24"/>
              </w:rPr>
              <w:t>容积</w:t>
            </w:r>
            <w:r>
              <w:rPr>
                <w:rFonts w:hint="eastAsia"/>
                <w:color w:val="auto"/>
                <w:kern w:val="2"/>
                <w:sz w:val="24"/>
                <w:szCs w:val="24"/>
                <w:lang w:val="en-US" w:eastAsia="zh-CN"/>
              </w:rPr>
              <w:t>为5m</w:t>
            </w:r>
            <w:r>
              <w:rPr>
                <w:rFonts w:hint="eastAsia"/>
                <w:color w:val="auto"/>
                <w:kern w:val="2"/>
                <w:sz w:val="24"/>
                <w:szCs w:val="24"/>
                <w:vertAlign w:val="superscript"/>
                <w:lang w:val="en-US" w:eastAsia="zh-CN"/>
              </w:rPr>
              <w:t>3</w:t>
            </w:r>
            <w:r>
              <w:rPr>
                <w:rFonts w:hint="eastAsia"/>
                <w:color w:val="auto"/>
                <w:kern w:val="2"/>
                <w:sz w:val="24"/>
                <w:szCs w:val="24"/>
                <w:lang w:eastAsia="zh-CN"/>
              </w:rPr>
              <w:t>，</w:t>
            </w:r>
            <w:r>
              <w:rPr>
                <w:rFonts w:hint="eastAsia"/>
                <w:color w:val="auto"/>
                <w:kern w:val="2"/>
                <w:sz w:val="24"/>
                <w:szCs w:val="24"/>
              </w:rPr>
              <w:t>车辆在</w:t>
            </w:r>
            <w:r>
              <w:rPr>
                <w:rFonts w:hint="eastAsia"/>
                <w:color w:val="auto"/>
                <w:kern w:val="2"/>
                <w:sz w:val="24"/>
                <w:szCs w:val="24"/>
                <w:lang w:eastAsia="zh-CN"/>
              </w:rPr>
              <w:t>过水池</w:t>
            </w:r>
            <w:r>
              <w:rPr>
                <w:rFonts w:hint="eastAsia"/>
                <w:color w:val="auto"/>
                <w:kern w:val="2"/>
                <w:sz w:val="24"/>
                <w:szCs w:val="24"/>
                <w:lang w:val="en-US" w:eastAsia="zh-CN"/>
              </w:rPr>
              <w:t>使用车辆清洗设备</w:t>
            </w:r>
            <w:r>
              <w:rPr>
                <w:rFonts w:hint="eastAsia"/>
                <w:color w:val="auto"/>
                <w:kern w:val="2"/>
                <w:sz w:val="24"/>
                <w:szCs w:val="24"/>
              </w:rPr>
              <w:t>清洗轮胎后出场；</w:t>
            </w:r>
            <w:r>
              <w:rPr>
                <w:rFonts w:hint="default" w:ascii="Times New Roman" w:hAnsi="Times New Roman" w:eastAsia="宋体" w:cs="Times New Roman"/>
                <w:b w:val="0"/>
                <w:bCs w:val="0"/>
                <w:spacing w:val="11"/>
                <w:sz w:val="24"/>
                <w:lang w:val="en-US" w:eastAsia="zh-CN"/>
              </w:rPr>
              <w:t>本项目年转运煤炭</w:t>
            </w:r>
            <w:r>
              <w:rPr>
                <w:rFonts w:hint="eastAsia" w:ascii="Times New Roman" w:hAnsi="Times New Roman" w:cs="Times New Roman"/>
                <w:b w:val="0"/>
                <w:bCs w:val="0"/>
                <w:spacing w:val="11"/>
                <w:sz w:val="24"/>
                <w:lang w:val="en-US" w:eastAsia="zh-CN"/>
              </w:rPr>
              <w:t>10</w:t>
            </w:r>
            <w:r>
              <w:rPr>
                <w:rFonts w:hint="default" w:ascii="Times New Roman" w:hAnsi="Times New Roman" w:eastAsia="宋体" w:cs="Times New Roman"/>
                <w:b w:val="0"/>
                <w:bCs w:val="0"/>
                <w:spacing w:val="11"/>
                <w:sz w:val="24"/>
                <w:lang w:val="en-US" w:eastAsia="zh-CN"/>
              </w:rPr>
              <w:t>万吨，每辆</w:t>
            </w:r>
            <w:r>
              <w:rPr>
                <w:rFonts w:hint="eastAsia" w:ascii="Times New Roman" w:hAnsi="Times New Roman" w:cs="Times New Roman"/>
                <w:b w:val="0"/>
                <w:bCs w:val="0"/>
                <w:spacing w:val="11"/>
                <w:sz w:val="24"/>
                <w:lang w:val="en-US" w:eastAsia="zh-CN"/>
              </w:rPr>
              <w:t>运输车辆</w:t>
            </w:r>
            <w:r>
              <w:rPr>
                <w:rFonts w:hint="default" w:ascii="Times New Roman" w:hAnsi="Times New Roman" w:eastAsia="宋体" w:cs="Times New Roman"/>
                <w:b w:val="0"/>
                <w:bCs w:val="0"/>
                <w:spacing w:val="11"/>
                <w:sz w:val="24"/>
                <w:lang w:val="en-US" w:eastAsia="zh-CN"/>
              </w:rPr>
              <w:t>载重30吨，</w:t>
            </w:r>
            <w:r>
              <w:rPr>
                <w:rFonts w:hint="eastAsia" w:ascii="Times New Roman" w:hAnsi="Times New Roman" w:cs="Times New Roman"/>
                <w:b w:val="0"/>
                <w:bCs w:val="0"/>
                <w:spacing w:val="11"/>
                <w:sz w:val="24"/>
                <w:lang w:val="en-US" w:eastAsia="zh-CN"/>
              </w:rPr>
              <w:t>每年共计需运输3334车次</w:t>
            </w:r>
            <w:r>
              <w:rPr>
                <w:rFonts w:hint="default" w:ascii="Times New Roman" w:hAnsi="Times New Roman" w:eastAsia="宋体" w:cs="Times New Roman"/>
                <w:b w:val="0"/>
                <w:bCs w:val="0"/>
                <w:spacing w:val="11"/>
                <w:sz w:val="24"/>
                <w:lang w:val="en-US" w:eastAsia="zh-CN"/>
              </w:rPr>
              <w:t>。</w:t>
            </w:r>
            <w:r>
              <w:rPr>
                <w:rFonts w:hint="eastAsia"/>
                <w:color w:val="auto"/>
                <w:kern w:val="2"/>
                <w:sz w:val="24"/>
                <w:szCs w:val="24"/>
              </w:rPr>
              <w:t>根据《云南省地方标准用水定额》</w:t>
            </w:r>
            <w:r>
              <w:rPr>
                <w:rFonts w:hint="eastAsia"/>
                <w:color w:val="auto"/>
                <w:kern w:val="2"/>
                <w:sz w:val="24"/>
                <w:szCs w:val="24"/>
                <w:lang w:eastAsia="zh-CN"/>
              </w:rPr>
              <w:t>（</w:t>
            </w:r>
            <w:r>
              <w:rPr>
                <w:rFonts w:hint="eastAsia"/>
                <w:color w:val="auto"/>
                <w:kern w:val="2"/>
                <w:sz w:val="24"/>
                <w:szCs w:val="24"/>
              </w:rPr>
              <w:t>DB53/T 168-2019</w:t>
            </w:r>
            <w:r>
              <w:rPr>
                <w:rFonts w:hint="eastAsia"/>
                <w:color w:val="auto"/>
                <w:kern w:val="2"/>
                <w:sz w:val="24"/>
                <w:szCs w:val="24"/>
                <w:lang w:eastAsia="zh-CN"/>
              </w:rPr>
              <w:t>）</w:t>
            </w:r>
            <w:r>
              <w:rPr>
                <w:rFonts w:hint="eastAsia"/>
                <w:color w:val="auto"/>
                <w:kern w:val="2"/>
                <w:sz w:val="24"/>
                <w:szCs w:val="24"/>
              </w:rPr>
              <w:t>中其他未列明服务业（洗车）标准中循环用水-货车，</w:t>
            </w:r>
            <w:r>
              <w:rPr>
                <w:rFonts w:hint="default" w:ascii="Times New Roman" w:hAnsi="Times New Roman" w:eastAsia="宋体" w:cs="Times New Roman"/>
                <w:b w:val="0"/>
                <w:bCs w:val="0"/>
                <w:spacing w:val="11"/>
                <w:sz w:val="24"/>
                <w:lang w:val="en-US" w:eastAsia="zh-CN"/>
              </w:rPr>
              <w:t>冲洗用水量约40L/辆</w:t>
            </w:r>
            <w:r>
              <w:rPr>
                <w:rFonts w:hint="default" w:ascii="Times New Roman" w:hAnsi="Times New Roman" w:eastAsia="宋体" w:cs="Times New Roman"/>
                <w:color w:val="auto"/>
                <w:sz w:val="24"/>
                <w:szCs w:val="24"/>
                <w:highlight w:val="none"/>
                <w:lang w:val="en-US" w:eastAsia="zh-CN"/>
              </w:rPr>
              <w:t>·次</w:t>
            </w:r>
            <w:r>
              <w:rPr>
                <w:rFonts w:hint="default" w:ascii="Times New Roman" w:hAnsi="Times New Roman" w:cs="Times New Roman"/>
                <w:color w:val="auto"/>
                <w:sz w:val="24"/>
                <w:szCs w:val="24"/>
                <w:highlight w:val="none"/>
                <w:lang w:val="en-US" w:eastAsia="zh-CN"/>
              </w:rPr>
              <w:t>，因此车辆冲洗用水为0.</w:t>
            </w:r>
            <w:r>
              <w:rPr>
                <w:rFonts w:hint="eastAsia" w:ascii="Times New Roman" w:hAnsi="Times New Roman" w:cs="Times New Roman"/>
                <w:color w:val="auto"/>
                <w:sz w:val="24"/>
                <w:szCs w:val="24"/>
                <w:highlight w:val="none"/>
                <w:lang w:val="en-US" w:eastAsia="zh-CN"/>
              </w:rPr>
              <w:t>445</w:t>
            </w:r>
            <w:r>
              <w:rPr>
                <w:rFonts w:hint="default" w:ascii="Times New Roman" w:hAnsi="Times New Roman" w:eastAsia="宋体" w:cs="Times New Roman"/>
                <w:b w:val="0"/>
                <w:bCs w:val="0"/>
                <w:sz w:val="24"/>
                <w:lang w:val="en-US" w:eastAsia="zh-CN"/>
              </w:rPr>
              <w:t>m</w:t>
            </w:r>
            <w:r>
              <w:rPr>
                <w:rFonts w:hint="default" w:ascii="Times New Roman" w:hAnsi="Times New Roman" w:eastAsia="宋体" w:cs="Times New Roman"/>
                <w:b w:val="0"/>
                <w:bCs w:val="0"/>
                <w:sz w:val="24"/>
                <w:vertAlign w:val="superscript"/>
                <w:lang w:val="en-US" w:eastAsia="zh-CN"/>
              </w:rPr>
              <w:t>3</w:t>
            </w:r>
            <w:r>
              <w:rPr>
                <w:rFonts w:hint="default" w:ascii="Times New Roman" w:hAnsi="Times New Roman" w:eastAsia="宋体" w:cs="Times New Roman"/>
                <w:b w:val="0"/>
                <w:bCs w:val="0"/>
                <w:sz w:val="24"/>
                <w:lang w:val="en-US" w:eastAsia="zh-CN"/>
              </w:rPr>
              <w:t>/d（</w:t>
            </w:r>
            <w:r>
              <w:rPr>
                <w:rFonts w:hint="eastAsia" w:ascii="Times New Roman" w:hAnsi="Times New Roman" w:cs="Times New Roman"/>
                <w:b w:val="0"/>
                <w:bCs w:val="0"/>
                <w:sz w:val="24"/>
                <w:lang w:val="en-US" w:eastAsia="zh-CN"/>
              </w:rPr>
              <w:t>133.36</w:t>
            </w:r>
            <w:r>
              <w:rPr>
                <w:rFonts w:hint="default" w:ascii="Times New Roman" w:hAnsi="Times New Roman" w:eastAsia="宋体" w:cs="Times New Roman"/>
                <w:b w:val="0"/>
                <w:bCs w:val="0"/>
                <w:sz w:val="24"/>
                <w:lang w:val="en-US" w:eastAsia="zh-CN"/>
              </w:rPr>
              <w:t>m</w:t>
            </w:r>
            <w:r>
              <w:rPr>
                <w:rFonts w:hint="default" w:ascii="Times New Roman" w:hAnsi="Times New Roman" w:eastAsia="宋体" w:cs="Times New Roman"/>
                <w:b w:val="0"/>
                <w:bCs w:val="0"/>
                <w:sz w:val="24"/>
                <w:vertAlign w:val="superscript"/>
                <w:lang w:val="en-US" w:eastAsia="zh-CN"/>
              </w:rPr>
              <w:t>3</w:t>
            </w:r>
            <w:r>
              <w:rPr>
                <w:rFonts w:hint="default" w:ascii="Times New Roman" w:hAnsi="Times New Roman" w:eastAsia="宋体" w:cs="Times New Roman"/>
                <w:b w:val="0"/>
                <w:bCs w:val="0"/>
                <w:sz w:val="24"/>
                <w:lang w:val="en-US" w:eastAsia="zh-CN"/>
              </w:rPr>
              <w:t>/a）</w:t>
            </w:r>
            <w:r>
              <w:rPr>
                <w:rFonts w:hint="default" w:ascii="Times New Roman" w:hAnsi="Times New Roman" w:cs="Times New Roman"/>
                <w:b w:val="0"/>
                <w:bCs w:val="0"/>
                <w:sz w:val="24"/>
                <w:lang w:val="en-US" w:eastAsia="zh-CN"/>
              </w:rPr>
              <w:t>。</w:t>
            </w:r>
          </w:p>
          <w:p w14:paraId="72041BD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0000FF"/>
                <w:sz w:val="24"/>
                <w:lang w:val="en-US" w:eastAsia="zh-CN"/>
              </w:rPr>
            </w:pPr>
            <w:r>
              <w:rPr>
                <w:rFonts w:hint="eastAsia" w:cs="Times New Roman"/>
                <w:b/>
                <w:bCs/>
                <w:color w:val="0000FF"/>
                <w:sz w:val="24"/>
                <w:lang w:val="en-US" w:eastAsia="zh-CN"/>
              </w:rPr>
              <w:t>④雾炮机用水</w:t>
            </w:r>
          </w:p>
          <w:p w14:paraId="3C6477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val="0"/>
                <w:bCs w:val="0"/>
                <w:color w:val="0000FF"/>
                <w:sz w:val="24"/>
                <w:lang w:val="en-US" w:eastAsia="zh-CN"/>
              </w:rPr>
            </w:pPr>
            <w:r>
              <w:rPr>
                <w:rFonts w:hint="eastAsia" w:cs="Times New Roman"/>
                <w:b w:val="0"/>
                <w:bCs w:val="0"/>
                <w:color w:val="0000FF"/>
                <w:sz w:val="24"/>
                <w:lang w:val="en-US" w:eastAsia="zh-CN"/>
              </w:rPr>
              <w:t>项目厂界四周各设置一台雾炮机，晴天24h对项目周边进行喷雾降尘。单台雾炮机喷雾量为1.5t/h，则4台雾炮机总耗水量为144</w:t>
            </w:r>
            <w:r>
              <w:rPr>
                <w:rFonts w:hint="default" w:ascii="Times New Roman" w:hAnsi="Times New Roman" w:eastAsia="宋体" w:cs="Times New Roman"/>
                <w:b w:val="0"/>
                <w:bCs w:val="0"/>
                <w:color w:val="0000FF"/>
                <w:sz w:val="24"/>
                <w:lang w:val="en-US" w:eastAsia="zh-CN"/>
              </w:rPr>
              <w:t>m</w:t>
            </w:r>
            <w:r>
              <w:rPr>
                <w:rFonts w:hint="default" w:ascii="Times New Roman" w:hAnsi="Times New Roman" w:eastAsia="宋体" w:cs="Times New Roman"/>
                <w:b w:val="0"/>
                <w:bCs w:val="0"/>
                <w:color w:val="0000FF"/>
                <w:sz w:val="24"/>
                <w:vertAlign w:val="superscript"/>
                <w:lang w:val="en-US" w:eastAsia="zh-CN"/>
              </w:rPr>
              <w:t>3</w:t>
            </w:r>
            <w:r>
              <w:rPr>
                <w:rFonts w:hint="default" w:ascii="Times New Roman" w:hAnsi="Times New Roman" w:eastAsia="宋体" w:cs="Times New Roman"/>
                <w:b w:val="0"/>
                <w:bCs w:val="0"/>
                <w:color w:val="0000FF"/>
                <w:sz w:val="24"/>
                <w:lang w:val="en-US" w:eastAsia="zh-CN"/>
              </w:rPr>
              <w:t>/d</w:t>
            </w:r>
            <w:r>
              <w:rPr>
                <w:rFonts w:hint="eastAsia" w:cs="Times New Roman"/>
                <w:b w:val="0"/>
                <w:bCs w:val="0"/>
                <w:color w:val="0000FF"/>
                <w:sz w:val="24"/>
                <w:lang w:val="en-US" w:eastAsia="zh-CN"/>
              </w:rPr>
              <w:t>（28800</w:t>
            </w:r>
            <w:r>
              <w:rPr>
                <w:rFonts w:hint="default" w:ascii="Times New Roman" w:hAnsi="Times New Roman" w:eastAsia="宋体" w:cs="Times New Roman"/>
                <w:b w:val="0"/>
                <w:bCs w:val="0"/>
                <w:color w:val="0000FF"/>
                <w:sz w:val="24"/>
                <w:lang w:val="en-US" w:eastAsia="zh-CN"/>
              </w:rPr>
              <w:t>m</w:t>
            </w:r>
            <w:r>
              <w:rPr>
                <w:rFonts w:hint="default" w:ascii="Times New Roman" w:hAnsi="Times New Roman" w:eastAsia="宋体" w:cs="Times New Roman"/>
                <w:b w:val="0"/>
                <w:bCs w:val="0"/>
                <w:color w:val="0000FF"/>
                <w:sz w:val="24"/>
                <w:vertAlign w:val="superscript"/>
                <w:lang w:val="en-US" w:eastAsia="zh-CN"/>
              </w:rPr>
              <w:t>3</w:t>
            </w:r>
            <w:r>
              <w:rPr>
                <w:rFonts w:hint="default" w:ascii="Times New Roman" w:hAnsi="Times New Roman" w:eastAsia="宋体" w:cs="Times New Roman"/>
                <w:b w:val="0"/>
                <w:bCs w:val="0"/>
                <w:color w:val="0000FF"/>
                <w:sz w:val="24"/>
                <w:lang w:val="en-US" w:eastAsia="zh-CN"/>
              </w:rPr>
              <w:t>/a</w:t>
            </w:r>
            <w:r>
              <w:rPr>
                <w:rFonts w:hint="eastAsia" w:cs="Times New Roman"/>
                <w:b w:val="0"/>
                <w:bCs w:val="0"/>
                <w:color w:val="0000FF"/>
                <w:sz w:val="24"/>
                <w:lang w:val="en-US" w:eastAsia="zh-CN"/>
              </w:rPr>
              <w:t>）。</w:t>
            </w:r>
          </w:p>
          <w:p w14:paraId="541B144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1"/>
                <w:highlight w:val="none"/>
                <w:u w:val="none"/>
                <w:vertAlign w:val="baseline"/>
                <w:lang w:val="en-US" w:eastAsia="zh-CN"/>
              </w:rPr>
            </w:pPr>
            <w:r>
              <w:rPr>
                <w:rFonts w:hint="default" w:ascii="Times New Roman" w:hAnsi="Times New Roman" w:eastAsia="宋体" w:cs="Times New Roman"/>
                <w:b/>
                <w:bCs/>
                <w:color w:val="auto"/>
                <w:sz w:val="24"/>
                <w:szCs w:val="21"/>
                <w:highlight w:val="none"/>
                <w:u w:val="none"/>
                <w:vertAlign w:val="baseline"/>
                <w:lang w:val="en-US" w:eastAsia="zh-CN"/>
              </w:rPr>
              <w:t>（2）排水系统</w:t>
            </w:r>
          </w:p>
          <w:p w14:paraId="1BE2B642">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b/>
                <w:bCs/>
                <w:color w:val="auto"/>
                <w:sz w:val="24"/>
                <w:u w:val="none"/>
                <w:lang w:val="en-US" w:eastAsia="zh-CN"/>
              </w:rPr>
              <w:t>①生活污水</w:t>
            </w:r>
          </w:p>
          <w:p w14:paraId="5E7AD4FB">
            <w:pPr>
              <w:pStyle w:val="3"/>
              <w:keepNext w:val="0"/>
              <w:keepLines w:val="0"/>
              <w:pageBreakBefore w:val="0"/>
              <w:widowControl w:val="0"/>
              <w:kinsoku/>
              <w:wordWrap/>
              <w:overflowPunct/>
              <w:topLinePunct w:val="0"/>
              <w:autoSpaceDE/>
              <w:autoSpaceDN/>
              <w:bidi w:val="0"/>
              <w:adjustRightInd/>
              <w:snapToGrid/>
              <w:spacing w:line="360" w:lineRule="auto"/>
              <w:ind w:firstLine="520" w:firstLineChars="200"/>
              <w:textAlignment w:val="auto"/>
              <w:rPr>
                <w:rFonts w:hint="default" w:ascii="Times New Roman" w:hAnsi="Times New Roman" w:eastAsia="宋体" w:cs="Times New Roman"/>
                <w:b w:val="0"/>
                <w:bCs w:val="0"/>
                <w:spacing w:val="11"/>
                <w:sz w:val="24"/>
                <w:vertAlign w:val="baseline"/>
                <w:lang w:val="en-US" w:eastAsia="zh-CN"/>
              </w:rPr>
            </w:pPr>
            <w:r>
              <w:rPr>
                <w:rFonts w:hint="default" w:ascii="Times New Roman" w:hAnsi="Times New Roman" w:eastAsia="宋体" w:cs="Times New Roman"/>
                <w:b w:val="0"/>
                <w:bCs w:val="0"/>
                <w:color w:val="auto"/>
                <w:sz w:val="24"/>
                <w:u w:val="none"/>
                <w:lang w:val="en-US" w:eastAsia="zh-CN"/>
              </w:rPr>
              <w:t>本项目生活污水产生量按用水量的80%计，项目生活用水量为</w:t>
            </w:r>
            <w:r>
              <w:rPr>
                <w:rFonts w:hint="default" w:ascii="Times New Roman" w:hAnsi="Times New Roman" w:eastAsia="宋体" w:cs="Times New Roman"/>
                <w:b w:val="0"/>
                <w:bCs w:val="0"/>
                <w:sz w:val="24"/>
                <w:lang w:val="en-US" w:eastAsia="zh-CN"/>
              </w:rPr>
              <w:t>0.</w:t>
            </w:r>
            <w:r>
              <w:rPr>
                <w:rFonts w:hint="default" w:ascii="Times New Roman" w:hAnsi="Times New Roman" w:cs="Times New Roman"/>
                <w:b w:val="0"/>
                <w:bCs w:val="0"/>
                <w:sz w:val="24"/>
                <w:lang w:val="en-US" w:eastAsia="zh-CN"/>
              </w:rPr>
              <w:t>5</w:t>
            </w:r>
            <w:r>
              <w:rPr>
                <w:rFonts w:hint="default" w:ascii="Times New Roman" w:hAnsi="Times New Roman" w:eastAsia="宋体" w:cs="Times New Roman"/>
                <w:b w:val="0"/>
                <w:bCs w:val="0"/>
                <w:sz w:val="24"/>
                <w:lang w:val="en-US" w:eastAsia="zh-CN"/>
              </w:rPr>
              <w:t>m</w:t>
            </w:r>
            <w:r>
              <w:rPr>
                <w:rFonts w:hint="default" w:ascii="Times New Roman" w:hAnsi="Times New Roman" w:eastAsia="宋体" w:cs="Times New Roman"/>
                <w:b w:val="0"/>
                <w:bCs w:val="0"/>
                <w:sz w:val="24"/>
                <w:vertAlign w:val="superscript"/>
                <w:lang w:val="en-US" w:eastAsia="zh-CN"/>
              </w:rPr>
              <w:t>3</w:t>
            </w:r>
            <w:r>
              <w:rPr>
                <w:rFonts w:hint="default" w:ascii="Times New Roman" w:hAnsi="Times New Roman" w:eastAsia="宋体" w:cs="Times New Roman"/>
                <w:b w:val="0"/>
                <w:bCs w:val="0"/>
                <w:sz w:val="24"/>
                <w:lang w:val="en-US" w:eastAsia="zh-CN"/>
              </w:rPr>
              <w:t>/d（</w:t>
            </w:r>
            <w:r>
              <w:rPr>
                <w:rFonts w:hint="default" w:ascii="Times New Roman" w:hAnsi="Times New Roman" w:cs="Times New Roman"/>
                <w:b w:val="0"/>
                <w:bCs w:val="0"/>
                <w:sz w:val="24"/>
                <w:lang w:val="en-US" w:eastAsia="zh-CN"/>
              </w:rPr>
              <w:t>150</w:t>
            </w:r>
            <w:r>
              <w:rPr>
                <w:rFonts w:hint="default" w:ascii="Times New Roman" w:hAnsi="Times New Roman" w:eastAsia="宋体" w:cs="Times New Roman"/>
                <w:b w:val="0"/>
                <w:bCs w:val="0"/>
                <w:sz w:val="24"/>
                <w:lang w:val="en-US" w:eastAsia="zh-CN"/>
              </w:rPr>
              <w:t>m</w:t>
            </w:r>
            <w:r>
              <w:rPr>
                <w:rFonts w:hint="default" w:ascii="Times New Roman" w:hAnsi="Times New Roman" w:eastAsia="宋体" w:cs="Times New Roman"/>
                <w:b w:val="0"/>
                <w:bCs w:val="0"/>
                <w:sz w:val="24"/>
                <w:vertAlign w:val="superscript"/>
                <w:lang w:val="en-US" w:eastAsia="zh-CN"/>
              </w:rPr>
              <w:t>3</w:t>
            </w:r>
            <w:r>
              <w:rPr>
                <w:rFonts w:hint="default" w:ascii="Times New Roman" w:hAnsi="Times New Roman" w:eastAsia="宋体" w:cs="Times New Roman"/>
                <w:b w:val="0"/>
                <w:bCs w:val="0"/>
                <w:sz w:val="24"/>
                <w:lang w:val="en-US" w:eastAsia="zh-CN"/>
              </w:rPr>
              <w:t>/a）</w:t>
            </w:r>
            <w:r>
              <w:rPr>
                <w:rFonts w:hint="default" w:ascii="Times New Roman" w:hAnsi="Times New Roman" w:eastAsia="宋体" w:cs="Times New Roman"/>
                <w:b w:val="0"/>
                <w:bCs w:val="0"/>
                <w:color w:val="auto"/>
                <w:sz w:val="24"/>
                <w:u w:val="none"/>
                <w:lang w:val="en-US" w:eastAsia="zh-CN"/>
              </w:rPr>
              <w:t>，则生活污水产生量为0.</w:t>
            </w:r>
            <w:r>
              <w:rPr>
                <w:rFonts w:hint="eastAsia" w:ascii="Times New Roman" w:hAnsi="Times New Roman" w:eastAsia="宋体" w:cs="Times New Roman"/>
                <w:b w:val="0"/>
                <w:bCs w:val="0"/>
                <w:color w:val="auto"/>
                <w:sz w:val="24"/>
                <w:u w:val="none"/>
                <w:lang w:val="en-US" w:eastAsia="zh-CN"/>
              </w:rPr>
              <w:t>4</w:t>
            </w:r>
            <w:r>
              <w:rPr>
                <w:rFonts w:hint="default" w:ascii="Times New Roman" w:hAnsi="Times New Roman" w:eastAsia="宋体" w:cs="Times New Roman"/>
                <w:b w:val="0"/>
                <w:bCs w:val="0"/>
                <w:color w:val="auto"/>
                <w:sz w:val="24"/>
                <w:u w:val="none"/>
                <w:lang w:val="en-US" w:eastAsia="zh-CN"/>
              </w:rPr>
              <w:t>m</w:t>
            </w:r>
            <w:r>
              <w:rPr>
                <w:rFonts w:hint="default" w:ascii="Times New Roman" w:hAnsi="Times New Roman" w:eastAsia="宋体" w:cs="Times New Roman"/>
                <w:b w:val="0"/>
                <w:bCs w:val="0"/>
                <w:color w:val="auto"/>
                <w:sz w:val="24"/>
                <w:u w:val="none"/>
                <w:vertAlign w:val="superscript"/>
                <w:lang w:val="en-US" w:eastAsia="zh-CN"/>
              </w:rPr>
              <w:t>3</w:t>
            </w:r>
            <w:r>
              <w:rPr>
                <w:rFonts w:hint="default" w:ascii="Times New Roman" w:hAnsi="Times New Roman" w:eastAsia="宋体" w:cs="Times New Roman"/>
                <w:b w:val="0"/>
                <w:bCs w:val="0"/>
                <w:color w:val="auto"/>
                <w:sz w:val="24"/>
                <w:u w:val="none"/>
                <w:lang w:val="en-US" w:eastAsia="zh-CN"/>
              </w:rPr>
              <w:t>/d（</w:t>
            </w:r>
            <w:r>
              <w:rPr>
                <w:rFonts w:hint="eastAsia" w:ascii="Times New Roman" w:hAnsi="Times New Roman" w:eastAsia="宋体" w:cs="Times New Roman"/>
                <w:b w:val="0"/>
                <w:bCs w:val="0"/>
                <w:color w:val="auto"/>
                <w:sz w:val="24"/>
                <w:u w:val="none"/>
                <w:lang w:val="en-US" w:eastAsia="zh-CN"/>
              </w:rPr>
              <w:t>120</w:t>
            </w:r>
            <w:r>
              <w:rPr>
                <w:rFonts w:hint="default" w:ascii="Times New Roman" w:hAnsi="Times New Roman" w:eastAsia="宋体" w:cs="Times New Roman"/>
                <w:b w:val="0"/>
                <w:bCs w:val="0"/>
                <w:color w:val="auto"/>
                <w:sz w:val="24"/>
                <w:u w:val="none"/>
                <w:lang w:val="en-US" w:eastAsia="zh-CN"/>
              </w:rPr>
              <w:t>m</w:t>
            </w:r>
            <w:r>
              <w:rPr>
                <w:rFonts w:hint="default" w:ascii="Times New Roman" w:hAnsi="Times New Roman" w:eastAsia="宋体" w:cs="Times New Roman"/>
                <w:b w:val="0"/>
                <w:bCs w:val="0"/>
                <w:color w:val="auto"/>
                <w:sz w:val="24"/>
                <w:u w:val="none"/>
                <w:vertAlign w:val="superscript"/>
                <w:lang w:val="en-US" w:eastAsia="zh-CN"/>
              </w:rPr>
              <w:t>3</w:t>
            </w:r>
            <w:r>
              <w:rPr>
                <w:rFonts w:hint="default" w:ascii="Times New Roman" w:hAnsi="Times New Roman" w:eastAsia="宋体" w:cs="Times New Roman"/>
                <w:b w:val="0"/>
                <w:bCs w:val="0"/>
                <w:color w:val="auto"/>
                <w:sz w:val="24"/>
                <w:u w:val="none"/>
                <w:lang w:val="en-US" w:eastAsia="zh-CN"/>
              </w:rPr>
              <w:t>/a）。项目区</w:t>
            </w:r>
            <w:r>
              <w:rPr>
                <w:rFonts w:hint="eastAsia" w:ascii="宋体" w:hAnsi="宋体" w:eastAsia="宋体" w:cs="宋体"/>
                <w:b w:val="0"/>
                <w:bCs w:val="0"/>
                <w:color w:val="0000FF"/>
                <w:sz w:val="24"/>
                <w:szCs w:val="24"/>
                <w:highlight w:val="none"/>
                <w:lang w:val="en-US" w:eastAsia="zh-CN"/>
              </w:rPr>
              <w:t>生活污水经化粪池预处理后经项目一体化污水处理设备处理后回用于项目生活区洒水降尘，不外排。</w:t>
            </w:r>
          </w:p>
          <w:p w14:paraId="1447573A">
            <w:pPr>
              <w:pStyle w:val="3"/>
              <w:keepNext w:val="0"/>
              <w:keepLines w:val="0"/>
              <w:pageBreakBefore w:val="0"/>
              <w:widowControl w:val="0"/>
              <w:kinsoku/>
              <w:wordWrap/>
              <w:overflowPunct/>
              <w:topLinePunct w:val="0"/>
              <w:autoSpaceDE/>
              <w:autoSpaceDN/>
              <w:bidi w:val="0"/>
              <w:adjustRightInd/>
              <w:snapToGrid/>
              <w:spacing w:line="360" w:lineRule="auto"/>
              <w:ind w:firstLine="526" w:firstLineChars="200"/>
              <w:textAlignment w:val="auto"/>
              <w:rPr>
                <w:rFonts w:hint="default" w:ascii="Times New Roman" w:hAnsi="Times New Roman" w:eastAsia="宋体" w:cs="Times New Roman"/>
                <w:b/>
                <w:bCs/>
                <w:color w:val="auto"/>
                <w:spacing w:val="11"/>
                <w:sz w:val="24"/>
                <w:u w:val="none"/>
                <w:lang w:val="en-US" w:eastAsia="zh-CN"/>
              </w:rPr>
            </w:pPr>
            <w:r>
              <w:rPr>
                <w:rFonts w:hint="default" w:ascii="Times New Roman" w:hAnsi="Times New Roman" w:eastAsia="宋体" w:cs="Times New Roman"/>
                <w:b/>
                <w:bCs/>
                <w:color w:val="auto"/>
                <w:spacing w:val="11"/>
                <w:sz w:val="24"/>
                <w:u w:val="none"/>
                <w:lang w:val="en-US" w:eastAsia="zh-CN"/>
              </w:rPr>
              <w:t>②车辆冲洗废水</w:t>
            </w:r>
          </w:p>
          <w:p w14:paraId="354DF549">
            <w:pPr>
              <w:keepNext w:val="0"/>
              <w:keepLines w:val="0"/>
              <w:pageBreakBefore w:val="0"/>
              <w:widowControl w:val="0"/>
              <w:kinsoku/>
              <w:wordWrap/>
              <w:overflowPunct/>
              <w:topLinePunct w:val="0"/>
              <w:autoSpaceDE/>
              <w:autoSpaceDN/>
              <w:bidi w:val="0"/>
              <w:adjustRightInd/>
              <w:snapToGrid/>
              <w:spacing w:line="360" w:lineRule="auto"/>
              <w:ind w:firstLine="524" w:firstLineChars="200"/>
              <w:textAlignment w:val="auto"/>
              <w:rPr>
                <w:rFonts w:hint="default" w:ascii="Times New Roman" w:hAnsi="Times New Roman" w:eastAsia="宋体" w:cs="Times New Roman"/>
                <w:b w:val="0"/>
                <w:bCs w:val="0"/>
                <w:color w:val="auto"/>
                <w:spacing w:val="11"/>
                <w:sz w:val="24"/>
                <w:u w:val="none"/>
                <w:lang w:val="en-US" w:eastAsia="zh-CN"/>
              </w:rPr>
            </w:pPr>
            <w:r>
              <w:rPr>
                <w:rFonts w:hint="default" w:ascii="Times New Roman" w:hAnsi="Times New Roman" w:eastAsia="宋体" w:cs="Times New Roman"/>
                <w:b w:val="0"/>
                <w:bCs w:val="0"/>
                <w:color w:val="auto"/>
                <w:spacing w:val="11"/>
                <w:sz w:val="24"/>
                <w:u w:val="none"/>
                <w:lang w:val="en-US" w:eastAsia="zh-CN"/>
              </w:rPr>
              <w:t>本项目</w:t>
            </w:r>
            <w:r>
              <w:rPr>
                <w:rFonts w:hint="default" w:ascii="Times New Roman" w:hAnsi="Times New Roman" w:cs="Times New Roman"/>
                <w:color w:val="auto"/>
                <w:sz w:val="24"/>
                <w:szCs w:val="24"/>
                <w:highlight w:val="none"/>
                <w:u w:val="none"/>
                <w:lang w:val="en-US" w:eastAsia="zh-CN"/>
              </w:rPr>
              <w:t>车辆冲洗用水为</w:t>
            </w:r>
            <w:r>
              <w:rPr>
                <w:rFonts w:hint="default" w:ascii="Times New Roman" w:hAnsi="Times New Roman"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445</w:t>
            </w:r>
            <w:r>
              <w:rPr>
                <w:rFonts w:hint="default" w:ascii="Times New Roman" w:hAnsi="Times New Roman" w:eastAsia="宋体" w:cs="Times New Roman"/>
                <w:b w:val="0"/>
                <w:bCs w:val="0"/>
                <w:sz w:val="24"/>
                <w:lang w:val="en-US" w:eastAsia="zh-CN"/>
              </w:rPr>
              <w:t>m</w:t>
            </w:r>
            <w:r>
              <w:rPr>
                <w:rFonts w:hint="default" w:ascii="Times New Roman" w:hAnsi="Times New Roman" w:eastAsia="宋体" w:cs="Times New Roman"/>
                <w:b w:val="0"/>
                <w:bCs w:val="0"/>
                <w:sz w:val="24"/>
                <w:vertAlign w:val="superscript"/>
                <w:lang w:val="en-US" w:eastAsia="zh-CN"/>
              </w:rPr>
              <w:t>3</w:t>
            </w:r>
            <w:r>
              <w:rPr>
                <w:rFonts w:hint="default" w:ascii="Times New Roman" w:hAnsi="Times New Roman" w:eastAsia="宋体" w:cs="Times New Roman"/>
                <w:b w:val="0"/>
                <w:bCs w:val="0"/>
                <w:sz w:val="24"/>
                <w:lang w:val="en-US" w:eastAsia="zh-CN"/>
              </w:rPr>
              <w:t>/d（</w:t>
            </w:r>
            <w:r>
              <w:rPr>
                <w:rFonts w:hint="eastAsia" w:ascii="Times New Roman" w:hAnsi="Times New Roman" w:cs="Times New Roman"/>
                <w:b w:val="0"/>
                <w:bCs w:val="0"/>
                <w:sz w:val="24"/>
                <w:lang w:val="en-US" w:eastAsia="zh-CN"/>
              </w:rPr>
              <w:t>133.36</w:t>
            </w:r>
            <w:r>
              <w:rPr>
                <w:rFonts w:hint="default" w:ascii="Times New Roman" w:hAnsi="Times New Roman" w:eastAsia="宋体" w:cs="Times New Roman"/>
                <w:b w:val="0"/>
                <w:bCs w:val="0"/>
                <w:sz w:val="24"/>
                <w:lang w:val="en-US" w:eastAsia="zh-CN"/>
              </w:rPr>
              <w:t>m</w:t>
            </w:r>
            <w:r>
              <w:rPr>
                <w:rFonts w:hint="default" w:ascii="Times New Roman" w:hAnsi="Times New Roman" w:eastAsia="宋体" w:cs="Times New Roman"/>
                <w:b w:val="0"/>
                <w:bCs w:val="0"/>
                <w:sz w:val="24"/>
                <w:vertAlign w:val="superscript"/>
                <w:lang w:val="en-US" w:eastAsia="zh-CN"/>
              </w:rPr>
              <w:t>3</w:t>
            </w:r>
            <w:r>
              <w:rPr>
                <w:rFonts w:hint="default" w:ascii="Times New Roman" w:hAnsi="Times New Roman" w:eastAsia="宋体" w:cs="Times New Roman"/>
                <w:b w:val="0"/>
                <w:bCs w:val="0"/>
                <w:sz w:val="24"/>
                <w:lang w:val="en-US" w:eastAsia="zh-CN"/>
              </w:rPr>
              <w:t>/a）</w:t>
            </w:r>
            <w:r>
              <w:rPr>
                <w:rFonts w:hint="default" w:ascii="Times New Roman" w:hAnsi="Times New Roman" w:cs="Times New Roman"/>
                <w:b w:val="0"/>
                <w:bCs w:val="0"/>
                <w:color w:val="auto"/>
                <w:sz w:val="24"/>
                <w:u w:val="none"/>
                <w:lang w:val="en-US" w:eastAsia="zh-CN"/>
              </w:rPr>
              <w:t>，废水产生量按80%计算，则车辆冲洗废水产生量为0.</w:t>
            </w:r>
            <w:r>
              <w:rPr>
                <w:rFonts w:hint="eastAsia" w:ascii="Times New Roman" w:hAnsi="Times New Roman" w:cs="Times New Roman"/>
                <w:b w:val="0"/>
                <w:bCs w:val="0"/>
                <w:color w:val="auto"/>
                <w:sz w:val="24"/>
                <w:u w:val="none"/>
                <w:lang w:val="en-US" w:eastAsia="zh-CN"/>
              </w:rPr>
              <w:t>356</w:t>
            </w:r>
            <w:r>
              <w:rPr>
                <w:rFonts w:hint="default" w:ascii="Times New Roman" w:hAnsi="Times New Roman" w:eastAsia="宋体" w:cs="Times New Roman"/>
                <w:b w:val="0"/>
                <w:bCs w:val="0"/>
                <w:color w:val="auto"/>
                <w:sz w:val="24"/>
                <w:u w:val="none"/>
                <w:lang w:val="en-US" w:eastAsia="zh-CN"/>
              </w:rPr>
              <w:t>m</w:t>
            </w:r>
            <w:r>
              <w:rPr>
                <w:rFonts w:hint="default" w:ascii="Times New Roman" w:hAnsi="Times New Roman" w:eastAsia="宋体" w:cs="Times New Roman"/>
                <w:b w:val="0"/>
                <w:bCs w:val="0"/>
                <w:color w:val="auto"/>
                <w:sz w:val="24"/>
                <w:u w:val="none"/>
                <w:vertAlign w:val="superscript"/>
                <w:lang w:val="en-US" w:eastAsia="zh-CN"/>
              </w:rPr>
              <w:t>3</w:t>
            </w:r>
            <w:r>
              <w:rPr>
                <w:rFonts w:hint="default" w:ascii="Times New Roman" w:hAnsi="Times New Roman" w:eastAsia="宋体" w:cs="Times New Roman"/>
                <w:b w:val="0"/>
                <w:bCs w:val="0"/>
                <w:color w:val="auto"/>
                <w:sz w:val="24"/>
                <w:u w:val="none"/>
                <w:lang w:val="en-US" w:eastAsia="zh-CN"/>
              </w:rPr>
              <w:t>/d（</w:t>
            </w:r>
            <w:r>
              <w:rPr>
                <w:rFonts w:hint="eastAsia" w:ascii="Times New Roman" w:hAnsi="Times New Roman" w:cs="Times New Roman"/>
                <w:b w:val="0"/>
                <w:bCs w:val="0"/>
                <w:color w:val="auto"/>
                <w:sz w:val="24"/>
                <w:u w:val="none"/>
                <w:lang w:val="en-US" w:eastAsia="zh-CN"/>
              </w:rPr>
              <w:t>106.8</w:t>
            </w:r>
            <w:r>
              <w:rPr>
                <w:rFonts w:hint="default" w:ascii="Times New Roman" w:hAnsi="Times New Roman" w:eastAsia="宋体" w:cs="Times New Roman"/>
                <w:b w:val="0"/>
                <w:bCs w:val="0"/>
                <w:color w:val="auto"/>
                <w:sz w:val="24"/>
                <w:u w:val="none"/>
                <w:lang w:val="en-US" w:eastAsia="zh-CN"/>
              </w:rPr>
              <w:t>m</w:t>
            </w:r>
            <w:r>
              <w:rPr>
                <w:rFonts w:hint="default" w:ascii="Times New Roman" w:hAnsi="Times New Roman" w:eastAsia="宋体" w:cs="Times New Roman"/>
                <w:b w:val="0"/>
                <w:bCs w:val="0"/>
                <w:color w:val="auto"/>
                <w:sz w:val="24"/>
                <w:u w:val="none"/>
                <w:vertAlign w:val="superscript"/>
                <w:lang w:val="en-US" w:eastAsia="zh-CN"/>
              </w:rPr>
              <w:t>3</w:t>
            </w:r>
            <w:r>
              <w:rPr>
                <w:rFonts w:hint="default" w:ascii="Times New Roman" w:hAnsi="Times New Roman" w:eastAsia="宋体" w:cs="Times New Roman"/>
                <w:b w:val="0"/>
                <w:bCs w:val="0"/>
                <w:color w:val="auto"/>
                <w:sz w:val="24"/>
                <w:u w:val="none"/>
                <w:lang w:val="en-US" w:eastAsia="zh-CN"/>
              </w:rPr>
              <w:t>/a）</w:t>
            </w:r>
            <w:r>
              <w:rPr>
                <w:rFonts w:hint="default" w:ascii="Times New Roman" w:hAnsi="Times New Roman" w:cs="Times New Roman"/>
                <w:b w:val="0"/>
                <w:bCs w:val="0"/>
                <w:color w:val="auto"/>
                <w:sz w:val="24"/>
                <w:u w:val="none"/>
                <w:lang w:val="en-US" w:eastAsia="zh-CN"/>
              </w:rPr>
              <w:t>，</w:t>
            </w:r>
            <w:r>
              <w:rPr>
                <w:rFonts w:hint="default" w:ascii="Times New Roman" w:hAnsi="Times New Roman" w:eastAsia="宋体" w:cs="Times New Roman"/>
                <w:b w:val="0"/>
                <w:bCs w:val="0"/>
                <w:color w:val="auto"/>
                <w:sz w:val="24"/>
                <w:szCs w:val="24"/>
                <w:highlight w:val="none"/>
                <w:u w:val="none"/>
                <w:lang w:val="en-US" w:eastAsia="zh-CN"/>
              </w:rPr>
              <w:t>车辆冲洗废水进入沉淀池处理</w:t>
            </w:r>
            <w:r>
              <w:rPr>
                <w:rFonts w:hint="default" w:ascii="Times New Roman" w:hAnsi="Times New Roman" w:cs="Times New Roman"/>
                <w:b w:val="0"/>
                <w:bCs w:val="0"/>
                <w:color w:val="auto"/>
                <w:sz w:val="24"/>
                <w:szCs w:val="24"/>
                <w:highlight w:val="none"/>
                <w:u w:val="none"/>
                <w:lang w:val="en-US" w:eastAsia="zh-CN"/>
              </w:rPr>
              <w:t>后循环使用，不外排。</w:t>
            </w:r>
          </w:p>
          <w:p w14:paraId="32F66CC3">
            <w:pPr>
              <w:pStyle w:val="3"/>
              <w:keepNext w:val="0"/>
              <w:keepLines w:val="0"/>
              <w:pageBreakBefore w:val="0"/>
              <w:widowControl w:val="0"/>
              <w:kinsoku/>
              <w:wordWrap/>
              <w:overflowPunct/>
              <w:topLinePunct w:val="0"/>
              <w:autoSpaceDE/>
              <w:autoSpaceDN/>
              <w:bidi w:val="0"/>
              <w:adjustRightInd/>
              <w:snapToGrid/>
              <w:spacing w:line="360" w:lineRule="auto"/>
              <w:ind w:firstLine="526" w:firstLineChars="200"/>
              <w:textAlignment w:val="auto"/>
              <w:rPr>
                <w:rFonts w:hint="default" w:ascii="Times New Roman" w:hAnsi="Times New Roman" w:eastAsia="宋体" w:cs="Times New Roman"/>
                <w:b/>
                <w:bCs/>
                <w:color w:val="0000FF"/>
                <w:spacing w:val="11"/>
                <w:sz w:val="24"/>
                <w:highlight w:val="none"/>
                <w:u w:val="none"/>
                <w:lang w:val="en-US" w:eastAsia="zh-CN"/>
              </w:rPr>
            </w:pPr>
            <w:r>
              <w:rPr>
                <w:rFonts w:hint="default" w:ascii="Times New Roman" w:hAnsi="Times New Roman" w:eastAsia="宋体" w:cs="Times New Roman"/>
                <w:b/>
                <w:bCs/>
                <w:color w:val="0000FF"/>
                <w:spacing w:val="11"/>
                <w:sz w:val="24"/>
                <w:highlight w:val="none"/>
                <w:u w:val="none"/>
                <w:lang w:val="en-US" w:eastAsia="zh-CN"/>
              </w:rPr>
              <w:t>③初期雨水</w:t>
            </w:r>
          </w:p>
          <w:p w14:paraId="18EDE0A6">
            <w:pPr>
              <w:pStyle w:val="15"/>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FF"/>
                <w:kern w:val="0"/>
                <w:sz w:val="24"/>
                <w:szCs w:val="24"/>
                <w:highlight w:val="none"/>
                <w:u w:val="none"/>
                <w:lang w:val="en-US" w:eastAsia="zh-CN"/>
              </w:rPr>
            </w:pPr>
            <w:r>
              <w:rPr>
                <w:rFonts w:hint="default" w:ascii="Times New Roman" w:hAnsi="Times New Roman" w:eastAsia="宋体" w:cs="Times New Roman"/>
                <w:color w:val="0000FF"/>
                <w:kern w:val="0"/>
                <w:sz w:val="24"/>
                <w:szCs w:val="24"/>
                <w:highlight w:val="none"/>
                <w:u w:val="none"/>
                <w:lang w:val="en-US" w:eastAsia="zh-CN"/>
              </w:rPr>
              <w:t>储煤仓库</w:t>
            </w:r>
            <w:r>
              <w:rPr>
                <w:rFonts w:hint="eastAsia" w:ascii="Times New Roman" w:hAnsi="Times New Roman" w:cs="Times New Roman"/>
                <w:color w:val="0000FF"/>
                <w:kern w:val="0"/>
                <w:sz w:val="24"/>
                <w:szCs w:val="24"/>
                <w:highlight w:val="none"/>
                <w:u w:val="none"/>
                <w:lang w:val="en-US" w:eastAsia="zh-CN"/>
              </w:rPr>
              <w:t>、晾晒厂房、生活区的</w:t>
            </w:r>
            <w:r>
              <w:rPr>
                <w:rFonts w:hint="default" w:ascii="Times New Roman" w:hAnsi="Times New Roman" w:eastAsia="宋体" w:cs="Times New Roman"/>
                <w:color w:val="0000FF"/>
                <w:kern w:val="0"/>
                <w:sz w:val="24"/>
                <w:szCs w:val="24"/>
                <w:highlight w:val="none"/>
                <w:u w:val="none"/>
                <w:lang w:val="en-US" w:eastAsia="zh-CN"/>
              </w:rPr>
              <w:t>雨水经</w:t>
            </w:r>
            <w:r>
              <w:rPr>
                <w:rFonts w:hint="eastAsia" w:cs="Times New Roman"/>
                <w:color w:val="0000FF"/>
                <w:kern w:val="0"/>
                <w:sz w:val="24"/>
                <w:szCs w:val="24"/>
                <w:highlight w:val="none"/>
                <w:u w:val="none"/>
                <w:lang w:val="en-US" w:eastAsia="zh-CN"/>
              </w:rPr>
              <w:t>排水管</w:t>
            </w:r>
            <w:r>
              <w:rPr>
                <w:rFonts w:hint="default" w:ascii="Times New Roman" w:hAnsi="Times New Roman" w:eastAsia="宋体" w:cs="Times New Roman"/>
                <w:color w:val="0000FF"/>
                <w:kern w:val="0"/>
                <w:sz w:val="24"/>
                <w:szCs w:val="24"/>
                <w:highlight w:val="none"/>
                <w:u w:val="none"/>
                <w:lang w:val="en-US" w:eastAsia="zh-CN"/>
              </w:rPr>
              <w:t>收集后直接排放</w:t>
            </w:r>
            <w:r>
              <w:rPr>
                <w:rFonts w:hint="default" w:ascii="Times New Roman" w:hAnsi="Times New Roman" w:cs="Times New Roman"/>
                <w:color w:val="0000FF"/>
                <w:kern w:val="0"/>
                <w:sz w:val="24"/>
                <w:szCs w:val="24"/>
                <w:highlight w:val="none"/>
                <w:u w:val="none"/>
                <w:lang w:val="en-US" w:eastAsia="zh-CN"/>
              </w:rPr>
              <w:t>，</w:t>
            </w:r>
            <w:r>
              <w:rPr>
                <w:rFonts w:hint="eastAsia" w:ascii="Times New Roman" w:hAnsi="Times New Roman" w:cs="Times New Roman"/>
                <w:color w:val="0000FF"/>
                <w:kern w:val="0"/>
                <w:sz w:val="24"/>
                <w:szCs w:val="24"/>
                <w:highlight w:val="none"/>
                <w:u w:val="none"/>
                <w:lang w:val="en-US" w:eastAsia="zh-CN"/>
              </w:rPr>
              <w:t>不进行收集，其他区域</w:t>
            </w:r>
            <w:r>
              <w:rPr>
                <w:rFonts w:hint="default" w:ascii="Times New Roman" w:hAnsi="Times New Roman" w:cs="Times New Roman"/>
                <w:color w:val="0000FF"/>
                <w:kern w:val="0"/>
                <w:sz w:val="24"/>
                <w:szCs w:val="24"/>
                <w:highlight w:val="none"/>
                <w:u w:val="none"/>
                <w:lang w:val="en-US" w:eastAsia="zh-CN"/>
              </w:rPr>
              <w:t>雨水</w:t>
            </w:r>
            <w:r>
              <w:rPr>
                <w:rFonts w:hint="eastAsia" w:ascii="Times New Roman" w:hAnsi="Times New Roman" w:cs="Times New Roman"/>
                <w:color w:val="0000FF"/>
                <w:kern w:val="0"/>
                <w:sz w:val="24"/>
                <w:szCs w:val="24"/>
                <w:highlight w:val="none"/>
                <w:u w:val="none"/>
                <w:lang w:val="en-US" w:eastAsia="zh-CN"/>
              </w:rPr>
              <w:t>收集</w:t>
            </w:r>
            <w:r>
              <w:rPr>
                <w:rFonts w:hint="default" w:ascii="Times New Roman" w:hAnsi="Times New Roman" w:cs="Times New Roman"/>
                <w:color w:val="0000FF"/>
                <w:kern w:val="0"/>
                <w:sz w:val="24"/>
                <w:szCs w:val="24"/>
                <w:highlight w:val="none"/>
                <w:u w:val="none"/>
                <w:lang w:val="en-US" w:eastAsia="zh-CN"/>
              </w:rPr>
              <w:t>沟不与</w:t>
            </w:r>
            <w:r>
              <w:rPr>
                <w:rFonts w:hint="eastAsia" w:cs="Times New Roman"/>
                <w:color w:val="0000FF"/>
                <w:kern w:val="0"/>
                <w:sz w:val="24"/>
                <w:szCs w:val="24"/>
                <w:highlight w:val="none"/>
                <w:u w:val="none"/>
                <w:lang w:val="en-US" w:eastAsia="zh-CN"/>
              </w:rPr>
              <w:t>排水管</w:t>
            </w:r>
            <w:r>
              <w:rPr>
                <w:rFonts w:hint="default" w:ascii="Times New Roman" w:hAnsi="Times New Roman" w:cs="Times New Roman"/>
                <w:color w:val="0000FF"/>
                <w:kern w:val="0"/>
                <w:sz w:val="24"/>
                <w:szCs w:val="24"/>
                <w:highlight w:val="none"/>
                <w:u w:val="none"/>
                <w:lang w:val="en-US" w:eastAsia="zh-CN"/>
              </w:rPr>
              <w:t>相连</w:t>
            </w:r>
            <w:r>
              <w:rPr>
                <w:rFonts w:hint="eastAsia" w:ascii="Times New Roman" w:hAnsi="Times New Roman" w:cs="Times New Roman"/>
                <w:color w:val="0000FF"/>
                <w:kern w:val="0"/>
                <w:sz w:val="24"/>
                <w:szCs w:val="24"/>
                <w:highlight w:val="none"/>
                <w:u w:val="none"/>
                <w:lang w:val="en-US" w:eastAsia="zh-CN"/>
              </w:rPr>
              <w:t>。</w:t>
            </w:r>
            <w:r>
              <w:rPr>
                <w:rFonts w:hint="default" w:ascii="Times New Roman" w:hAnsi="Times New Roman" w:eastAsia="宋体" w:cs="Times New Roman"/>
                <w:color w:val="0000FF"/>
                <w:kern w:val="0"/>
                <w:sz w:val="24"/>
                <w:szCs w:val="24"/>
                <w:highlight w:val="none"/>
                <w:u w:val="none"/>
                <w:lang w:val="en-US" w:eastAsia="zh-CN"/>
              </w:rPr>
              <w:t>项目运营期间如遇到雨季，</w:t>
            </w:r>
            <w:r>
              <w:rPr>
                <w:rFonts w:hint="default" w:ascii="Times New Roman" w:hAnsi="Times New Roman" w:eastAsia="宋体" w:cs="Times New Roman"/>
                <w:color w:val="0000FF"/>
                <w:sz w:val="24"/>
                <w:szCs w:val="24"/>
                <w:highlight w:val="none"/>
                <w:u w:val="none"/>
                <w:lang w:val="en-US" w:eastAsia="zh-CN"/>
              </w:rPr>
              <w:t>厂区道路及</w:t>
            </w:r>
            <w:r>
              <w:rPr>
                <w:rFonts w:hint="eastAsia" w:ascii="Times New Roman" w:hAnsi="Times New Roman" w:cs="Times New Roman"/>
                <w:color w:val="0000FF"/>
                <w:sz w:val="24"/>
                <w:szCs w:val="24"/>
                <w:highlight w:val="none"/>
                <w:u w:val="none"/>
                <w:lang w:val="en-US" w:eastAsia="zh-CN"/>
              </w:rPr>
              <w:t>裸露地表被</w:t>
            </w:r>
            <w:r>
              <w:rPr>
                <w:rFonts w:hint="default" w:ascii="Times New Roman" w:hAnsi="Times New Roman" w:eastAsia="宋体" w:cs="Times New Roman"/>
                <w:color w:val="0000FF"/>
                <w:kern w:val="0"/>
                <w:sz w:val="24"/>
                <w:szCs w:val="24"/>
                <w:highlight w:val="none"/>
                <w:u w:val="none"/>
                <w:lang w:val="en-US" w:eastAsia="zh-CN"/>
              </w:rPr>
              <w:t>初期雨水冲刷项目区会产生高浊度地表径流，夹带大量煤泥和泥沙</w:t>
            </w:r>
            <w:r>
              <w:rPr>
                <w:rFonts w:hint="eastAsia" w:ascii="Times New Roman" w:hAnsi="Times New Roman" w:cs="Times New Roman"/>
                <w:color w:val="0000FF"/>
                <w:kern w:val="0"/>
                <w:sz w:val="24"/>
                <w:szCs w:val="24"/>
                <w:highlight w:val="none"/>
                <w:u w:val="none"/>
                <w:lang w:val="en-US" w:eastAsia="zh-CN"/>
              </w:rPr>
              <w:t>，项目对此部分初期雨水进行收集</w:t>
            </w:r>
            <w:r>
              <w:rPr>
                <w:rFonts w:hint="default" w:ascii="Times New Roman" w:hAnsi="Times New Roman" w:eastAsia="宋体" w:cs="Times New Roman"/>
                <w:color w:val="0000FF"/>
                <w:kern w:val="0"/>
                <w:sz w:val="24"/>
                <w:szCs w:val="24"/>
                <w:highlight w:val="none"/>
                <w:u w:val="none"/>
                <w:lang w:val="en-US" w:eastAsia="zh-CN"/>
              </w:rPr>
              <w:t>。根据《室外排水设计规范》（GB50014-20</w:t>
            </w:r>
            <w:r>
              <w:rPr>
                <w:rFonts w:hint="eastAsia" w:ascii="Times New Roman" w:hAnsi="Times New Roman" w:cs="Times New Roman"/>
                <w:color w:val="0000FF"/>
                <w:kern w:val="0"/>
                <w:sz w:val="24"/>
                <w:szCs w:val="24"/>
                <w:highlight w:val="none"/>
                <w:u w:val="none"/>
                <w:lang w:val="en-US" w:eastAsia="zh-CN"/>
              </w:rPr>
              <w:t>21</w:t>
            </w:r>
            <w:r>
              <w:rPr>
                <w:rFonts w:hint="default" w:ascii="Times New Roman" w:hAnsi="Times New Roman" w:eastAsia="宋体" w:cs="Times New Roman"/>
                <w:color w:val="0000FF"/>
                <w:kern w:val="0"/>
                <w:sz w:val="24"/>
                <w:szCs w:val="24"/>
                <w:highlight w:val="none"/>
                <w:u w:val="none"/>
                <w:lang w:val="en-US" w:eastAsia="zh-CN"/>
              </w:rPr>
              <w:t>）规定，雨天地表径流按下式进行计算：</w:t>
            </w:r>
          </w:p>
          <w:p w14:paraId="55150CF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color w:val="0000FF"/>
                <w:sz w:val="24"/>
                <w:highlight w:val="none"/>
                <w:u w:val="none"/>
              </w:rPr>
            </w:pPr>
            <w:r>
              <w:rPr>
                <w:rFonts w:hint="default" w:ascii="Times New Roman" w:hAnsi="Times New Roman" w:eastAsia="宋体" w:cs="Times New Roman"/>
                <w:color w:val="0000FF"/>
                <w:sz w:val="24"/>
                <w:highlight w:val="none"/>
                <w:u w:val="none"/>
              </w:rPr>
              <w:t>Q=ψ·q·F</w:t>
            </w:r>
          </w:p>
          <w:p w14:paraId="07537B6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highlight w:val="none"/>
                <w:u w:val="none"/>
              </w:rPr>
            </w:pPr>
            <w:r>
              <w:rPr>
                <w:rFonts w:hint="default" w:ascii="Times New Roman" w:hAnsi="Times New Roman" w:eastAsia="宋体" w:cs="Times New Roman"/>
                <w:color w:val="0000FF"/>
                <w:sz w:val="24"/>
                <w:highlight w:val="none"/>
                <w:u w:val="none"/>
              </w:rPr>
              <w:t>式中：Q—雨水流量（L/s）；</w:t>
            </w:r>
          </w:p>
          <w:p w14:paraId="01357E6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highlight w:val="none"/>
                <w:u w:val="none"/>
              </w:rPr>
            </w:pPr>
            <w:r>
              <w:rPr>
                <w:rFonts w:hint="default" w:ascii="Times New Roman" w:hAnsi="Times New Roman" w:eastAsia="宋体" w:cs="Times New Roman"/>
                <w:color w:val="0000FF"/>
                <w:sz w:val="24"/>
                <w:highlight w:val="none"/>
                <w:u w:val="none"/>
              </w:rPr>
              <w:t>ψ—径流系数，</w:t>
            </w:r>
            <w:r>
              <w:rPr>
                <w:rFonts w:hint="default" w:ascii="Times New Roman" w:hAnsi="Times New Roman" w:eastAsia="宋体" w:cs="Times New Roman"/>
                <w:color w:val="0000FF"/>
                <w:sz w:val="24"/>
                <w:highlight w:val="none"/>
                <w:u w:val="none"/>
                <w:lang w:val="zh-CN"/>
              </w:rPr>
              <w:t>本</w:t>
            </w:r>
            <w:r>
              <w:rPr>
                <w:rFonts w:hint="default" w:ascii="Times New Roman" w:hAnsi="Times New Roman" w:eastAsia="宋体" w:cs="Times New Roman"/>
                <w:color w:val="0000FF"/>
                <w:sz w:val="24"/>
                <w:highlight w:val="none"/>
                <w:u w:val="none"/>
                <w:lang w:val="en-US" w:eastAsia="zh-CN"/>
              </w:rPr>
              <w:t>次</w:t>
            </w:r>
            <w:r>
              <w:rPr>
                <w:rFonts w:hint="default" w:ascii="Times New Roman" w:hAnsi="Times New Roman" w:eastAsia="宋体" w:cs="Times New Roman"/>
                <w:color w:val="0000FF"/>
                <w:sz w:val="24"/>
                <w:highlight w:val="none"/>
                <w:u w:val="none"/>
                <w:lang w:val="zh-CN"/>
              </w:rPr>
              <w:t>径流系数取</w:t>
            </w:r>
            <w:r>
              <w:rPr>
                <w:rFonts w:hint="default" w:ascii="Times New Roman" w:hAnsi="Times New Roman" w:eastAsia="宋体" w:cs="Times New Roman"/>
                <w:color w:val="0000FF"/>
                <w:sz w:val="24"/>
                <w:highlight w:val="none"/>
                <w:u w:val="none"/>
                <w:lang w:val="en-US" w:eastAsia="zh-CN"/>
              </w:rPr>
              <w:t>0.</w:t>
            </w:r>
            <w:r>
              <w:rPr>
                <w:rFonts w:hint="eastAsia" w:cs="Times New Roman"/>
                <w:color w:val="0000FF"/>
                <w:sz w:val="24"/>
                <w:highlight w:val="none"/>
                <w:u w:val="none"/>
                <w:lang w:val="en-US" w:eastAsia="zh-CN"/>
              </w:rPr>
              <w:t>85</w:t>
            </w:r>
            <w:r>
              <w:rPr>
                <w:rFonts w:hint="default" w:ascii="Times New Roman" w:hAnsi="Times New Roman" w:eastAsia="宋体" w:cs="Times New Roman"/>
                <w:color w:val="0000FF"/>
                <w:sz w:val="24"/>
                <w:highlight w:val="none"/>
                <w:u w:val="none"/>
                <w:lang w:val="en-US" w:eastAsia="zh-CN"/>
              </w:rPr>
              <w:t>（</w:t>
            </w:r>
            <w:r>
              <w:rPr>
                <w:rFonts w:hint="eastAsia" w:ascii="Times New Roman" w:hAnsi="Times New Roman" w:cs="Times New Roman"/>
                <w:color w:val="0000FF"/>
                <w:sz w:val="24"/>
                <w:highlight w:val="none"/>
                <w:u w:val="none"/>
                <w:lang w:val="en-US" w:eastAsia="zh-CN"/>
              </w:rPr>
              <w:t>各种屋面、混凝土或沥青路面</w:t>
            </w:r>
            <w:r>
              <w:rPr>
                <w:rFonts w:hint="default" w:ascii="Times New Roman" w:hAnsi="Times New Roman" w:eastAsia="宋体" w:cs="Times New Roman"/>
                <w:color w:val="0000FF"/>
                <w:sz w:val="24"/>
                <w:highlight w:val="none"/>
                <w:u w:val="none"/>
                <w:lang w:val="en-US" w:eastAsia="zh-CN"/>
              </w:rPr>
              <w:t>）</w:t>
            </w:r>
            <w:r>
              <w:rPr>
                <w:rFonts w:hint="default" w:ascii="Times New Roman" w:hAnsi="Times New Roman" w:eastAsia="宋体" w:cs="Times New Roman"/>
                <w:color w:val="0000FF"/>
                <w:sz w:val="24"/>
                <w:highlight w:val="none"/>
                <w:u w:val="none"/>
              </w:rPr>
              <w:t>；</w:t>
            </w:r>
          </w:p>
          <w:p w14:paraId="2261A4B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highlight w:val="none"/>
                <w:u w:val="none"/>
              </w:rPr>
            </w:pPr>
            <w:r>
              <w:rPr>
                <w:rFonts w:hint="default" w:ascii="Times New Roman" w:hAnsi="Times New Roman" w:eastAsia="宋体" w:cs="Times New Roman"/>
                <w:color w:val="0000FF"/>
                <w:sz w:val="24"/>
                <w:highlight w:val="none"/>
                <w:u w:val="none"/>
              </w:rPr>
              <w:t>q—设计暴雨强度，L/s·hm</w:t>
            </w:r>
            <w:r>
              <w:rPr>
                <w:rFonts w:hint="default" w:ascii="Times New Roman" w:hAnsi="Times New Roman" w:eastAsia="宋体" w:cs="Times New Roman"/>
                <w:color w:val="0000FF"/>
                <w:sz w:val="24"/>
                <w:highlight w:val="none"/>
                <w:u w:val="none"/>
                <w:vertAlign w:val="superscript"/>
              </w:rPr>
              <w:t>2</w:t>
            </w:r>
            <w:r>
              <w:rPr>
                <w:rFonts w:hint="default" w:ascii="Times New Roman" w:hAnsi="Times New Roman" w:eastAsia="宋体" w:cs="Times New Roman"/>
                <w:color w:val="0000FF"/>
                <w:sz w:val="24"/>
                <w:highlight w:val="none"/>
                <w:u w:val="none"/>
              </w:rPr>
              <w:t>；</w:t>
            </w:r>
          </w:p>
          <w:p w14:paraId="0C09C4A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highlight w:val="none"/>
                <w:u w:val="none"/>
              </w:rPr>
            </w:pPr>
            <w:r>
              <w:rPr>
                <w:rFonts w:hint="default" w:ascii="Times New Roman" w:hAnsi="Times New Roman" w:eastAsia="宋体" w:cs="Times New Roman"/>
                <w:color w:val="0000FF"/>
                <w:sz w:val="24"/>
                <w:highlight w:val="none"/>
                <w:u w:val="none"/>
              </w:rPr>
              <w:t>F—汇水面积（hm</w:t>
            </w:r>
            <w:r>
              <w:rPr>
                <w:rFonts w:hint="default" w:ascii="Times New Roman" w:hAnsi="Times New Roman" w:eastAsia="宋体" w:cs="Times New Roman"/>
                <w:color w:val="0000FF"/>
                <w:sz w:val="24"/>
                <w:highlight w:val="none"/>
                <w:u w:val="none"/>
                <w:vertAlign w:val="superscript"/>
              </w:rPr>
              <w:t>2</w:t>
            </w:r>
            <w:r>
              <w:rPr>
                <w:rFonts w:hint="default" w:ascii="Times New Roman" w:hAnsi="Times New Roman" w:eastAsia="宋体" w:cs="Times New Roman"/>
                <w:color w:val="0000FF"/>
                <w:sz w:val="24"/>
                <w:highlight w:val="none"/>
                <w:u w:val="none"/>
              </w:rPr>
              <w:t>）。</w:t>
            </w:r>
          </w:p>
          <w:p w14:paraId="01D7F4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highlight w:val="none"/>
                <w:u w:val="none"/>
              </w:rPr>
            </w:pPr>
            <w:r>
              <w:rPr>
                <w:rFonts w:hint="default" w:ascii="Times New Roman" w:hAnsi="Times New Roman" w:eastAsia="宋体" w:cs="Times New Roman"/>
                <w:color w:val="0000FF"/>
                <w:sz w:val="24"/>
                <w:highlight w:val="none"/>
                <w:u w:val="none"/>
              </w:rPr>
              <w:t>降雨强度按昆明地区暴雨强度公式计算：</w:t>
            </w:r>
          </w:p>
          <w:p w14:paraId="2B9EF17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color w:val="0000FF"/>
                <w:sz w:val="24"/>
                <w:highlight w:val="none"/>
                <w:u w:val="none"/>
              </w:rPr>
            </w:pPr>
            <w:r>
              <w:rPr>
                <w:rFonts w:hint="default" w:ascii="Times New Roman" w:hAnsi="Times New Roman" w:eastAsia="宋体" w:cs="Times New Roman"/>
                <w:color w:val="0000FF"/>
                <w:sz w:val="24"/>
                <w:highlight w:val="none"/>
                <w:u w:val="none"/>
              </w:rPr>
              <w:t>q=700（1+0.775lgP）/t</w:t>
            </w:r>
            <w:r>
              <w:rPr>
                <w:rFonts w:hint="default" w:ascii="Times New Roman" w:hAnsi="Times New Roman" w:eastAsia="宋体" w:cs="Times New Roman"/>
                <w:color w:val="0000FF"/>
                <w:sz w:val="24"/>
                <w:highlight w:val="none"/>
                <w:u w:val="none"/>
                <w:vertAlign w:val="superscript"/>
              </w:rPr>
              <w:t>0.496</w:t>
            </w:r>
          </w:p>
          <w:p w14:paraId="09A95B1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highlight w:val="none"/>
                <w:u w:val="none"/>
              </w:rPr>
            </w:pPr>
            <w:r>
              <w:rPr>
                <w:rFonts w:hint="default" w:ascii="Times New Roman" w:hAnsi="Times New Roman" w:eastAsia="宋体" w:cs="Times New Roman"/>
                <w:color w:val="0000FF"/>
                <w:sz w:val="24"/>
                <w:highlight w:val="none"/>
                <w:u w:val="none"/>
              </w:rPr>
              <w:t>式中：P—设计降雨重现期</w:t>
            </w:r>
            <w:r>
              <w:rPr>
                <w:rFonts w:hint="eastAsia" w:cs="Times New Roman"/>
                <w:color w:val="0000FF"/>
                <w:sz w:val="24"/>
                <w:highlight w:val="none"/>
                <w:u w:val="none"/>
                <w:lang w:val="en-US" w:eastAsia="zh-CN"/>
              </w:rPr>
              <w:t>3</w:t>
            </w:r>
            <w:r>
              <w:rPr>
                <w:rFonts w:hint="default" w:ascii="Times New Roman" w:hAnsi="Times New Roman" w:eastAsia="宋体" w:cs="Times New Roman"/>
                <w:color w:val="0000FF"/>
                <w:sz w:val="24"/>
                <w:highlight w:val="none"/>
                <w:u w:val="none"/>
              </w:rPr>
              <w:t>a；</w:t>
            </w:r>
          </w:p>
          <w:p w14:paraId="6617FEB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highlight w:val="none"/>
                <w:u w:val="none"/>
              </w:rPr>
            </w:pPr>
            <w:r>
              <w:rPr>
                <w:rFonts w:hint="default" w:ascii="Times New Roman" w:hAnsi="Times New Roman" w:eastAsia="宋体" w:cs="Times New Roman"/>
                <w:color w:val="0000FF"/>
                <w:sz w:val="24"/>
                <w:highlight w:val="none"/>
                <w:u w:val="none"/>
              </w:rPr>
              <w:t>t—降雨历时，取</w:t>
            </w:r>
            <w:r>
              <w:rPr>
                <w:rFonts w:hint="eastAsia" w:cs="Times New Roman"/>
                <w:color w:val="0000FF"/>
                <w:sz w:val="24"/>
                <w:highlight w:val="none"/>
                <w:u w:val="none"/>
                <w:lang w:val="en-US" w:eastAsia="zh-CN"/>
              </w:rPr>
              <w:t>30</w:t>
            </w:r>
            <w:r>
              <w:rPr>
                <w:rFonts w:hint="default" w:ascii="Times New Roman" w:hAnsi="Times New Roman" w:eastAsia="宋体" w:cs="Times New Roman"/>
                <w:color w:val="0000FF"/>
                <w:sz w:val="24"/>
                <w:highlight w:val="none"/>
                <w:u w:val="none"/>
              </w:rPr>
              <w:t>min。</w:t>
            </w:r>
          </w:p>
          <w:p w14:paraId="0D21805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0000FF"/>
                <w:sz w:val="24"/>
                <w:highlight w:val="none"/>
                <w:u w:val="none"/>
              </w:rPr>
            </w:pPr>
            <w:r>
              <w:rPr>
                <w:rFonts w:hint="default" w:ascii="Times New Roman" w:hAnsi="Times New Roman" w:eastAsia="宋体" w:cs="Times New Roman"/>
                <w:color w:val="0000FF"/>
                <w:sz w:val="24"/>
                <w:highlight w:val="none"/>
                <w:u w:val="none"/>
              </w:rPr>
              <w:t>计算得降雨强度q为</w:t>
            </w:r>
            <w:r>
              <w:rPr>
                <w:rFonts w:hint="eastAsia" w:cs="Times New Roman"/>
                <w:color w:val="0000FF"/>
                <w:sz w:val="24"/>
                <w:highlight w:val="none"/>
                <w:u w:val="none"/>
                <w:lang w:val="en-US" w:eastAsia="zh-CN"/>
              </w:rPr>
              <w:t>177.457</w:t>
            </w:r>
            <w:r>
              <w:rPr>
                <w:rFonts w:hint="default" w:ascii="Times New Roman" w:hAnsi="Times New Roman" w:eastAsia="宋体" w:cs="Times New Roman"/>
                <w:color w:val="0000FF"/>
                <w:sz w:val="24"/>
                <w:highlight w:val="none"/>
                <w:u w:val="none"/>
              </w:rPr>
              <w:t>L/s·hm</w:t>
            </w:r>
            <w:r>
              <w:rPr>
                <w:rFonts w:hint="default" w:ascii="Times New Roman" w:hAnsi="Times New Roman" w:eastAsia="宋体" w:cs="Times New Roman"/>
                <w:color w:val="0000FF"/>
                <w:sz w:val="24"/>
                <w:highlight w:val="none"/>
                <w:u w:val="none"/>
                <w:vertAlign w:val="superscript"/>
              </w:rPr>
              <w:t>2</w:t>
            </w:r>
            <w:r>
              <w:rPr>
                <w:rFonts w:hint="default" w:ascii="Times New Roman" w:hAnsi="Times New Roman" w:eastAsia="宋体" w:cs="Times New Roman"/>
                <w:color w:val="0000FF"/>
                <w:sz w:val="24"/>
                <w:highlight w:val="none"/>
                <w:u w:val="none"/>
              </w:rPr>
              <w:t>。</w:t>
            </w:r>
          </w:p>
          <w:p w14:paraId="2A372EBE">
            <w:pPr>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eastAsia="宋体" w:cs="Times New Roman"/>
                <w:b w:val="0"/>
                <w:bCs w:val="0"/>
                <w:color w:val="auto"/>
                <w:spacing w:val="11"/>
                <w:sz w:val="24"/>
                <w:u w:val="none"/>
                <w:lang w:val="en-US" w:eastAsia="zh-CN"/>
              </w:rPr>
            </w:pPr>
            <w:r>
              <w:rPr>
                <w:rFonts w:hint="default" w:ascii="Times New Roman" w:hAnsi="Times New Roman" w:eastAsia="宋体" w:cs="Times New Roman"/>
                <w:color w:val="0000FF"/>
                <w:sz w:val="24"/>
                <w:highlight w:val="none"/>
                <w:u w:val="none"/>
                <w:lang w:val="en-US" w:eastAsia="zh-CN"/>
              </w:rPr>
              <w:t>本项目汇水面积</w:t>
            </w:r>
            <w:r>
              <w:rPr>
                <w:rFonts w:hint="default" w:ascii="Times New Roman" w:hAnsi="Times New Roman" w:eastAsia="宋体" w:cs="Times New Roman"/>
                <w:color w:val="0000FF"/>
                <w:sz w:val="24"/>
                <w:szCs w:val="24"/>
                <w:highlight w:val="none"/>
                <w:u w:val="none"/>
                <w:lang w:val="en-US" w:eastAsia="zh-CN"/>
              </w:rPr>
              <w:t>洒水面积按照</w:t>
            </w:r>
            <w:r>
              <w:rPr>
                <w:rFonts w:hint="default" w:ascii="Times New Roman" w:hAnsi="Times New Roman" w:cs="Times New Roman"/>
                <w:color w:val="0000FF"/>
                <w:sz w:val="24"/>
                <w:szCs w:val="24"/>
                <w:highlight w:val="none"/>
                <w:u w:val="none"/>
                <w:lang w:val="en-US" w:eastAsia="zh-CN"/>
              </w:rPr>
              <w:t>除生活区、</w:t>
            </w:r>
            <w:r>
              <w:rPr>
                <w:rFonts w:hint="eastAsia" w:cs="Times New Roman"/>
                <w:color w:val="0000FF"/>
                <w:sz w:val="24"/>
                <w:szCs w:val="24"/>
                <w:highlight w:val="none"/>
                <w:u w:val="none"/>
                <w:lang w:val="en-US" w:eastAsia="zh-CN"/>
              </w:rPr>
              <w:t>排水管</w:t>
            </w:r>
            <w:r>
              <w:rPr>
                <w:rFonts w:hint="default" w:ascii="Times New Roman" w:hAnsi="Times New Roman" w:cs="Times New Roman"/>
                <w:color w:val="0000FF"/>
                <w:sz w:val="24"/>
                <w:szCs w:val="24"/>
                <w:highlight w:val="none"/>
                <w:u w:val="none"/>
                <w:lang w:val="en-US" w:eastAsia="zh-CN"/>
              </w:rPr>
              <w:t>、</w:t>
            </w:r>
            <w:r>
              <w:rPr>
                <w:rFonts w:hint="eastAsia" w:cs="Times New Roman"/>
                <w:color w:val="0000FF"/>
                <w:sz w:val="24"/>
                <w:szCs w:val="24"/>
                <w:highlight w:val="none"/>
                <w:u w:val="none"/>
                <w:lang w:val="en-US" w:eastAsia="zh-CN"/>
              </w:rPr>
              <w:t>雨水收集沟、</w:t>
            </w:r>
            <w:r>
              <w:rPr>
                <w:rFonts w:hint="default" w:ascii="Times New Roman" w:hAnsi="Times New Roman" w:cs="Times New Roman"/>
                <w:color w:val="0000FF"/>
                <w:sz w:val="24"/>
                <w:szCs w:val="24"/>
                <w:highlight w:val="none"/>
                <w:u w:val="none"/>
                <w:lang w:val="en-US" w:eastAsia="zh-CN"/>
              </w:rPr>
              <w:t>晾晒厂房、储煤仓库、泵房等区域面积</w:t>
            </w:r>
            <w:r>
              <w:rPr>
                <w:rFonts w:hint="eastAsia" w:ascii="Times New Roman" w:hAnsi="Times New Roman" w:cs="Times New Roman"/>
                <w:color w:val="0000FF"/>
                <w:sz w:val="24"/>
                <w:szCs w:val="24"/>
                <w:highlight w:val="none"/>
                <w:u w:val="none"/>
                <w:lang w:val="en-US" w:eastAsia="zh-CN"/>
              </w:rPr>
              <w:t>约为</w:t>
            </w:r>
            <w:r>
              <w:rPr>
                <w:rFonts w:hint="default" w:ascii="Times New Roman" w:hAnsi="Times New Roman" w:cs="Times New Roman"/>
                <w:color w:val="0000FF"/>
                <w:sz w:val="24"/>
                <w:szCs w:val="24"/>
                <w:highlight w:val="none"/>
                <w:u w:val="none"/>
                <w:lang w:val="en-US" w:eastAsia="zh-CN"/>
              </w:rPr>
              <w:t>54</w:t>
            </w:r>
            <w:r>
              <w:rPr>
                <w:rFonts w:hint="eastAsia" w:cs="Times New Roman"/>
                <w:color w:val="0000FF"/>
                <w:sz w:val="24"/>
                <w:szCs w:val="24"/>
                <w:highlight w:val="none"/>
                <w:u w:val="none"/>
                <w:lang w:val="en-US" w:eastAsia="zh-CN"/>
              </w:rPr>
              <w:t>743</w:t>
            </w:r>
            <w:r>
              <w:rPr>
                <w:rFonts w:hint="default" w:ascii="Times New Roman" w:hAnsi="Times New Roman" w:cs="Times New Roman"/>
                <w:color w:val="0000FF"/>
                <w:sz w:val="24"/>
                <w:szCs w:val="24"/>
                <w:highlight w:val="none"/>
                <w:u w:val="none"/>
                <w:lang w:val="en-US" w:eastAsia="zh-CN"/>
              </w:rPr>
              <w:t>m</w:t>
            </w:r>
            <w:r>
              <w:rPr>
                <w:rFonts w:hint="default" w:ascii="Times New Roman" w:hAnsi="Times New Roman" w:cs="Times New Roman"/>
                <w:color w:val="0000FF"/>
                <w:sz w:val="24"/>
                <w:szCs w:val="24"/>
                <w:highlight w:val="none"/>
                <w:u w:val="none"/>
                <w:vertAlign w:val="superscript"/>
                <w:lang w:val="en-US" w:eastAsia="zh-CN"/>
              </w:rPr>
              <w:t>2</w:t>
            </w:r>
            <w:r>
              <w:rPr>
                <w:rFonts w:hint="default" w:ascii="Times New Roman" w:hAnsi="Times New Roman" w:eastAsia="宋体" w:cs="Times New Roman"/>
                <w:color w:val="0000FF"/>
                <w:sz w:val="24"/>
                <w:highlight w:val="none"/>
                <w:u w:val="none"/>
                <w:lang w:val="en-US" w:eastAsia="zh-CN"/>
              </w:rPr>
              <w:t>。经计算，汇水区域雨水流量为</w:t>
            </w:r>
            <w:r>
              <w:rPr>
                <w:rFonts w:hint="eastAsia" w:cs="Times New Roman"/>
                <w:color w:val="0000FF"/>
                <w:sz w:val="24"/>
                <w:highlight w:val="none"/>
                <w:u w:val="none"/>
                <w:lang w:val="en-US" w:eastAsia="zh-CN"/>
              </w:rPr>
              <w:t>825.735</w:t>
            </w:r>
            <w:r>
              <w:rPr>
                <w:rFonts w:hint="default" w:ascii="Times New Roman" w:hAnsi="Times New Roman" w:eastAsia="宋体" w:cs="Times New Roman"/>
                <w:color w:val="0000FF"/>
                <w:sz w:val="24"/>
                <w:highlight w:val="none"/>
                <w:u w:val="none"/>
                <w:lang w:val="en-US" w:eastAsia="zh-CN"/>
              </w:rPr>
              <w:t>L/s，</w:t>
            </w:r>
            <w:r>
              <w:rPr>
                <w:rFonts w:hint="default" w:ascii="Times New Roman" w:hAnsi="Times New Roman" w:cs="Times New Roman"/>
                <w:color w:val="0000FF"/>
                <w:sz w:val="24"/>
                <w:highlight w:val="none"/>
                <w:u w:val="none"/>
                <w:lang w:val="en-US" w:eastAsia="zh-CN"/>
              </w:rPr>
              <w:t>根据《化工建设项目环境保护设计标准》初期产生的雨水宜取一次降雨初期15min-30min雨量。</w:t>
            </w:r>
            <w:r>
              <w:rPr>
                <w:rFonts w:hint="default" w:ascii="Times New Roman" w:hAnsi="Times New Roman" w:eastAsia="宋体" w:cs="Times New Roman"/>
                <w:color w:val="0000FF"/>
                <w:sz w:val="24"/>
                <w:highlight w:val="none"/>
                <w:u w:val="none"/>
                <w:lang w:val="en-US" w:eastAsia="zh-CN"/>
              </w:rPr>
              <w:t>建设单位拟对暴雨条件下前</w:t>
            </w:r>
            <w:r>
              <w:rPr>
                <w:rFonts w:hint="eastAsia" w:cs="Times New Roman"/>
                <w:color w:val="0000FF"/>
                <w:sz w:val="24"/>
                <w:highlight w:val="none"/>
                <w:u w:val="none"/>
                <w:lang w:val="en-US" w:eastAsia="zh-CN"/>
              </w:rPr>
              <w:t>15</w:t>
            </w:r>
            <w:r>
              <w:rPr>
                <w:rFonts w:hint="default" w:ascii="Times New Roman" w:hAnsi="Times New Roman" w:eastAsia="宋体" w:cs="Times New Roman"/>
                <w:color w:val="0000FF"/>
                <w:sz w:val="24"/>
                <w:highlight w:val="none"/>
                <w:u w:val="none"/>
              </w:rPr>
              <w:t>min</w:t>
            </w:r>
            <w:r>
              <w:rPr>
                <w:rFonts w:hint="default" w:ascii="Times New Roman" w:hAnsi="Times New Roman" w:eastAsia="宋体" w:cs="Times New Roman"/>
                <w:color w:val="0000FF"/>
                <w:sz w:val="24"/>
                <w:highlight w:val="none"/>
                <w:u w:val="none"/>
                <w:lang w:val="en-US" w:eastAsia="zh-CN"/>
              </w:rPr>
              <w:t>初期雨水进行收集处理，</w:t>
            </w:r>
            <w:r>
              <w:rPr>
                <w:rFonts w:hint="default" w:ascii="Times New Roman" w:hAnsi="Times New Roman" w:cs="Times New Roman"/>
                <w:color w:val="0000FF"/>
                <w:sz w:val="24"/>
                <w:highlight w:val="none"/>
                <w:u w:val="none"/>
                <w:lang w:val="en-US" w:eastAsia="zh-CN"/>
              </w:rPr>
              <w:t>本项目</w:t>
            </w:r>
            <w:r>
              <w:rPr>
                <w:rFonts w:hint="default" w:ascii="Times New Roman" w:hAnsi="Times New Roman" w:eastAsia="宋体" w:cs="Times New Roman"/>
                <w:color w:val="0000FF"/>
                <w:sz w:val="24"/>
                <w:highlight w:val="none"/>
                <w:u w:val="none"/>
                <w:lang w:val="en-US" w:eastAsia="zh-CN"/>
              </w:rPr>
              <w:t>初期雨水产生量为</w:t>
            </w:r>
            <w:r>
              <w:rPr>
                <w:rFonts w:hint="eastAsia" w:cs="Times New Roman"/>
                <w:color w:val="0000FF"/>
                <w:sz w:val="24"/>
                <w:highlight w:val="none"/>
                <w:u w:val="none"/>
                <w:lang w:val="en-US" w:eastAsia="zh-CN"/>
              </w:rPr>
              <w:t>743.162</w:t>
            </w:r>
            <w:r>
              <w:rPr>
                <w:rFonts w:hint="default" w:ascii="Times New Roman" w:hAnsi="Times New Roman" w:eastAsia="宋体" w:cs="Times New Roman"/>
                <w:b w:val="0"/>
                <w:bCs w:val="0"/>
                <w:color w:val="0000FF"/>
                <w:sz w:val="24"/>
                <w:u w:val="none"/>
                <w:lang w:val="en-US" w:eastAsia="zh-CN"/>
              </w:rPr>
              <w:t>m</w:t>
            </w:r>
            <w:r>
              <w:rPr>
                <w:rFonts w:hint="default" w:ascii="Times New Roman" w:hAnsi="Times New Roman" w:eastAsia="宋体" w:cs="Times New Roman"/>
                <w:b w:val="0"/>
                <w:bCs w:val="0"/>
                <w:color w:val="0000FF"/>
                <w:sz w:val="24"/>
                <w:u w:val="none"/>
                <w:vertAlign w:val="superscript"/>
                <w:lang w:val="en-US" w:eastAsia="zh-CN"/>
              </w:rPr>
              <w:t>3</w:t>
            </w:r>
            <w:r>
              <w:rPr>
                <w:rFonts w:hint="default" w:ascii="Times New Roman" w:hAnsi="Times New Roman" w:eastAsia="宋体" w:cs="Times New Roman"/>
                <w:b w:val="0"/>
                <w:bCs w:val="0"/>
                <w:color w:val="0000FF"/>
                <w:sz w:val="24"/>
                <w:u w:val="none"/>
                <w:lang w:val="en-US" w:eastAsia="zh-CN"/>
              </w:rPr>
              <w:t>/d</w:t>
            </w:r>
            <w:r>
              <w:rPr>
                <w:rFonts w:hint="default" w:ascii="Times New Roman" w:hAnsi="Times New Roman" w:cs="Times New Roman"/>
                <w:b w:val="0"/>
                <w:bCs w:val="0"/>
                <w:color w:val="0000FF"/>
                <w:sz w:val="24"/>
                <w:u w:val="none"/>
                <w:lang w:val="en-US" w:eastAsia="zh-CN"/>
              </w:rPr>
              <w:t>，</w:t>
            </w:r>
            <w:r>
              <w:rPr>
                <w:rFonts w:hint="eastAsia" w:cs="Times New Roman"/>
                <w:b w:val="0"/>
                <w:bCs w:val="0"/>
                <w:color w:val="0000FF"/>
                <w:sz w:val="24"/>
                <w:u w:val="none"/>
                <w:lang w:val="en-US" w:eastAsia="zh-CN"/>
              </w:rPr>
              <w:t>全年雨季按150d计，则全年</w:t>
            </w:r>
            <w:r>
              <w:rPr>
                <w:rFonts w:hint="default" w:ascii="Times New Roman" w:hAnsi="Times New Roman" w:eastAsia="宋体" w:cs="Times New Roman"/>
                <w:color w:val="0000FF"/>
                <w:sz w:val="24"/>
                <w:highlight w:val="none"/>
                <w:u w:val="none"/>
                <w:lang w:val="en-US" w:eastAsia="zh-CN"/>
              </w:rPr>
              <w:t>初期雨水产生量为</w:t>
            </w:r>
            <w:r>
              <w:rPr>
                <w:rFonts w:hint="eastAsia" w:cs="Times New Roman"/>
                <w:color w:val="0000FF"/>
                <w:sz w:val="24"/>
                <w:highlight w:val="none"/>
                <w:u w:val="none"/>
                <w:lang w:val="en-US" w:eastAsia="zh-CN"/>
              </w:rPr>
              <w:t>111474.3</w:t>
            </w:r>
            <w:r>
              <w:rPr>
                <w:rFonts w:hint="default" w:ascii="Times New Roman" w:hAnsi="Times New Roman" w:eastAsia="宋体" w:cs="Times New Roman"/>
                <w:b w:val="0"/>
                <w:bCs w:val="0"/>
                <w:color w:val="0000FF"/>
                <w:sz w:val="24"/>
                <w:u w:val="none"/>
                <w:lang w:val="en-US" w:eastAsia="zh-CN"/>
              </w:rPr>
              <w:t>m</w:t>
            </w:r>
            <w:r>
              <w:rPr>
                <w:rFonts w:hint="default" w:ascii="Times New Roman" w:hAnsi="Times New Roman" w:eastAsia="宋体" w:cs="Times New Roman"/>
                <w:b w:val="0"/>
                <w:bCs w:val="0"/>
                <w:color w:val="0000FF"/>
                <w:sz w:val="24"/>
                <w:u w:val="none"/>
                <w:vertAlign w:val="superscript"/>
                <w:lang w:val="en-US" w:eastAsia="zh-CN"/>
              </w:rPr>
              <w:t>3</w:t>
            </w:r>
            <w:r>
              <w:rPr>
                <w:rFonts w:hint="default" w:ascii="Times New Roman" w:hAnsi="Times New Roman" w:eastAsia="宋体" w:cs="Times New Roman"/>
                <w:b w:val="0"/>
                <w:bCs w:val="0"/>
                <w:color w:val="0000FF"/>
                <w:sz w:val="24"/>
                <w:u w:val="none"/>
                <w:lang w:val="en-US" w:eastAsia="zh-CN"/>
              </w:rPr>
              <w:t>/</w:t>
            </w:r>
            <w:r>
              <w:rPr>
                <w:rFonts w:hint="eastAsia" w:cs="Times New Roman"/>
                <w:b w:val="0"/>
                <w:bCs w:val="0"/>
                <w:color w:val="0000FF"/>
                <w:sz w:val="24"/>
                <w:u w:val="none"/>
                <w:lang w:val="en-US" w:eastAsia="zh-CN"/>
              </w:rPr>
              <w:t>a</w:t>
            </w:r>
            <w:r>
              <w:rPr>
                <w:rFonts w:hint="default" w:ascii="Times New Roman" w:hAnsi="Times New Roman" w:cs="Times New Roman"/>
                <w:b w:val="0"/>
                <w:bCs w:val="0"/>
                <w:color w:val="0000FF"/>
                <w:sz w:val="24"/>
                <w:u w:val="none"/>
                <w:lang w:val="en-US" w:eastAsia="zh-CN"/>
              </w:rPr>
              <w:t>，</w:t>
            </w:r>
            <w:r>
              <w:rPr>
                <w:rFonts w:hint="eastAsia" w:cs="Times New Roman"/>
                <w:b w:val="0"/>
                <w:bCs w:val="0"/>
                <w:color w:val="0000FF"/>
                <w:sz w:val="24"/>
                <w:u w:val="none"/>
                <w:lang w:val="en-US" w:eastAsia="zh-CN"/>
              </w:rPr>
              <w:t>项目设置750m</w:t>
            </w:r>
            <w:r>
              <w:rPr>
                <w:rFonts w:hint="eastAsia" w:cs="Times New Roman"/>
                <w:b w:val="0"/>
                <w:bCs w:val="0"/>
                <w:color w:val="0000FF"/>
                <w:sz w:val="24"/>
                <w:u w:val="none"/>
                <w:vertAlign w:val="superscript"/>
                <w:lang w:val="en-US" w:eastAsia="zh-CN"/>
              </w:rPr>
              <w:t>3</w:t>
            </w:r>
            <w:r>
              <w:rPr>
                <w:rFonts w:hint="eastAsia" w:cs="Times New Roman"/>
                <w:b w:val="0"/>
                <w:bCs w:val="0"/>
                <w:color w:val="0000FF"/>
                <w:sz w:val="24"/>
                <w:u w:val="none"/>
                <w:lang w:val="en-US" w:eastAsia="zh-CN"/>
              </w:rPr>
              <w:t>雨水收集池，</w:t>
            </w:r>
            <w:r>
              <w:rPr>
                <w:rFonts w:hint="default" w:ascii="Times New Roman" w:hAnsi="Times New Roman" w:eastAsia="宋体" w:cs="Times New Roman"/>
                <w:b w:val="0"/>
                <w:bCs w:val="0"/>
                <w:color w:val="0000FF"/>
                <w:sz w:val="24"/>
                <w:szCs w:val="24"/>
                <w:highlight w:val="none"/>
                <w:u w:val="none"/>
                <w:lang w:val="en-US" w:eastAsia="zh-CN"/>
              </w:rPr>
              <w:t>进入</w:t>
            </w:r>
            <w:r>
              <w:rPr>
                <w:rFonts w:hint="eastAsia" w:cs="Times New Roman"/>
                <w:b w:val="0"/>
                <w:bCs w:val="0"/>
                <w:color w:val="0000FF"/>
                <w:sz w:val="24"/>
                <w:szCs w:val="24"/>
                <w:highlight w:val="none"/>
                <w:u w:val="none"/>
                <w:lang w:val="en-US" w:eastAsia="zh-CN"/>
              </w:rPr>
              <w:t>雨水</w:t>
            </w:r>
            <w:r>
              <w:rPr>
                <w:rFonts w:hint="default" w:ascii="Times New Roman" w:hAnsi="Times New Roman" w:cs="Times New Roman"/>
                <w:b w:val="0"/>
                <w:bCs w:val="0"/>
                <w:color w:val="0000FF"/>
                <w:sz w:val="24"/>
                <w:szCs w:val="24"/>
                <w:highlight w:val="none"/>
                <w:u w:val="none"/>
                <w:lang w:val="en-US" w:eastAsia="zh-CN"/>
              </w:rPr>
              <w:t>收集池收集沉淀池沉淀，用于</w:t>
            </w:r>
            <w:r>
              <w:rPr>
                <w:rFonts w:hint="eastAsia" w:cs="Times New Roman"/>
                <w:b w:val="0"/>
                <w:bCs w:val="0"/>
                <w:color w:val="0000FF"/>
                <w:sz w:val="24"/>
                <w:szCs w:val="24"/>
                <w:highlight w:val="none"/>
                <w:u w:val="none"/>
                <w:lang w:val="en-US" w:eastAsia="zh-CN"/>
              </w:rPr>
              <w:t>场内</w:t>
            </w:r>
            <w:r>
              <w:rPr>
                <w:rFonts w:hint="default" w:ascii="Times New Roman" w:hAnsi="Times New Roman" w:cs="Times New Roman"/>
                <w:b w:val="0"/>
                <w:bCs w:val="0"/>
                <w:color w:val="0000FF"/>
                <w:sz w:val="24"/>
                <w:szCs w:val="24"/>
                <w:highlight w:val="none"/>
                <w:u w:val="none"/>
                <w:lang w:val="en-US" w:eastAsia="zh-CN"/>
              </w:rPr>
              <w:t>洒水降尘，不外排。</w:t>
            </w:r>
          </w:p>
          <w:p w14:paraId="1634E3E9">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u w:val="none"/>
              </w:rPr>
            </w:pPr>
            <w:r>
              <w:rPr>
                <w:rFonts w:hint="default" w:ascii="Times New Roman" w:hAnsi="Times New Roman" w:cs="Times New Roman"/>
                <w:color w:val="auto"/>
                <w:highlight w:val="none"/>
                <w:u w:val="none"/>
                <w:lang w:val="en-US" w:eastAsia="zh-CN"/>
              </w:rPr>
              <w:t>本项目用水及排水情况见下表：</w:t>
            </w:r>
          </w:p>
          <w:p w14:paraId="7A4153FC">
            <w:pPr>
              <w:pStyle w:val="29"/>
              <w:bidi w:val="0"/>
              <w:rPr>
                <w:rFonts w:hint="default" w:ascii="Times New Roman" w:hAnsi="Times New Roman" w:cs="Times New Roman"/>
                <w:color w:val="0000FF"/>
                <w:highlight w:val="none"/>
                <w:u w:val="none"/>
                <w:lang w:val="en-US" w:eastAsia="zh-CN"/>
              </w:rPr>
            </w:pPr>
            <w:r>
              <w:rPr>
                <w:rFonts w:hint="default" w:ascii="Times New Roman" w:hAnsi="Times New Roman" w:eastAsia="宋体" w:cs="Times New Roman"/>
                <w:b/>
                <w:bCs/>
                <w:color w:val="0000FF"/>
                <w:highlight w:val="none"/>
                <w:u w:val="none"/>
                <w:lang w:val="en-US" w:eastAsia="zh-CN"/>
              </w:rPr>
              <w:t>表2-5  本项目用水量估算表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6"/>
              <w:gridCol w:w="899"/>
              <w:gridCol w:w="1093"/>
              <w:gridCol w:w="899"/>
              <w:gridCol w:w="988"/>
              <w:gridCol w:w="1852"/>
            </w:tblGrid>
            <w:tr w14:paraId="36503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181" w:type="pct"/>
                  <w:vMerge w:val="restart"/>
                  <w:tcBorders>
                    <w:tl2br w:val="nil"/>
                    <w:tr2bl w:val="nil"/>
                  </w:tcBorders>
                  <w:vAlign w:val="center"/>
                </w:tcPr>
                <w:p w14:paraId="4DABA11E">
                  <w:pPr>
                    <w:pStyle w:val="33"/>
                    <w:bidi w:val="0"/>
                    <w:rPr>
                      <w:rFonts w:hint="default" w:ascii="Times New Roman" w:hAnsi="Times New Roman" w:cs="Times New Roman"/>
                      <w:b/>
                      <w:bCs/>
                      <w:color w:val="0000FF"/>
                      <w:u w:val="none"/>
                      <w:lang w:val="en-US" w:eastAsia="zh-CN"/>
                    </w:rPr>
                  </w:pPr>
                  <w:r>
                    <w:rPr>
                      <w:rFonts w:hint="default" w:ascii="Times New Roman" w:hAnsi="Times New Roman" w:cs="Times New Roman"/>
                      <w:b/>
                      <w:bCs/>
                      <w:color w:val="0000FF"/>
                      <w:u w:val="none"/>
                      <w:lang w:val="en-US" w:eastAsia="zh-CN"/>
                    </w:rPr>
                    <w:t>类别</w:t>
                  </w:r>
                </w:p>
              </w:tc>
              <w:tc>
                <w:tcPr>
                  <w:tcW w:w="1330" w:type="pct"/>
                  <w:gridSpan w:val="2"/>
                  <w:tcBorders>
                    <w:tl2br w:val="nil"/>
                    <w:tr2bl w:val="nil"/>
                  </w:tcBorders>
                  <w:vAlign w:val="center"/>
                </w:tcPr>
                <w:p w14:paraId="2C90BC01">
                  <w:pPr>
                    <w:pStyle w:val="33"/>
                    <w:bidi w:val="0"/>
                    <w:rPr>
                      <w:rFonts w:hint="default" w:ascii="Times New Roman" w:hAnsi="Times New Roman" w:cs="Times New Roman"/>
                      <w:b/>
                      <w:bCs/>
                      <w:color w:val="0000FF"/>
                      <w:u w:val="none"/>
                      <w:lang w:val="en-US" w:eastAsia="zh-CN"/>
                    </w:rPr>
                  </w:pPr>
                  <w:r>
                    <w:rPr>
                      <w:rFonts w:hint="default" w:ascii="Times New Roman" w:hAnsi="Times New Roman" w:cs="Times New Roman"/>
                      <w:b/>
                      <w:bCs/>
                      <w:color w:val="0000FF"/>
                      <w:u w:val="none"/>
                      <w:lang w:val="en-US" w:eastAsia="zh-CN"/>
                    </w:rPr>
                    <w:t>用水量</w:t>
                  </w:r>
                </w:p>
              </w:tc>
              <w:tc>
                <w:tcPr>
                  <w:tcW w:w="1210" w:type="pct"/>
                  <w:gridSpan w:val="2"/>
                  <w:tcBorders>
                    <w:tl2br w:val="nil"/>
                    <w:tr2bl w:val="nil"/>
                  </w:tcBorders>
                  <w:vAlign w:val="center"/>
                </w:tcPr>
                <w:p w14:paraId="35E3F3FE">
                  <w:pPr>
                    <w:pStyle w:val="33"/>
                    <w:bidi w:val="0"/>
                    <w:rPr>
                      <w:rFonts w:hint="default" w:ascii="Times New Roman" w:hAnsi="Times New Roman" w:cs="Times New Roman"/>
                      <w:b/>
                      <w:bCs/>
                      <w:color w:val="0000FF"/>
                      <w:u w:val="none"/>
                      <w:lang w:val="en-US" w:eastAsia="zh-CN"/>
                    </w:rPr>
                  </w:pPr>
                  <w:r>
                    <w:rPr>
                      <w:rFonts w:hint="default" w:ascii="Times New Roman" w:hAnsi="Times New Roman" w:cs="Times New Roman"/>
                      <w:b/>
                      <w:bCs/>
                      <w:color w:val="0000FF"/>
                      <w:u w:val="none"/>
                      <w:lang w:val="en-US" w:eastAsia="zh-CN"/>
                    </w:rPr>
                    <w:t>废水产生量</w:t>
                  </w:r>
                </w:p>
              </w:tc>
              <w:tc>
                <w:tcPr>
                  <w:tcW w:w="1277" w:type="pct"/>
                  <w:vMerge w:val="restart"/>
                  <w:tcBorders>
                    <w:tl2br w:val="nil"/>
                    <w:tr2bl w:val="nil"/>
                  </w:tcBorders>
                  <w:vAlign w:val="center"/>
                </w:tcPr>
                <w:p w14:paraId="5056A137">
                  <w:pPr>
                    <w:pStyle w:val="33"/>
                    <w:bidi w:val="0"/>
                    <w:rPr>
                      <w:rFonts w:hint="default" w:ascii="Times New Roman" w:hAnsi="Times New Roman" w:cs="Times New Roman"/>
                      <w:b/>
                      <w:bCs/>
                      <w:color w:val="0000FF"/>
                      <w:u w:val="none"/>
                      <w:lang w:val="en-US" w:eastAsia="zh-CN"/>
                    </w:rPr>
                  </w:pPr>
                  <w:r>
                    <w:rPr>
                      <w:rFonts w:hint="default" w:ascii="Times New Roman" w:hAnsi="Times New Roman" w:cs="Times New Roman"/>
                      <w:b/>
                      <w:bCs/>
                      <w:color w:val="0000FF"/>
                      <w:u w:val="none"/>
                      <w:lang w:val="en-US" w:eastAsia="zh-CN"/>
                    </w:rPr>
                    <w:t>废水去向</w:t>
                  </w:r>
                </w:p>
              </w:tc>
            </w:tr>
            <w:tr w14:paraId="5C38A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1" w:type="pct"/>
                  <w:vMerge w:val="continue"/>
                  <w:tcBorders>
                    <w:tl2br w:val="nil"/>
                    <w:tr2bl w:val="nil"/>
                  </w:tcBorders>
                  <w:vAlign w:val="center"/>
                </w:tcPr>
                <w:p w14:paraId="52464B5B">
                  <w:pPr>
                    <w:pStyle w:val="33"/>
                    <w:bidi w:val="0"/>
                    <w:rPr>
                      <w:rFonts w:hint="default" w:ascii="Times New Roman" w:hAnsi="Times New Roman" w:cs="Times New Roman"/>
                      <w:color w:val="0000FF"/>
                      <w:u w:val="none"/>
                      <w:lang w:val="en-US" w:eastAsia="zh-CN"/>
                    </w:rPr>
                  </w:pPr>
                </w:p>
              </w:tc>
              <w:tc>
                <w:tcPr>
                  <w:tcW w:w="613" w:type="pct"/>
                  <w:tcBorders>
                    <w:tl2br w:val="nil"/>
                    <w:tr2bl w:val="nil"/>
                  </w:tcBorders>
                  <w:vAlign w:val="center"/>
                </w:tcPr>
                <w:p w14:paraId="7CA5D223">
                  <w:pPr>
                    <w:pStyle w:val="33"/>
                    <w:bidi w:val="0"/>
                    <w:rPr>
                      <w:rFonts w:hint="default" w:ascii="Times New Roman" w:hAnsi="Times New Roman" w:cs="Times New Roman"/>
                      <w:b/>
                      <w:bCs/>
                      <w:color w:val="0000FF"/>
                      <w:u w:val="none"/>
                      <w:lang w:val="en-US" w:eastAsia="zh-CN"/>
                    </w:rPr>
                  </w:pPr>
                  <w:r>
                    <w:rPr>
                      <w:rFonts w:hint="default" w:ascii="Times New Roman" w:hAnsi="Times New Roman" w:cs="Times New Roman"/>
                      <w:b/>
                      <w:bCs/>
                      <w:color w:val="0000FF"/>
                      <w:u w:val="none"/>
                      <w:lang w:val="en-US" w:eastAsia="zh-CN"/>
                    </w:rPr>
                    <w:t>m</w:t>
                  </w:r>
                  <w:r>
                    <w:rPr>
                      <w:rFonts w:hint="default" w:ascii="Times New Roman" w:hAnsi="Times New Roman" w:cs="Times New Roman"/>
                      <w:b/>
                      <w:bCs/>
                      <w:color w:val="0000FF"/>
                      <w:u w:val="none"/>
                      <w:vertAlign w:val="superscript"/>
                      <w:lang w:val="en-US" w:eastAsia="zh-CN"/>
                    </w:rPr>
                    <w:t>3</w:t>
                  </w:r>
                  <w:r>
                    <w:rPr>
                      <w:rFonts w:hint="default" w:ascii="Times New Roman" w:hAnsi="Times New Roman" w:cs="Times New Roman"/>
                      <w:b/>
                      <w:bCs/>
                      <w:color w:val="0000FF"/>
                      <w:u w:val="none"/>
                      <w:lang w:val="en-US" w:eastAsia="zh-CN"/>
                    </w:rPr>
                    <w:t>/d</w:t>
                  </w:r>
                </w:p>
              </w:tc>
              <w:tc>
                <w:tcPr>
                  <w:tcW w:w="716" w:type="pct"/>
                  <w:tcBorders>
                    <w:tl2br w:val="nil"/>
                    <w:tr2bl w:val="nil"/>
                  </w:tcBorders>
                  <w:vAlign w:val="center"/>
                </w:tcPr>
                <w:p w14:paraId="353E617E">
                  <w:pPr>
                    <w:pStyle w:val="33"/>
                    <w:bidi w:val="0"/>
                    <w:rPr>
                      <w:rFonts w:hint="default" w:ascii="Times New Roman" w:hAnsi="Times New Roman" w:cs="Times New Roman"/>
                      <w:b/>
                      <w:bCs/>
                      <w:color w:val="0000FF"/>
                      <w:u w:val="none"/>
                      <w:lang w:val="en-US" w:eastAsia="zh-CN"/>
                    </w:rPr>
                  </w:pPr>
                  <w:r>
                    <w:rPr>
                      <w:rFonts w:hint="default" w:ascii="Times New Roman" w:hAnsi="Times New Roman" w:cs="Times New Roman"/>
                      <w:b/>
                      <w:bCs/>
                      <w:color w:val="0000FF"/>
                      <w:u w:val="none"/>
                      <w:lang w:val="en-US" w:eastAsia="zh-CN"/>
                    </w:rPr>
                    <w:t>m</w:t>
                  </w:r>
                  <w:r>
                    <w:rPr>
                      <w:rFonts w:hint="default" w:ascii="Times New Roman" w:hAnsi="Times New Roman" w:cs="Times New Roman"/>
                      <w:b/>
                      <w:bCs/>
                      <w:color w:val="0000FF"/>
                      <w:u w:val="none"/>
                      <w:vertAlign w:val="superscript"/>
                      <w:lang w:val="en-US" w:eastAsia="zh-CN"/>
                    </w:rPr>
                    <w:t>3</w:t>
                  </w:r>
                  <w:r>
                    <w:rPr>
                      <w:rFonts w:hint="default" w:ascii="Times New Roman" w:hAnsi="Times New Roman" w:cs="Times New Roman"/>
                      <w:b/>
                      <w:bCs/>
                      <w:color w:val="0000FF"/>
                      <w:u w:val="none"/>
                      <w:lang w:val="en-US" w:eastAsia="zh-CN"/>
                    </w:rPr>
                    <w:t>/a</w:t>
                  </w:r>
                </w:p>
              </w:tc>
              <w:tc>
                <w:tcPr>
                  <w:tcW w:w="542" w:type="pct"/>
                  <w:tcBorders>
                    <w:tl2br w:val="nil"/>
                    <w:tr2bl w:val="nil"/>
                  </w:tcBorders>
                  <w:vAlign w:val="center"/>
                </w:tcPr>
                <w:p w14:paraId="45857984">
                  <w:pPr>
                    <w:pStyle w:val="33"/>
                    <w:bidi w:val="0"/>
                    <w:ind w:firstLine="0" w:firstLineChars="0"/>
                    <w:rPr>
                      <w:rFonts w:hint="default" w:ascii="Times New Roman" w:hAnsi="Times New Roman" w:eastAsia="宋体" w:cs="Times New Roman"/>
                      <w:b/>
                      <w:bCs/>
                      <w:color w:val="0000FF"/>
                      <w:kern w:val="2"/>
                      <w:sz w:val="21"/>
                      <w:szCs w:val="24"/>
                      <w:u w:val="none"/>
                      <w:lang w:val="en-US" w:eastAsia="zh-CN" w:bidi="ar-SA"/>
                    </w:rPr>
                  </w:pPr>
                  <w:r>
                    <w:rPr>
                      <w:rFonts w:hint="default" w:ascii="Times New Roman" w:hAnsi="Times New Roman" w:cs="Times New Roman"/>
                      <w:b/>
                      <w:bCs/>
                      <w:color w:val="0000FF"/>
                      <w:u w:val="none"/>
                      <w:lang w:val="en-US" w:eastAsia="zh-CN"/>
                    </w:rPr>
                    <w:t>m</w:t>
                  </w:r>
                  <w:r>
                    <w:rPr>
                      <w:rFonts w:hint="default" w:ascii="Times New Roman" w:hAnsi="Times New Roman" w:cs="Times New Roman"/>
                      <w:b/>
                      <w:bCs/>
                      <w:color w:val="0000FF"/>
                      <w:u w:val="none"/>
                      <w:vertAlign w:val="superscript"/>
                      <w:lang w:val="en-US" w:eastAsia="zh-CN"/>
                    </w:rPr>
                    <w:t>3</w:t>
                  </w:r>
                  <w:r>
                    <w:rPr>
                      <w:rFonts w:hint="default" w:ascii="Times New Roman" w:hAnsi="Times New Roman" w:cs="Times New Roman"/>
                      <w:b/>
                      <w:bCs/>
                      <w:color w:val="0000FF"/>
                      <w:u w:val="none"/>
                      <w:lang w:val="en-US" w:eastAsia="zh-CN"/>
                    </w:rPr>
                    <w:t>/d</w:t>
                  </w:r>
                </w:p>
              </w:tc>
              <w:tc>
                <w:tcPr>
                  <w:tcW w:w="668" w:type="pct"/>
                  <w:tcBorders>
                    <w:tl2br w:val="nil"/>
                    <w:tr2bl w:val="nil"/>
                  </w:tcBorders>
                  <w:vAlign w:val="center"/>
                </w:tcPr>
                <w:p w14:paraId="111A8834">
                  <w:pPr>
                    <w:pStyle w:val="33"/>
                    <w:bidi w:val="0"/>
                    <w:ind w:firstLine="0" w:firstLineChars="0"/>
                    <w:rPr>
                      <w:rFonts w:hint="default" w:ascii="Times New Roman" w:hAnsi="Times New Roman" w:eastAsia="宋体" w:cs="Times New Roman"/>
                      <w:b/>
                      <w:bCs/>
                      <w:color w:val="0000FF"/>
                      <w:kern w:val="2"/>
                      <w:sz w:val="21"/>
                      <w:szCs w:val="24"/>
                      <w:u w:val="none"/>
                      <w:lang w:val="en-US" w:eastAsia="zh-CN" w:bidi="ar-SA"/>
                    </w:rPr>
                  </w:pPr>
                  <w:r>
                    <w:rPr>
                      <w:rFonts w:hint="default" w:ascii="Times New Roman" w:hAnsi="Times New Roman" w:cs="Times New Roman"/>
                      <w:b/>
                      <w:bCs/>
                      <w:color w:val="0000FF"/>
                      <w:u w:val="none"/>
                      <w:lang w:val="en-US" w:eastAsia="zh-CN"/>
                    </w:rPr>
                    <w:t>m</w:t>
                  </w:r>
                  <w:r>
                    <w:rPr>
                      <w:rFonts w:hint="default" w:ascii="Times New Roman" w:hAnsi="Times New Roman" w:cs="Times New Roman"/>
                      <w:b/>
                      <w:bCs/>
                      <w:color w:val="0000FF"/>
                      <w:u w:val="none"/>
                      <w:vertAlign w:val="superscript"/>
                      <w:lang w:val="en-US" w:eastAsia="zh-CN"/>
                    </w:rPr>
                    <w:t>3</w:t>
                  </w:r>
                  <w:r>
                    <w:rPr>
                      <w:rFonts w:hint="default" w:ascii="Times New Roman" w:hAnsi="Times New Roman" w:cs="Times New Roman"/>
                      <w:b/>
                      <w:bCs/>
                      <w:color w:val="0000FF"/>
                      <w:u w:val="none"/>
                      <w:lang w:val="en-US" w:eastAsia="zh-CN"/>
                    </w:rPr>
                    <w:t>/a</w:t>
                  </w:r>
                </w:p>
              </w:tc>
              <w:tc>
                <w:tcPr>
                  <w:tcW w:w="1277" w:type="pct"/>
                  <w:vMerge w:val="continue"/>
                  <w:tcBorders>
                    <w:tl2br w:val="nil"/>
                    <w:tr2bl w:val="nil"/>
                  </w:tcBorders>
                  <w:vAlign w:val="center"/>
                </w:tcPr>
                <w:p w14:paraId="7518D99F">
                  <w:pPr>
                    <w:pStyle w:val="33"/>
                    <w:bidi w:val="0"/>
                    <w:ind w:firstLine="0" w:firstLineChars="0"/>
                    <w:rPr>
                      <w:rFonts w:hint="default" w:ascii="Times New Roman" w:hAnsi="Times New Roman" w:cs="Times New Roman"/>
                      <w:b/>
                      <w:bCs/>
                      <w:color w:val="0000FF"/>
                      <w:u w:val="none"/>
                      <w:lang w:val="en-US" w:eastAsia="zh-CN"/>
                    </w:rPr>
                  </w:pPr>
                </w:p>
              </w:tc>
            </w:tr>
            <w:tr w14:paraId="0C5E7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81" w:type="pct"/>
                  <w:tcBorders>
                    <w:tl2br w:val="nil"/>
                    <w:tr2bl w:val="nil"/>
                  </w:tcBorders>
                  <w:vAlign w:val="center"/>
                </w:tcPr>
                <w:p w14:paraId="5B16ED6D">
                  <w:pPr>
                    <w:pStyle w:val="33"/>
                    <w:bidi w:val="0"/>
                    <w:rPr>
                      <w:rFonts w:hint="default" w:ascii="Times New Roman" w:hAnsi="Times New Roman" w:cs="Times New Roman"/>
                      <w:color w:val="0000FF"/>
                      <w:u w:val="none"/>
                      <w:lang w:val="en-US" w:eastAsia="zh-CN"/>
                    </w:rPr>
                  </w:pPr>
                  <w:r>
                    <w:rPr>
                      <w:rFonts w:hint="default" w:ascii="Times New Roman" w:hAnsi="Times New Roman" w:cs="Times New Roman"/>
                      <w:color w:val="0000FF"/>
                      <w:u w:val="none"/>
                      <w:lang w:val="en-US" w:eastAsia="zh-CN"/>
                    </w:rPr>
                    <w:t>生活用水</w:t>
                  </w:r>
                </w:p>
              </w:tc>
              <w:tc>
                <w:tcPr>
                  <w:tcW w:w="613" w:type="pct"/>
                  <w:tcBorders>
                    <w:tl2br w:val="nil"/>
                    <w:tr2bl w:val="nil"/>
                  </w:tcBorders>
                  <w:vAlign w:val="center"/>
                </w:tcPr>
                <w:p w14:paraId="796CE915">
                  <w:pPr>
                    <w:pStyle w:val="33"/>
                    <w:bidi w:val="0"/>
                    <w:rPr>
                      <w:rFonts w:hint="default" w:ascii="Times New Roman" w:hAnsi="Times New Roman" w:cs="Times New Roman"/>
                      <w:color w:val="0000FF"/>
                      <w:u w:val="none"/>
                      <w:lang w:val="en-US" w:eastAsia="zh-CN"/>
                    </w:rPr>
                  </w:pPr>
                  <w:r>
                    <w:rPr>
                      <w:rFonts w:hint="eastAsia" w:cs="Times New Roman"/>
                      <w:color w:val="0000FF"/>
                      <w:u w:val="none"/>
                      <w:lang w:val="en-US" w:eastAsia="zh-CN"/>
                    </w:rPr>
                    <w:t>0.5</w:t>
                  </w:r>
                </w:p>
              </w:tc>
              <w:tc>
                <w:tcPr>
                  <w:tcW w:w="716" w:type="pct"/>
                  <w:tcBorders>
                    <w:tl2br w:val="nil"/>
                    <w:tr2bl w:val="nil"/>
                  </w:tcBorders>
                  <w:vAlign w:val="center"/>
                </w:tcPr>
                <w:p w14:paraId="6F00CE3C">
                  <w:pPr>
                    <w:pStyle w:val="33"/>
                    <w:bidi w:val="0"/>
                    <w:rPr>
                      <w:rFonts w:hint="default" w:ascii="Times New Roman" w:hAnsi="Times New Roman" w:cs="Times New Roman"/>
                      <w:color w:val="0000FF"/>
                      <w:u w:val="none"/>
                      <w:lang w:val="en-US" w:eastAsia="zh-CN"/>
                    </w:rPr>
                  </w:pPr>
                  <w:r>
                    <w:rPr>
                      <w:rFonts w:hint="eastAsia" w:cs="Times New Roman"/>
                      <w:color w:val="0000FF"/>
                      <w:u w:val="none"/>
                      <w:lang w:val="en-US" w:eastAsia="zh-CN"/>
                    </w:rPr>
                    <w:t>150</w:t>
                  </w:r>
                </w:p>
              </w:tc>
              <w:tc>
                <w:tcPr>
                  <w:tcW w:w="542" w:type="pct"/>
                  <w:tcBorders>
                    <w:tl2br w:val="nil"/>
                    <w:tr2bl w:val="nil"/>
                  </w:tcBorders>
                  <w:vAlign w:val="center"/>
                </w:tcPr>
                <w:p w14:paraId="4BC6F764">
                  <w:pPr>
                    <w:pStyle w:val="33"/>
                    <w:bidi w:val="0"/>
                    <w:rPr>
                      <w:rFonts w:hint="default" w:ascii="Times New Roman" w:hAnsi="Times New Roman" w:cs="Times New Roman"/>
                      <w:color w:val="0000FF"/>
                      <w:u w:val="none"/>
                      <w:lang w:val="en-US" w:eastAsia="zh-CN"/>
                    </w:rPr>
                  </w:pPr>
                  <w:r>
                    <w:rPr>
                      <w:rFonts w:hint="default" w:ascii="Times New Roman" w:hAnsi="Times New Roman" w:cs="Times New Roman"/>
                      <w:color w:val="0000FF"/>
                      <w:u w:val="none"/>
                      <w:lang w:val="en-US" w:eastAsia="zh-CN"/>
                    </w:rPr>
                    <w:t>0</w:t>
                  </w:r>
                  <w:r>
                    <w:rPr>
                      <w:rFonts w:hint="eastAsia" w:cs="Times New Roman"/>
                      <w:color w:val="0000FF"/>
                      <w:u w:val="none"/>
                      <w:lang w:val="en-US" w:eastAsia="zh-CN"/>
                    </w:rPr>
                    <w:t>.4</w:t>
                  </w:r>
                </w:p>
              </w:tc>
              <w:tc>
                <w:tcPr>
                  <w:tcW w:w="668" w:type="pct"/>
                  <w:tcBorders>
                    <w:tl2br w:val="nil"/>
                    <w:tr2bl w:val="nil"/>
                  </w:tcBorders>
                  <w:vAlign w:val="center"/>
                </w:tcPr>
                <w:p w14:paraId="79D21FBC">
                  <w:pPr>
                    <w:pStyle w:val="33"/>
                    <w:bidi w:val="0"/>
                    <w:rPr>
                      <w:rFonts w:hint="default" w:ascii="Times New Roman" w:hAnsi="Times New Roman" w:cs="Times New Roman"/>
                      <w:color w:val="0000FF"/>
                      <w:u w:val="none"/>
                      <w:lang w:val="en-US" w:eastAsia="zh-CN"/>
                    </w:rPr>
                  </w:pPr>
                  <w:r>
                    <w:rPr>
                      <w:rFonts w:hint="eastAsia" w:cs="Times New Roman"/>
                      <w:color w:val="0000FF"/>
                      <w:u w:val="none"/>
                      <w:lang w:val="en-US" w:eastAsia="zh-CN"/>
                    </w:rPr>
                    <w:t>120</w:t>
                  </w:r>
                </w:p>
              </w:tc>
              <w:tc>
                <w:tcPr>
                  <w:tcW w:w="1277" w:type="pct"/>
                  <w:tcBorders>
                    <w:tl2br w:val="nil"/>
                    <w:tr2bl w:val="nil"/>
                  </w:tcBorders>
                  <w:vAlign w:val="center"/>
                </w:tcPr>
                <w:p w14:paraId="26408C95">
                  <w:pPr>
                    <w:pStyle w:val="33"/>
                    <w:bidi w:val="0"/>
                    <w:rPr>
                      <w:rFonts w:hint="default" w:ascii="Times New Roman" w:hAnsi="Times New Roman" w:cs="Times New Roman"/>
                      <w:color w:val="0000FF"/>
                      <w:u w:val="none"/>
                      <w:lang w:val="en-US" w:eastAsia="zh-CN"/>
                    </w:rPr>
                  </w:pPr>
                  <w:r>
                    <w:rPr>
                      <w:rFonts w:hint="eastAsia" w:ascii="宋体" w:hAnsi="宋体" w:eastAsia="宋体" w:cs="宋体"/>
                      <w:b w:val="0"/>
                      <w:bCs w:val="0"/>
                      <w:color w:val="0000FF"/>
                      <w:sz w:val="21"/>
                      <w:szCs w:val="21"/>
                      <w:highlight w:val="none"/>
                      <w:lang w:val="en-US" w:eastAsia="zh-CN"/>
                    </w:rPr>
                    <w:t>生活污水经化粪池预处理后经项目一体化污水处理设备处理后回用于项目生活区洒水降尘，不外排。</w:t>
                  </w:r>
                </w:p>
              </w:tc>
            </w:tr>
            <w:tr w14:paraId="429A6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1" w:type="pct"/>
                  <w:tcBorders>
                    <w:tl2br w:val="nil"/>
                    <w:tr2bl w:val="nil"/>
                  </w:tcBorders>
                  <w:vAlign w:val="center"/>
                </w:tcPr>
                <w:p w14:paraId="77DC1526">
                  <w:pPr>
                    <w:pStyle w:val="33"/>
                    <w:bidi w:val="0"/>
                    <w:rPr>
                      <w:rFonts w:hint="default" w:ascii="Times New Roman" w:hAnsi="Times New Roman" w:cs="Times New Roman"/>
                      <w:color w:val="0000FF"/>
                      <w:u w:val="none"/>
                      <w:lang w:val="en-US" w:eastAsia="zh-CN"/>
                    </w:rPr>
                  </w:pPr>
                  <w:r>
                    <w:rPr>
                      <w:rFonts w:hint="eastAsia" w:cs="Times New Roman"/>
                      <w:color w:val="0000FF"/>
                      <w:u w:val="none"/>
                      <w:lang w:val="en-US" w:eastAsia="zh-CN"/>
                    </w:rPr>
                    <w:t>晾晒储煤道路及裸露地表</w:t>
                  </w:r>
                  <w:r>
                    <w:rPr>
                      <w:rFonts w:hint="default" w:ascii="Times New Roman" w:hAnsi="Times New Roman" w:cs="Times New Roman"/>
                      <w:color w:val="0000FF"/>
                      <w:u w:val="none"/>
                      <w:lang w:val="en-US" w:eastAsia="zh-CN"/>
                    </w:rPr>
                    <w:t>洒水降尘用水</w:t>
                  </w:r>
                </w:p>
              </w:tc>
              <w:tc>
                <w:tcPr>
                  <w:tcW w:w="613" w:type="pct"/>
                  <w:tcBorders>
                    <w:tl2br w:val="nil"/>
                    <w:tr2bl w:val="nil"/>
                  </w:tcBorders>
                  <w:vAlign w:val="center"/>
                </w:tcPr>
                <w:p w14:paraId="6B807F69">
                  <w:pPr>
                    <w:pStyle w:val="33"/>
                    <w:bidi w:val="0"/>
                    <w:rPr>
                      <w:rFonts w:hint="default" w:ascii="Times New Roman" w:hAnsi="Times New Roman" w:cs="Times New Roman"/>
                      <w:color w:val="0000FF"/>
                      <w:u w:val="none"/>
                      <w:lang w:val="en-US" w:eastAsia="zh-CN"/>
                    </w:rPr>
                  </w:pPr>
                  <w:r>
                    <w:rPr>
                      <w:rFonts w:hint="eastAsia" w:cs="Times New Roman"/>
                      <w:color w:val="0000FF"/>
                      <w:u w:val="none"/>
                      <w:lang w:val="en-US" w:eastAsia="zh-CN"/>
                    </w:rPr>
                    <w:t>437.944</w:t>
                  </w:r>
                </w:p>
              </w:tc>
              <w:tc>
                <w:tcPr>
                  <w:tcW w:w="716" w:type="pct"/>
                  <w:tcBorders>
                    <w:tl2br w:val="nil"/>
                    <w:tr2bl w:val="nil"/>
                  </w:tcBorders>
                  <w:vAlign w:val="center"/>
                </w:tcPr>
                <w:p w14:paraId="3BF7DC90">
                  <w:pPr>
                    <w:pStyle w:val="33"/>
                    <w:bidi w:val="0"/>
                    <w:rPr>
                      <w:rFonts w:hint="default" w:ascii="Times New Roman" w:hAnsi="Times New Roman" w:cs="Times New Roman"/>
                      <w:color w:val="0000FF"/>
                      <w:u w:val="none"/>
                      <w:lang w:val="en-US" w:eastAsia="zh-CN"/>
                    </w:rPr>
                  </w:pPr>
                  <w:r>
                    <w:rPr>
                      <w:rFonts w:hint="eastAsia" w:cs="Times New Roman"/>
                      <w:color w:val="0000FF"/>
                      <w:u w:val="none"/>
                      <w:lang w:val="en-US" w:eastAsia="zh-CN"/>
                    </w:rPr>
                    <w:t>87588.8</w:t>
                  </w:r>
                </w:p>
              </w:tc>
              <w:tc>
                <w:tcPr>
                  <w:tcW w:w="542" w:type="pct"/>
                  <w:tcBorders>
                    <w:tl2br w:val="nil"/>
                    <w:tr2bl w:val="nil"/>
                  </w:tcBorders>
                  <w:vAlign w:val="center"/>
                </w:tcPr>
                <w:p w14:paraId="1360D980">
                  <w:pPr>
                    <w:pStyle w:val="33"/>
                    <w:bidi w:val="0"/>
                    <w:rPr>
                      <w:rFonts w:hint="default" w:ascii="Times New Roman" w:hAnsi="Times New Roman" w:cs="Times New Roman"/>
                      <w:color w:val="0000FF"/>
                      <w:u w:val="none"/>
                      <w:lang w:val="en-US" w:eastAsia="zh-CN"/>
                    </w:rPr>
                  </w:pPr>
                  <w:r>
                    <w:rPr>
                      <w:rFonts w:hint="default" w:ascii="Times New Roman" w:hAnsi="Times New Roman" w:cs="Times New Roman"/>
                      <w:color w:val="0000FF"/>
                      <w:u w:val="none"/>
                      <w:lang w:val="en-US" w:eastAsia="zh-CN"/>
                    </w:rPr>
                    <w:t>/</w:t>
                  </w:r>
                </w:p>
              </w:tc>
              <w:tc>
                <w:tcPr>
                  <w:tcW w:w="668" w:type="pct"/>
                  <w:tcBorders>
                    <w:tl2br w:val="nil"/>
                    <w:tr2bl w:val="nil"/>
                  </w:tcBorders>
                  <w:vAlign w:val="center"/>
                </w:tcPr>
                <w:p w14:paraId="4064423E">
                  <w:pPr>
                    <w:pStyle w:val="33"/>
                    <w:bidi w:val="0"/>
                    <w:rPr>
                      <w:rFonts w:hint="default" w:ascii="Times New Roman" w:hAnsi="Times New Roman" w:cs="Times New Roman"/>
                      <w:color w:val="0000FF"/>
                      <w:u w:val="none"/>
                      <w:lang w:val="en-US" w:eastAsia="zh-CN"/>
                    </w:rPr>
                  </w:pPr>
                  <w:r>
                    <w:rPr>
                      <w:rFonts w:hint="default" w:ascii="Times New Roman" w:hAnsi="Times New Roman" w:cs="Times New Roman"/>
                      <w:color w:val="0000FF"/>
                      <w:u w:val="none"/>
                      <w:lang w:val="en-US" w:eastAsia="zh-CN"/>
                    </w:rPr>
                    <w:t>/</w:t>
                  </w:r>
                </w:p>
              </w:tc>
              <w:tc>
                <w:tcPr>
                  <w:tcW w:w="1277" w:type="pct"/>
                  <w:tcBorders>
                    <w:tl2br w:val="nil"/>
                    <w:tr2bl w:val="nil"/>
                  </w:tcBorders>
                  <w:vAlign w:val="center"/>
                </w:tcPr>
                <w:p w14:paraId="1AB5010B">
                  <w:pPr>
                    <w:pStyle w:val="33"/>
                    <w:bidi w:val="0"/>
                    <w:rPr>
                      <w:rFonts w:hint="default" w:ascii="Times New Roman" w:hAnsi="Times New Roman" w:cs="Times New Roman"/>
                      <w:color w:val="0000FF"/>
                      <w:u w:val="none"/>
                      <w:lang w:val="en-US" w:eastAsia="zh-CN"/>
                    </w:rPr>
                  </w:pPr>
                  <w:r>
                    <w:rPr>
                      <w:rFonts w:hint="default" w:ascii="Times New Roman" w:hAnsi="Times New Roman" w:cs="Times New Roman"/>
                      <w:color w:val="0000FF"/>
                      <w:u w:val="none"/>
                      <w:lang w:val="en-US" w:eastAsia="zh-CN"/>
                    </w:rPr>
                    <w:t>自然蒸发</w:t>
                  </w:r>
                </w:p>
              </w:tc>
            </w:tr>
            <w:tr w14:paraId="489A6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1" w:type="pct"/>
                  <w:tcBorders>
                    <w:tl2br w:val="nil"/>
                    <w:tr2bl w:val="nil"/>
                  </w:tcBorders>
                  <w:vAlign w:val="center"/>
                </w:tcPr>
                <w:p w14:paraId="08F28E6E">
                  <w:pPr>
                    <w:pStyle w:val="33"/>
                    <w:bidi w:val="0"/>
                    <w:rPr>
                      <w:rFonts w:hint="default" w:ascii="Times New Roman" w:hAnsi="Times New Roman" w:cs="Times New Roman"/>
                      <w:color w:val="0000FF"/>
                      <w:u w:val="none"/>
                      <w:lang w:val="en-US" w:eastAsia="zh-CN"/>
                    </w:rPr>
                  </w:pPr>
                  <w:r>
                    <w:rPr>
                      <w:rFonts w:hint="eastAsia" w:cs="Times New Roman"/>
                      <w:color w:val="0000FF"/>
                      <w:u w:val="none"/>
                      <w:lang w:val="en-US" w:eastAsia="zh-CN"/>
                    </w:rPr>
                    <w:t>生活区</w:t>
                  </w:r>
                  <w:r>
                    <w:rPr>
                      <w:rFonts w:hint="default" w:ascii="Times New Roman" w:hAnsi="Times New Roman" w:cs="Times New Roman"/>
                      <w:color w:val="0000FF"/>
                      <w:u w:val="none"/>
                      <w:lang w:val="en-US" w:eastAsia="zh-CN"/>
                    </w:rPr>
                    <w:t>洒水降尘用水</w:t>
                  </w:r>
                </w:p>
              </w:tc>
              <w:tc>
                <w:tcPr>
                  <w:tcW w:w="613" w:type="pct"/>
                  <w:tcBorders>
                    <w:tl2br w:val="nil"/>
                    <w:tr2bl w:val="nil"/>
                  </w:tcBorders>
                  <w:vAlign w:val="center"/>
                </w:tcPr>
                <w:p w14:paraId="47F1B2AF">
                  <w:pPr>
                    <w:pStyle w:val="33"/>
                    <w:bidi w:val="0"/>
                    <w:rPr>
                      <w:rFonts w:hint="default" w:cs="Times New Roman"/>
                      <w:color w:val="0000FF"/>
                      <w:u w:val="none"/>
                      <w:lang w:val="en-US" w:eastAsia="zh-CN"/>
                    </w:rPr>
                  </w:pPr>
                  <w:r>
                    <w:rPr>
                      <w:rFonts w:hint="eastAsia" w:cs="Times New Roman"/>
                      <w:color w:val="0000FF"/>
                      <w:u w:val="none"/>
                      <w:lang w:val="en-US" w:eastAsia="zh-CN"/>
                    </w:rPr>
                    <w:t>3.696</w:t>
                  </w:r>
                </w:p>
              </w:tc>
              <w:tc>
                <w:tcPr>
                  <w:tcW w:w="716" w:type="pct"/>
                  <w:tcBorders>
                    <w:tl2br w:val="nil"/>
                    <w:tr2bl w:val="nil"/>
                  </w:tcBorders>
                  <w:vAlign w:val="center"/>
                </w:tcPr>
                <w:p w14:paraId="33629194">
                  <w:pPr>
                    <w:pStyle w:val="33"/>
                    <w:bidi w:val="0"/>
                    <w:rPr>
                      <w:rFonts w:hint="default" w:cs="Times New Roman"/>
                      <w:color w:val="0000FF"/>
                      <w:u w:val="none"/>
                      <w:lang w:val="en-US" w:eastAsia="zh-CN"/>
                    </w:rPr>
                  </w:pPr>
                  <w:r>
                    <w:rPr>
                      <w:rFonts w:hint="eastAsia" w:cs="Times New Roman"/>
                      <w:color w:val="0000FF"/>
                      <w:u w:val="none"/>
                      <w:lang w:val="en-US" w:eastAsia="zh-CN"/>
                    </w:rPr>
                    <w:t>739.2</w:t>
                  </w:r>
                </w:p>
              </w:tc>
              <w:tc>
                <w:tcPr>
                  <w:tcW w:w="899" w:type="dxa"/>
                  <w:tcBorders>
                    <w:tl2br w:val="nil"/>
                    <w:tr2bl w:val="nil"/>
                  </w:tcBorders>
                  <w:vAlign w:val="center"/>
                </w:tcPr>
                <w:p w14:paraId="6D846158">
                  <w:pPr>
                    <w:pStyle w:val="33"/>
                    <w:bidi w:val="0"/>
                    <w:ind w:firstLine="0" w:firstLineChars="0"/>
                    <w:rPr>
                      <w:rFonts w:hint="default" w:ascii="Times New Roman" w:hAnsi="Times New Roman" w:cs="Times New Roman"/>
                      <w:color w:val="0000FF"/>
                      <w:u w:val="none"/>
                      <w:lang w:val="en-US" w:eastAsia="zh-CN"/>
                    </w:rPr>
                  </w:pPr>
                  <w:r>
                    <w:rPr>
                      <w:rFonts w:hint="default" w:ascii="Times New Roman" w:hAnsi="Times New Roman" w:cs="Times New Roman"/>
                      <w:color w:val="0000FF"/>
                      <w:u w:val="none"/>
                      <w:lang w:val="en-US" w:eastAsia="zh-CN"/>
                    </w:rPr>
                    <w:t>/</w:t>
                  </w:r>
                </w:p>
              </w:tc>
              <w:tc>
                <w:tcPr>
                  <w:tcW w:w="988" w:type="dxa"/>
                  <w:tcBorders>
                    <w:tl2br w:val="nil"/>
                    <w:tr2bl w:val="nil"/>
                  </w:tcBorders>
                  <w:vAlign w:val="center"/>
                </w:tcPr>
                <w:p w14:paraId="0F81AC47">
                  <w:pPr>
                    <w:pStyle w:val="33"/>
                    <w:bidi w:val="0"/>
                    <w:ind w:firstLine="0" w:firstLineChars="0"/>
                    <w:rPr>
                      <w:rFonts w:hint="default" w:ascii="Times New Roman" w:hAnsi="Times New Roman" w:cs="Times New Roman"/>
                      <w:color w:val="0000FF"/>
                      <w:u w:val="none"/>
                      <w:lang w:val="en-US" w:eastAsia="zh-CN"/>
                    </w:rPr>
                  </w:pPr>
                  <w:r>
                    <w:rPr>
                      <w:rFonts w:hint="default" w:ascii="Times New Roman" w:hAnsi="Times New Roman" w:cs="Times New Roman"/>
                      <w:color w:val="0000FF"/>
                      <w:u w:val="none"/>
                      <w:lang w:val="en-US" w:eastAsia="zh-CN"/>
                    </w:rPr>
                    <w:t>/</w:t>
                  </w:r>
                </w:p>
              </w:tc>
              <w:tc>
                <w:tcPr>
                  <w:tcW w:w="1846" w:type="dxa"/>
                  <w:tcBorders>
                    <w:tl2br w:val="nil"/>
                    <w:tr2bl w:val="nil"/>
                  </w:tcBorders>
                  <w:vAlign w:val="center"/>
                </w:tcPr>
                <w:p w14:paraId="1FB3E0BF">
                  <w:pPr>
                    <w:pStyle w:val="33"/>
                    <w:bidi w:val="0"/>
                    <w:ind w:firstLine="0" w:firstLineChars="0"/>
                    <w:rPr>
                      <w:rFonts w:hint="default" w:ascii="Times New Roman" w:hAnsi="Times New Roman" w:cs="Times New Roman"/>
                      <w:color w:val="0000FF"/>
                      <w:u w:val="none"/>
                      <w:lang w:val="en-US" w:eastAsia="zh-CN"/>
                    </w:rPr>
                  </w:pPr>
                  <w:r>
                    <w:rPr>
                      <w:rFonts w:hint="default" w:ascii="Times New Roman" w:hAnsi="Times New Roman" w:cs="Times New Roman"/>
                      <w:color w:val="0000FF"/>
                      <w:u w:val="none"/>
                      <w:lang w:val="en-US" w:eastAsia="zh-CN"/>
                    </w:rPr>
                    <w:t>自然蒸发</w:t>
                  </w:r>
                </w:p>
              </w:tc>
            </w:tr>
            <w:tr w14:paraId="7AD7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1" w:type="pct"/>
                  <w:tcBorders>
                    <w:tl2br w:val="nil"/>
                    <w:tr2bl w:val="nil"/>
                  </w:tcBorders>
                  <w:vAlign w:val="center"/>
                </w:tcPr>
                <w:p w14:paraId="6E9ED1E5">
                  <w:pPr>
                    <w:pStyle w:val="33"/>
                    <w:bidi w:val="0"/>
                    <w:rPr>
                      <w:rFonts w:hint="default" w:ascii="Times New Roman" w:hAnsi="Times New Roman" w:cs="Times New Roman"/>
                      <w:color w:val="0000FF"/>
                      <w:u w:val="none"/>
                      <w:lang w:val="en-US" w:eastAsia="zh-CN"/>
                    </w:rPr>
                  </w:pPr>
                  <w:r>
                    <w:rPr>
                      <w:rFonts w:hint="eastAsia" w:cs="Times New Roman"/>
                      <w:color w:val="0000FF"/>
                      <w:u w:val="none"/>
                      <w:lang w:val="en-US" w:eastAsia="zh-CN"/>
                    </w:rPr>
                    <w:t>雾炮机用水</w:t>
                  </w:r>
                </w:p>
              </w:tc>
              <w:tc>
                <w:tcPr>
                  <w:tcW w:w="613" w:type="pct"/>
                  <w:tcBorders>
                    <w:tl2br w:val="nil"/>
                    <w:tr2bl w:val="nil"/>
                  </w:tcBorders>
                  <w:vAlign w:val="center"/>
                </w:tcPr>
                <w:p w14:paraId="38ECD824">
                  <w:pPr>
                    <w:pStyle w:val="33"/>
                    <w:bidi w:val="0"/>
                    <w:rPr>
                      <w:rFonts w:hint="default" w:cs="Times New Roman"/>
                      <w:color w:val="0000FF"/>
                      <w:u w:val="none"/>
                      <w:lang w:val="en-US" w:eastAsia="zh-CN"/>
                    </w:rPr>
                  </w:pPr>
                  <w:r>
                    <w:rPr>
                      <w:rFonts w:hint="eastAsia" w:cs="Times New Roman"/>
                      <w:color w:val="0000FF"/>
                      <w:u w:val="none"/>
                      <w:lang w:val="en-US" w:eastAsia="zh-CN"/>
                    </w:rPr>
                    <w:t>144</w:t>
                  </w:r>
                </w:p>
              </w:tc>
              <w:tc>
                <w:tcPr>
                  <w:tcW w:w="716" w:type="pct"/>
                  <w:tcBorders>
                    <w:tl2br w:val="nil"/>
                    <w:tr2bl w:val="nil"/>
                  </w:tcBorders>
                  <w:vAlign w:val="center"/>
                </w:tcPr>
                <w:p w14:paraId="341D02B8">
                  <w:pPr>
                    <w:pStyle w:val="33"/>
                    <w:bidi w:val="0"/>
                    <w:rPr>
                      <w:rFonts w:hint="default" w:cs="Times New Roman"/>
                      <w:color w:val="0000FF"/>
                      <w:u w:val="none"/>
                      <w:lang w:val="en-US" w:eastAsia="zh-CN"/>
                    </w:rPr>
                  </w:pPr>
                  <w:r>
                    <w:rPr>
                      <w:rFonts w:hint="eastAsia" w:cs="Times New Roman"/>
                      <w:color w:val="0000FF"/>
                      <w:u w:val="none"/>
                      <w:lang w:val="en-US" w:eastAsia="zh-CN"/>
                    </w:rPr>
                    <w:t>28800</w:t>
                  </w:r>
                </w:p>
              </w:tc>
              <w:tc>
                <w:tcPr>
                  <w:tcW w:w="899" w:type="dxa"/>
                  <w:tcBorders>
                    <w:tl2br w:val="nil"/>
                    <w:tr2bl w:val="nil"/>
                  </w:tcBorders>
                  <w:vAlign w:val="center"/>
                </w:tcPr>
                <w:p w14:paraId="77155825">
                  <w:pPr>
                    <w:pStyle w:val="33"/>
                    <w:bidi w:val="0"/>
                    <w:ind w:firstLine="0" w:firstLineChars="0"/>
                    <w:rPr>
                      <w:rFonts w:hint="default" w:ascii="Times New Roman" w:hAnsi="Times New Roman" w:cs="Times New Roman"/>
                      <w:color w:val="0000FF"/>
                      <w:u w:val="none"/>
                      <w:lang w:val="en-US" w:eastAsia="zh-CN"/>
                    </w:rPr>
                  </w:pPr>
                  <w:r>
                    <w:rPr>
                      <w:rFonts w:hint="default" w:ascii="Times New Roman" w:hAnsi="Times New Roman" w:cs="Times New Roman"/>
                      <w:color w:val="0000FF"/>
                      <w:u w:val="none"/>
                      <w:lang w:val="en-US" w:eastAsia="zh-CN"/>
                    </w:rPr>
                    <w:t>/</w:t>
                  </w:r>
                </w:p>
              </w:tc>
              <w:tc>
                <w:tcPr>
                  <w:tcW w:w="980" w:type="dxa"/>
                  <w:tcBorders>
                    <w:tl2br w:val="nil"/>
                    <w:tr2bl w:val="nil"/>
                  </w:tcBorders>
                  <w:vAlign w:val="center"/>
                </w:tcPr>
                <w:p w14:paraId="71A65729">
                  <w:pPr>
                    <w:pStyle w:val="33"/>
                    <w:bidi w:val="0"/>
                    <w:ind w:firstLine="0" w:firstLineChars="0"/>
                    <w:rPr>
                      <w:rFonts w:hint="default" w:ascii="Times New Roman" w:hAnsi="Times New Roman" w:cs="Times New Roman"/>
                      <w:color w:val="0000FF"/>
                      <w:u w:val="none"/>
                      <w:lang w:val="en-US" w:eastAsia="zh-CN"/>
                    </w:rPr>
                  </w:pPr>
                  <w:r>
                    <w:rPr>
                      <w:rFonts w:hint="default" w:ascii="Times New Roman" w:hAnsi="Times New Roman" w:cs="Times New Roman"/>
                      <w:color w:val="0000FF"/>
                      <w:u w:val="none"/>
                      <w:lang w:val="en-US" w:eastAsia="zh-CN"/>
                    </w:rPr>
                    <w:t>/</w:t>
                  </w:r>
                </w:p>
              </w:tc>
              <w:tc>
                <w:tcPr>
                  <w:tcW w:w="1277" w:type="pct"/>
                  <w:tcBorders>
                    <w:tl2br w:val="nil"/>
                    <w:tr2bl w:val="nil"/>
                  </w:tcBorders>
                  <w:vAlign w:val="center"/>
                </w:tcPr>
                <w:p w14:paraId="64F49F5E">
                  <w:pPr>
                    <w:pStyle w:val="33"/>
                    <w:bidi w:val="0"/>
                    <w:rPr>
                      <w:rFonts w:hint="default" w:ascii="Times New Roman" w:hAnsi="Times New Roman" w:cs="Times New Roman"/>
                      <w:color w:val="0000FF"/>
                      <w:u w:val="none"/>
                      <w:lang w:val="en-US" w:eastAsia="zh-CN"/>
                    </w:rPr>
                  </w:pPr>
                  <w:r>
                    <w:rPr>
                      <w:rFonts w:hint="default" w:ascii="Times New Roman" w:hAnsi="Times New Roman" w:cs="Times New Roman"/>
                      <w:color w:val="0000FF"/>
                      <w:u w:val="none"/>
                      <w:lang w:val="en-US" w:eastAsia="zh-CN"/>
                    </w:rPr>
                    <w:t>自然蒸发</w:t>
                  </w:r>
                </w:p>
              </w:tc>
            </w:tr>
            <w:tr w14:paraId="4A5C8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181" w:type="pct"/>
                  <w:tcBorders>
                    <w:tl2br w:val="nil"/>
                    <w:tr2bl w:val="nil"/>
                  </w:tcBorders>
                  <w:vAlign w:val="center"/>
                </w:tcPr>
                <w:p w14:paraId="2072C9B6">
                  <w:pPr>
                    <w:pStyle w:val="33"/>
                    <w:bidi w:val="0"/>
                    <w:rPr>
                      <w:rFonts w:hint="default" w:ascii="Times New Roman" w:hAnsi="Times New Roman" w:cs="Times New Roman"/>
                      <w:color w:val="0000FF"/>
                      <w:u w:val="none"/>
                      <w:lang w:val="en-US" w:eastAsia="zh-CN"/>
                    </w:rPr>
                  </w:pPr>
                  <w:r>
                    <w:rPr>
                      <w:rFonts w:hint="default" w:ascii="Times New Roman" w:hAnsi="Times New Roman" w:cs="Times New Roman"/>
                      <w:color w:val="0000FF"/>
                      <w:u w:val="none"/>
                      <w:lang w:val="en-US" w:eastAsia="zh-CN"/>
                    </w:rPr>
                    <w:t>车辆冲洗用水</w:t>
                  </w:r>
                </w:p>
              </w:tc>
              <w:tc>
                <w:tcPr>
                  <w:tcW w:w="613" w:type="pct"/>
                  <w:tcBorders>
                    <w:tl2br w:val="nil"/>
                    <w:tr2bl w:val="nil"/>
                  </w:tcBorders>
                  <w:vAlign w:val="center"/>
                </w:tcPr>
                <w:p w14:paraId="48C87D82">
                  <w:pPr>
                    <w:pStyle w:val="33"/>
                    <w:bidi w:val="0"/>
                    <w:rPr>
                      <w:rFonts w:hint="default" w:ascii="Times New Roman" w:hAnsi="Times New Roman" w:cs="Times New Roman"/>
                      <w:color w:val="0000FF"/>
                      <w:u w:val="none"/>
                      <w:lang w:val="en-US" w:eastAsia="zh-CN"/>
                    </w:rPr>
                  </w:pPr>
                  <w:r>
                    <w:rPr>
                      <w:rFonts w:hint="eastAsia" w:cs="Times New Roman"/>
                      <w:color w:val="0000FF"/>
                      <w:u w:val="none"/>
                      <w:lang w:val="en-US" w:eastAsia="zh-CN"/>
                    </w:rPr>
                    <w:t>0.445</w:t>
                  </w:r>
                </w:p>
              </w:tc>
              <w:tc>
                <w:tcPr>
                  <w:tcW w:w="716" w:type="pct"/>
                  <w:tcBorders>
                    <w:tl2br w:val="nil"/>
                    <w:tr2bl w:val="nil"/>
                  </w:tcBorders>
                  <w:vAlign w:val="center"/>
                </w:tcPr>
                <w:p w14:paraId="09108E5E">
                  <w:pPr>
                    <w:pStyle w:val="33"/>
                    <w:bidi w:val="0"/>
                    <w:rPr>
                      <w:rFonts w:hint="default" w:ascii="Times New Roman" w:hAnsi="Times New Roman" w:cs="Times New Roman"/>
                      <w:color w:val="0000FF"/>
                      <w:u w:val="none"/>
                      <w:lang w:val="en-US" w:eastAsia="zh-CN"/>
                    </w:rPr>
                  </w:pPr>
                  <w:r>
                    <w:rPr>
                      <w:rFonts w:hint="eastAsia" w:cs="Times New Roman"/>
                      <w:color w:val="0000FF"/>
                      <w:u w:val="none"/>
                      <w:lang w:val="en-US" w:eastAsia="zh-CN"/>
                    </w:rPr>
                    <w:t>133.36</w:t>
                  </w:r>
                </w:p>
              </w:tc>
              <w:tc>
                <w:tcPr>
                  <w:tcW w:w="542" w:type="pct"/>
                  <w:tcBorders>
                    <w:tl2br w:val="nil"/>
                    <w:tr2bl w:val="nil"/>
                  </w:tcBorders>
                  <w:vAlign w:val="center"/>
                </w:tcPr>
                <w:p w14:paraId="6859A52E">
                  <w:pPr>
                    <w:pStyle w:val="33"/>
                    <w:bidi w:val="0"/>
                    <w:ind w:firstLine="0" w:firstLineChars="0"/>
                    <w:rPr>
                      <w:rFonts w:hint="default" w:ascii="Times New Roman" w:hAnsi="Times New Roman" w:eastAsia="宋体" w:cs="Times New Roman"/>
                      <w:color w:val="0000FF"/>
                      <w:kern w:val="2"/>
                      <w:sz w:val="21"/>
                      <w:szCs w:val="24"/>
                      <w:u w:val="none"/>
                      <w:lang w:val="en-US" w:eastAsia="zh-CN" w:bidi="ar-SA"/>
                    </w:rPr>
                  </w:pPr>
                  <w:r>
                    <w:rPr>
                      <w:rFonts w:hint="default" w:ascii="Times New Roman" w:hAnsi="Times New Roman" w:cs="Times New Roman"/>
                      <w:color w:val="0000FF"/>
                      <w:kern w:val="2"/>
                      <w:sz w:val="21"/>
                      <w:szCs w:val="24"/>
                      <w:u w:val="none"/>
                      <w:lang w:val="en-US" w:eastAsia="zh-CN" w:bidi="ar-SA"/>
                    </w:rPr>
                    <w:t>0.</w:t>
                  </w:r>
                  <w:r>
                    <w:rPr>
                      <w:rFonts w:hint="eastAsia" w:cs="Times New Roman"/>
                      <w:color w:val="0000FF"/>
                      <w:kern w:val="2"/>
                      <w:sz w:val="21"/>
                      <w:szCs w:val="24"/>
                      <w:u w:val="none"/>
                      <w:lang w:val="en-US" w:eastAsia="zh-CN" w:bidi="ar-SA"/>
                    </w:rPr>
                    <w:t>356</w:t>
                  </w:r>
                </w:p>
              </w:tc>
              <w:tc>
                <w:tcPr>
                  <w:tcW w:w="668" w:type="pct"/>
                  <w:tcBorders>
                    <w:tl2br w:val="nil"/>
                    <w:tr2bl w:val="nil"/>
                  </w:tcBorders>
                  <w:vAlign w:val="center"/>
                </w:tcPr>
                <w:p w14:paraId="0E6A3C42">
                  <w:pPr>
                    <w:pStyle w:val="33"/>
                    <w:bidi w:val="0"/>
                    <w:ind w:firstLine="0" w:firstLineChars="0"/>
                    <w:rPr>
                      <w:rFonts w:hint="default" w:ascii="Times New Roman" w:hAnsi="Times New Roman" w:eastAsia="宋体" w:cs="Times New Roman"/>
                      <w:color w:val="0000FF"/>
                      <w:kern w:val="2"/>
                      <w:sz w:val="21"/>
                      <w:szCs w:val="24"/>
                      <w:u w:val="none"/>
                      <w:lang w:val="en-US" w:eastAsia="zh-CN" w:bidi="ar-SA"/>
                    </w:rPr>
                  </w:pPr>
                  <w:r>
                    <w:rPr>
                      <w:rFonts w:hint="eastAsia" w:cs="Times New Roman"/>
                      <w:color w:val="0000FF"/>
                      <w:kern w:val="2"/>
                      <w:sz w:val="21"/>
                      <w:szCs w:val="24"/>
                      <w:u w:val="none"/>
                      <w:lang w:val="en-US" w:eastAsia="zh-CN" w:bidi="ar-SA"/>
                    </w:rPr>
                    <w:t>106.8</w:t>
                  </w:r>
                </w:p>
              </w:tc>
              <w:tc>
                <w:tcPr>
                  <w:tcW w:w="1277" w:type="pct"/>
                  <w:tcBorders>
                    <w:tl2br w:val="nil"/>
                    <w:tr2bl w:val="nil"/>
                  </w:tcBorders>
                  <w:vAlign w:val="center"/>
                </w:tcPr>
                <w:p w14:paraId="600A8FA1">
                  <w:pPr>
                    <w:pStyle w:val="33"/>
                    <w:bidi w:val="0"/>
                    <w:ind w:firstLine="0" w:firstLineChars="0"/>
                    <w:rPr>
                      <w:rFonts w:hint="default" w:ascii="Times New Roman" w:hAnsi="Times New Roman" w:eastAsia="宋体" w:cs="Times New Roman"/>
                      <w:color w:val="0000FF"/>
                      <w:kern w:val="2"/>
                      <w:sz w:val="21"/>
                      <w:szCs w:val="24"/>
                      <w:u w:val="none"/>
                      <w:lang w:val="en-US" w:eastAsia="zh-CN" w:bidi="ar-SA"/>
                    </w:rPr>
                  </w:pPr>
                  <w:r>
                    <w:rPr>
                      <w:rFonts w:hint="default" w:ascii="Times New Roman" w:hAnsi="Times New Roman" w:cs="Times New Roman"/>
                      <w:color w:val="0000FF"/>
                      <w:kern w:val="2"/>
                      <w:sz w:val="21"/>
                      <w:szCs w:val="24"/>
                      <w:u w:val="none"/>
                      <w:lang w:val="en-US" w:eastAsia="zh-CN" w:bidi="ar-SA"/>
                    </w:rPr>
                    <w:t>沉淀池</w:t>
                  </w:r>
                  <w:r>
                    <w:rPr>
                      <w:rFonts w:hint="eastAsia" w:cs="Times New Roman"/>
                      <w:color w:val="0000FF"/>
                      <w:kern w:val="2"/>
                      <w:sz w:val="21"/>
                      <w:szCs w:val="24"/>
                      <w:u w:val="none"/>
                      <w:lang w:val="en-US" w:eastAsia="zh-CN" w:bidi="ar-SA"/>
                    </w:rPr>
                    <w:t>沉淀后回用于汽车清洗</w:t>
                  </w:r>
                </w:p>
              </w:tc>
            </w:tr>
            <w:tr w14:paraId="279C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1" w:type="pct"/>
                  <w:tcBorders>
                    <w:tl2br w:val="nil"/>
                    <w:tr2bl w:val="nil"/>
                  </w:tcBorders>
                  <w:vAlign w:val="center"/>
                </w:tcPr>
                <w:p w14:paraId="4161A3C1">
                  <w:pPr>
                    <w:pStyle w:val="33"/>
                    <w:bidi w:val="0"/>
                    <w:ind w:firstLine="0" w:firstLineChars="0"/>
                    <w:rPr>
                      <w:rFonts w:hint="default" w:ascii="Times New Roman" w:hAnsi="Times New Roman" w:eastAsia="宋体" w:cs="Times New Roman"/>
                      <w:color w:val="0000FF"/>
                      <w:kern w:val="2"/>
                      <w:sz w:val="21"/>
                      <w:szCs w:val="36"/>
                      <w:u w:val="none"/>
                      <w:lang w:val="en-US" w:eastAsia="zh-CN" w:bidi="ar-SA"/>
                    </w:rPr>
                  </w:pPr>
                  <w:r>
                    <w:rPr>
                      <w:rFonts w:hint="default" w:ascii="Times New Roman" w:hAnsi="Times New Roman" w:cs="Times New Roman"/>
                      <w:color w:val="0000FF"/>
                      <w:kern w:val="2"/>
                      <w:sz w:val="21"/>
                      <w:szCs w:val="36"/>
                      <w:u w:val="none"/>
                      <w:lang w:val="en-US" w:eastAsia="zh-CN" w:bidi="ar-SA"/>
                    </w:rPr>
                    <w:t>初期雨水</w:t>
                  </w:r>
                </w:p>
              </w:tc>
              <w:tc>
                <w:tcPr>
                  <w:tcW w:w="613" w:type="pct"/>
                  <w:tcBorders>
                    <w:tl2br w:val="nil"/>
                    <w:tr2bl w:val="nil"/>
                  </w:tcBorders>
                  <w:vAlign w:val="center"/>
                </w:tcPr>
                <w:p w14:paraId="1A499D5F">
                  <w:pPr>
                    <w:pStyle w:val="33"/>
                    <w:bidi w:val="0"/>
                    <w:ind w:firstLine="0" w:firstLineChars="0"/>
                    <w:rPr>
                      <w:rFonts w:hint="default" w:ascii="Times New Roman" w:hAnsi="Times New Roman" w:eastAsia="宋体" w:cs="Times New Roman"/>
                      <w:color w:val="0000FF"/>
                      <w:kern w:val="2"/>
                      <w:sz w:val="21"/>
                      <w:szCs w:val="24"/>
                      <w:u w:val="none"/>
                      <w:lang w:val="en-US" w:eastAsia="zh-CN" w:bidi="ar-SA"/>
                    </w:rPr>
                  </w:pPr>
                  <w:r>
                    <w:rPr>
                      <w:rFonts w:hint="default" w:ascii="Times New Roman" w:hAnsi="Times New Roman" w:cs="Times New Roman"/>
                      <w:color w:val="0000FF"/>
                      <w:kern w:val="2"/>
                      <w:sz w:val="21"/>
                      <w:szCs w:val="24"/>
                      <w:u w:val="none"/>
                      <w:lang w:val="en-US" w:eastAsia="zh-CN" w:bidi="ar-SA"/>
                    </w:rPr>
                    <w:t>/</w:t>
                  </w:r>
                </w:p>
              </w:tc>
              <w:tc>
                <w:tcPr>
                  <w:tcW w:w="716" w:type="pct"/>
                  <w:tcBorders>
                    <w:tl2br w:val="nil"/>
                    <w:tr2bl w:val="nil"/>
                  </w:tcBorders>
                  <w:vAlign w:val="center"/>
                </w:tcPr>
                <w:p w14:paraId="18482D8A">
                  <w:pPr>
                    <w:pStyle w:val="33"/>
                    <w:bidi w:val="0"/>
                    <w:ind w:firstLine="0" w:firstLineChars="0"/>
                    <w:rPr>
                      <w:rFonts w:hint="default" w:ascii="Times New Roman" w:hAnsi="Times New Roman" w:eastAsia="宋体" w:cs="Times New Roman"/>
                      <w:color w:val="0000FF"/>
                      <w:kern w:val="2"/>
                      <w:sz w:val="21"/>
                      <w:szCs w:val="24"/>
                      <w:u w:val="none"/>
                      <w:lang w:val="en-US" w:eastAsia="zh-CN" w:bidi="ar-SA"/>
                    </w:rPr>
                  </w:pPr>
                  <w:r>
                    <w:rPr>
                      <w:rFonts w:hint="default" w:ascii="Times New Roman" w:hAnsi="Times New Roman" w:cs="Times New Roman"/>
                      <w:color w:val="0000FF"/>
                      <w:kern w:val="2"/>
                      <w:sz w:val="21"/>
                      <w:szCs w:val="24"/>
                      <w:u w:val="none"/>
                      <w:lang w:val="en-US" w:eastAsia="zh-CN" w:bidi="ar-SA"/>
                    </w:rPr>
                    <w:t>/</w:t>
                  </w:r>
                </w:p>
              </w:tc>
              <w:tc>
                <w:tcPr>
                  <w:tcW w:w="542" w:type="pct"/>
                  <w:tcBorders>
                    <w:tl2br w:val="nil"/>
                    <w:tr2bl w:val="nil"/>
                  </w:tcBorders>
                  <w:vAlign w:val="center"/>
                </w:tcPr>
                <w:p w14:paraId="3020489B">
                  <w:pPr>
                    <w:pStyle w:val="33"/>
                    <w:bidi w:val="0"/>
                    <w:ind w:firstLine="0" w:firstLineChars="0"/>
                    <w:rPr>
                      <w:rFonts w:hint="default" w:ascii="Times New Roman" w:hAnsi="Times New Roman" w:eastAsia="宋体" w:cs="Times New Roman"/>
                      <w:color w:val="0000FF"/>
                      <w:kern w:val="2"/>
                      <w:sz w:val="21"/>
                      <w:szCs w:val="24"/>
                      <w:u w:val="none"/>
                      <w:lang w:val="en-US" w:eastAsia="zh-CN" w:bidi="ar-SA"/>
                    </w:rPr>
                  </w:pPr>
                  <w:r>
                    <w:rPr>
                      <w:rFonts w:hint="eastAsia" w:cs="Times New Roman"/>
                      <w:color w:val="0000FF"/>
                      <w:kern w:val="2"/>
                      <w:sz w:val="21"/>
                      <w:szCs w:val="24"/>
                      <w:u w:val="none"/>
                      <w:lang w:val="en-US" w:eastAsia="zh-CN" w:bidi="ar-SA"/>
                    </w:rPr>
                    <w:t>743.162</w:t>
                  </w:r>
                </w:p>
              </w:tc>
              <w:tc>
                <w:tcPr>
                  <w:tcW w:w="668" w:type="pct"/>
                  <w:tcBorders>
                    <w:tl2br w:val="nil"/>
                    <w:tr2bl w:val="nil"/>
                  </w:tcBorders>
                  <w:vAlign w:val="center"/>
                </w:tcPr>
                <w:p w14:paraId="1F44D055">
                  <w:pPr>
                    <w:pStyle w:val="33"/>
                    <w:bidi w:val="0"/>
                    <w:ind w:firstLine="0" w:firstLineChars="0"/>
                    <w:rPr>
                      <w:rFonts w:hint="default" w:ascii="Times New Roman" w:hAnsi="Times New Roman" w:eastAsia="宋体" w:cs="Times New Roman"/>
                      <w:color w:val="0000FF"/>
                      <w:kern w:val="2"/>
                      <w:sz w:val="21"/>
                      <w:szCs w:val="24"/>
                      <w:u w:val="none"/>
                      <w:lang w:val="en-US" w:eastAsia="zh-CN" w:bidi="ar-SA"/>
                    </w:rPr>
                  </w:pPr>
                  <w:r>
                    <w:rPr>
                      <w:rFonts w:hint="eastAsia" w:cs="Times New Roman"/>
                      <w:color w:val="0000FF"/>
                      <w:kern w:val="2"/>
                      <w:sz w:val="21"/>
                      <w:szCs w:val="24"/>
                      <w:u w:val="none"/>
                      <w:lang w:val="en-US" w:eastAsia="zh-CN" w:bidi="ar-SA"/>
                    </w:rPr>
                    <w:t>111474.3</w:t>
                  </w:r>
                </w:p>
              </w:tc>
              <w:tc>
                <w:tcPr>
                  <w:tcW w:w="1277" w:type="pct"/>
                  <w:tcBorders>
                    <w:tl2br w:val="nil"/>
                    <w:tr2bl w:val="nil"/>
                  </w:tcBorders>
                  <w:vAlign w:val="center"/>
                </w:tcPr>
                <w:p w14:paraId="18E57BAC">
                  <w:pPr>
                    <w:pStyle w:val="33"/>
                    <w:bidi w:val="0"/>
                    <w:ind w:firstLine="0" w:firstLineChars="0"/>
                    <w:rPr>
                      <w:rFonts w:hint="default" w:ascii="Times New Roman" w:hAnsi="Times New Roman" w:eastAsia="宋体" w:cs="Times New Roman"/>
                      <w:color w:val="0000FF"/>
                      <w:kern w:val="2"/>
                      <w:sz w:val="21"/>
                      <w:szCs w:val="24"/>
                      <w:u w:val="none"/>
                      <w:lang w:val="en-US" w:eastAsia="zh-CN" w:bidi="ar-SA"/>
                    </w:rPr>
                  </w:pPr>
                  <w:r>
                    <w:rPr>
                      <w:rFonts w:hint="eastAsia" w:cs="Times New Roman"/>
                      <w:color w:val="0000FF"/>
                      <w:kern w:val="2"/>
                      <w:sz w:val="21"/>
                      <w:szCs w:val="24"/>
                      <w:u w:val="none"/>
                      <w:lang w:val="en-US" w:eastAsia="zh-CN" w:bidi="ar-SA"/>
                    </w:rPr>
                    <w:t>初期雨水</w:t>
                  </w:r>
                  <w:r>
                    <w:rPr>
                      <w:rFonts w:hint="default" w:ascii="Times New Roman" w:hAnsi="Times New Roman" w:cs="Times New Roman"/>
                      <w:color w:val="0000FF"/>
                      <w:kern w:val="2"/>
                      <w:sz w:val="21"/>
                      <w:szCs w:val="24"/>
                      <w:u w:val="none"/>
                      <w:lang w:val="en-US" w:eastAsia="zh-CN" w:bidi="ar-SA"/>
                    </w:rPr>
                    <w:t>收集池</w:t>
                  </w:r>
                  <w:r>
                    <w:rPr>
                      <w:rFonts w:hint="eastAsia" w:cs="Times New Roman"/>
                      <w:color w:val="0000FF"/>
                      <w:kern w:val="2"/>
                      <w:sz w:val="21"/>
                      <w:szCs w:val="24"/>
                      <w:u w:val="none"/>
                      <w:lang w:val="en-US" w:eastAsia="zh-CN" w:bidi="ar-SA"/>
                    </w:rPr>
                    <w:t>沉淀后回用于洒水降尘</w:t>
                  </w:r>
                </w:p>
              </w:tc>
            </w:tr>
            <w:tr w14:paraId="5DEC3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1181" w:type="pct"/>
                  <w:tcBorders>
                    <w:tl2br w:val="nil"/>
                    <w:tr2bl w:val="nil"/>
                  </w:tcBorders>
                  <w:vAlign w:val="center"/>
                </w:tcPr>
                <w:p w14:paraId="71A5327E">
                  <w:pPr>
                    <w:pStyle w:val="33"/>
                    <w:bidi w:val="0"/>
                    <w:rPr>
                      <w:rFonts w:hint="default" w:ascii="Times New Roman" w:hAnsi="Times New Roman" w:cs="Times New Roman"/>
                      <w:color w:val="0000FF"/>
                      <w:u w:val="none"/>
                      <w:lang w:val="en-US" w:eastAsia="zh-CN"/>
                    </w:rPr>
                  </w:pPr>
                  <w:r>
                    <w:rPr>
                      <w:rFonts w:hint="default" w:ascii="Times New Roman" w:hAnsi="Times New Roman" w:cs="Times New Roman"/>
                      <w:color w:val="0000FF"/>
                      <w:u w:val="none"/>
                      <w:lang w:val="en-US" w:eastAsia="zh-CN"/>
                    </w:rPr>
                    <w:t>合计</w:t>
                  </w:r>
                </w:p>
              </w:tc>
              <w:tc>
                <w:tcPr>
                  <w:tcW w:w="613" w:type="pct"/>
                  <w:tcBorders>
                    <w:tl2br w:val="nil"/>
                    <w:tr2bl w:val="nil"/>
                  </w:tcBorders>
                  <w:vAlign w:val="center"/>
                </w:tcPr>
                <w:p w14:paraId="16BBF21A">
                  <w:pPr>
                    <w:pStyle w:val="33"/>
                    <w:bidi w:val="0"/>
                    <w:rPr>
                      <w:rFonts w:hint="default" w:ascii="Times New Roman" w:hAnsi="Times New Roman" w:cs="Times New Roman"/>
                      <w:color w:val="0000FF"/>
                      <w:u w:val="none"/>
                      <w:lang w:val="en-US" w:eastAsia="zh-CN"/>
                    </w:rPr>
                  </w:pPr>
                  <w:r>
                    <w:rPr>
                      <w:rFonts w:hint="eastAsia" w:cs="Times New Roman"/>
                      <w:color w:val="0000FF"/>
                      <w:u w:val="none"/>
                      <w:lang w:val="en-US" w:eastAsia="zh-CN"/>
                    </w:rPr>
                    <w:t>586.585</w:t>
                  </w:r>
                </w:p>
              </w:tc>
              <w:tc>
                <w:tcPr>
                  <w:tcW w:w="716" w:type="pct"/>
                  <w:tcBorders>
                    <w:tl2br w:val="nil"/>
                    <w:tr2bl w:val="nil"/>
                  </w:tcBorders>
                  <w:vAlign w:val="center"/>
                </w:tcPr>
                <w:p w14:paraId="22D594A3">
                  <w:pPr>
                    <w:pStyle w:val="33"/>
                    <w:bidi w:val="0"/>
                    <w:rPr>
                      <w:rFonts w:hint="default" w:ascii="Times New Roman" w:hAnsi="Times New Roman" w:cs="Times New Roman"/>
                      <w:color w:val="0000FF"/>
                      <w:u w:val="none"/>
                      <w:lang w:val="en-US" w:eastAsia="zh-CN"/>
                    </w:rPr>
                  </w:pPr>
                  <w:r>
                    <w:rPr>
                      <w:rFonts w:hint="eastAsia" w:cs="Times New Roman"/>
                      <w:color w:val="0000FF"/>
                      <w:u w:val="none"/>
                      <w:lang w:val="en-US" w:eastAsia="zh-CN"/>
                    </w:rPr>
                    <w:t>117411.36</w:t>
                  </w:r>
                </w:p>
              </w:tc>
              <w:tc>
                <w:tcPr>
                  <w:tcW w:w="542" w:type="pct"/>
                  <w:tcBorders>
                    <w:tl2br w:val="nil"/>
                    <w:tr2bl w:val="nil"/>
                  </w:tcBorders>
                  <w:vAlign w:val="center"/>
                </w:tcPr>
                <w:p w14:paraId="053E6CD0">
                  <w:pPr>
                    <w:pStyle w:val="33"/>
                    <w:bidi w:val="0"/>
                    <w:ind w:firstLine="0" w:firstLineChars="0"/>
                    <w:rPr>
                      <w:rFonts w:hint="default" w:ascii="Times New Roman" w:hAnsi="Times New Roman" w:cs="Times New Roman"/>
                      <w:color w:val="0000FF"/>
                      <w:kern w:val="2"/>
                      <w:sz w:val="21"/>
                      <w:szCs w:val="24"/>
                      <w:u w:val="none"/>
                      <w:lang w:val="en-US" w:eastAsia="zh-CN" w:bidi="ar-SA"/>
                    </w:rPr>
                  </w:pPr>
                  <w:r>
                    <w:rPr>
                      <w:rFonts w:hint="eastAsia" w:cs="Times New Roman"/>
                      <w:color w:val="0000FF"/>
                      <w:kern w:val="2"/>
                      <w:sz w:val="21"/>
                      <w:szCs w:val="24"/>
                      <w:u w:val="none"/>
                      <w:lang w:val="en-US" w:eastAsia="zh-CN" w:bidi="ar-SA"/>
                    </w:rPr>
                    <w:t>743.918</w:t>
                  </w:r>
                </w:p>
              </w:tc>
              <w:tc>
                <w:tcPr>
                  <w:tcW w:w="668" w:type="pct"/>
                  <w:tcBorders>
                    <w:tl2br w:val="nil"/>
                    <w:tr2bl w:val="nil"/>
                  </w:tcBorders>
                  <w:vAlign w:val="center"/>
                </w:tcPr>
                <w:p w14:paraId="34515842">
                  <w:pPr>
                    <w:pStyle w:val="33"/>
                    <w:bidi w:val="0"/>
                    <w:ind w:firstLine="0" w:firstLineChars="0"/>
                    <w:rPr>
                      <w:rFonts w:hint="default" w:ascii="Times New Roman" w:hAnsi="Times New Roman" w:cs="Times New Roman"/>
                      <w:color w:val="0000FF"/>
                      <w:kern w:val="2"/>
                      <w:sz w:val="21"/>
                      <w:szCs w:val="24"/>
                      <w:u w:val="none"/>
                      <w:lang w:val="en-US" w:eastAsia="zh-CN" w:bidi="ar-SA"/>
                    </w:rPr>
                  </w:pPr>
                  <w:r>
                    <w:rPr>
                      <w:rFonts w:hint="eastAsia" w:cs="Times New Roman"/>
                      <w:color w:val="0000FF"/>
                      <w:kern w:val="2"/>
                      <w:sz w:val="21"/>
                      <w:szCs w:val="24"/>
                      <w:u w:val="none"/>
                      <w:lang w:val="en-US" w:eastAsia="zh-CN" w:bidi="ar-SA"/>
                    </w:rPr>
                    <w:t>111701.1</w:t>
                  </w:r>
                </w:p>
              </w:tc>
              <w:tc>
                <w:tcPr>
                  <w:tcW w:w="1277" w:type="pct"/>
                  <w:tcBorders>
                    <w:tl2br w:val="nil"/>
                    <w:tr2bl w:val="nil"/>
                  </w:tcBorders>
                  <w:vAlign w:val="center"/>
                </w:tcPr>
                <w:p w14:paraId="5C4FF5FD">
                  <w:pPr>
                    <w:pStyle w:val="33"/>
                    <w:bidi w:val="0"/>
                    <w:ind w:firstLine="0" w:firstLineChars="0"/>
                    <w:rPr>
                      <w:rFonts w:hint="default" w:ascii="Times New Roman" w:hAnsi="Times New Roman" w:cs="Times New Roman"/>
                      <w:color w:val="0000FF"/>
                      <w:kern w:val="2"/>
                      <w:sz w:val="21"/>
                      <w:szCs w:val="24"/>
                      <w:u w:val="none"/>
                      <w:lang w:val="en-US" w:eastAsia="zh-CN" w:bidi="ar-SA"/>
                    </w:rPr>
                  </w:pPr>
                  <w:r>
                    <w:rPr>
                      <w:rFonts w:hint="default" w:ascii="Times New Roman" w:hAnsi="Times New Roman" w:cs="Times New Roman"/>
                      <w:color w:val="0000FF"/>
                      <w:kern w:val="2"/>
                      <w:sz w:val="21"/>
                      <w:szCs w:val="24"/>
                      <w:u w:val="none"/>
                      <w:lang w:val="en-US" w:eastAsia="zh-CN" w:bidi="ar-SA"/>
                    </w:rPr>
                    <w:t>/</w:t>
                  </w:r>
                </w:p>
              </w:tc>
            </w:tr>
          </w:tbl>
          <w:p w14:paraId="22CAC6E0">
            <w:pPr>
              <w:numPr>
                <w:ilvl w:val="0"/>
                <w:numId w:val="0"/>
              </w:numPr>
              <w:bidi w:val="0"/>
              <w:ind w:leftChars="200"/>
              <w:rPr>
                <w:rFonts w:hint="default" w:ascii="Times New Roman" w:hAnsi="Times New Roman" w:eastAsia="宋体" w:cs="Times New Roman"/>
                <w:color w:val="auto"/>
                <w:sz w:val="24"/>
                <w:szCs w:val="21"/>
                <w:u w:val="none"/>
                <w:vertAlign w:val="baseline"/>
                <w:lang w:val="en-US" w:eastAsia="zh-CN"/>
              </w:rPr>
            </w:pPr>
            <w:r>
              <w:rPr>
                <w:rFonts w:hint="default" w:ascii="Times New Roman" w:hAnsi="Times New Roman" w:eastAsia="宋体" w:cs="Times New Roman"/>
                <w:color w:val="auto"/>
                <w:sz w:val="24"/>
                <w:szCs w:val="21"/>
                <w:u w:val="none"/>
                <w:vertAlign w:val="baseline"/>
                <w:lang w:val="en-US" w:eastAsia="zh-CN"/>
              </w:rPr>
              <w:t>项目水平衡图见图2-1</w:t>
            </w:r>
            <w:r>
              <w:rPr>
                <w:rFonts w:hint="default" w:ascii="Times New Roman" w:hAnsi="Times New Roman" w:cs="Times New Roman"/>
                <w:color w:val="auto"/>
                <w:sz w:val="24"/>
                <w:szCs w:val="21"/>
                <w:u w:val="none"/>
                <w:vertAlign w:val="baseline"/>
                <w:lang w:val="en-US" w:eastAsia="zh-CN"/>
              </w:rPr>
              <w:t>、2-2</w:t>
            </w:r>
            <w:r>
              <w:rPr>
                <w:rFonts w:hint="default" w:ascii="Times New Roman" w:hAnsi="Times New Roman" w:eastAsia="宋体" w:cs="Times New Roman"/>
                <w:color w:val="auto"/>
                <w:sz w:val="24"/>
                <w:szCs w:val="21"/>
                <w:u w:val="none"/>
                <w:vertAlign w:val="baseline"/>
                <w:lang w:val="en-US" w:eastAsia="zh-CN"/>
              </w:rPr>
              <w:t>。</w:t>
            </w:r>
          </w:p>
          <w:p w14:paraId="63162224">
            <w:pPr>
              <w:pStyle w:val="3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object>
                <v:shape id="_x0000_i1025" o:spt="75" type="#_x0000_t75" style="height:312.15pt;width:339.45pt;" o:ole="t" filled="f" o:preferrelative="t" stroked="f" coordsize="21600,21600">
                  <v:path/>
                  <v:fill on="f" focussize="0,0"/>
                  <v:stroke on="f"/>
                  <v:imagedata r:id="rId11" o:title=""/>
                  <o:lock v:ext="edit" aspectratio="f"/>
                  <w10:wrap type="none"/>
                  <w10:anchorlock/>
                </v:shape>
                <o:OLEObject Type="Embed" ProgID="Visio.Drawing.11" ShapeID="_x0000_i1025" DrawAspect="Content" ObjectID="_1468075725" r:id="rId10">
                  <o:LockedField>false</o:LockedField>
                </o:OLEObject>
              </w:object>
            </w:r>
          </w:p>
          <w:p w14:paraId="2C8E9569">
            <w:pPr>
              <w:pStyle w:val="35"/>
              <w:bidi w:val="0"/>
              <w:rPr>
                <w:rFonts w:hint="default" w:ascii="Times New Roman" w:hAnsi="Times New Roman" w:cs="Times New Roman"/>
                <w:color w:val="0000FF"/>
                <w:u w:val="none"/>
                <w:lang w:val="en-US" w:eastAsia="zh-CN"/>
              </w:rPr>
            </w:pPr>
            <w:r>
              <w:rPr>
                <w:rFonts w:hint="default" w:ascii="Times New Roman" w:hAnsi="Times New Roman" w:cs="Times New Roman"/>
                <w:color w:val="0000FF"/>
                <w:highlight w:val="none"/>
                <w:u w:val="none"/>
                <w:lang w:val="en-US" w:eastAsia="zh-CN"/>
              </w:rPr>
              <w:t>图2-1  本项目雨天水平衡图    单位：m³/</w:t>
            </w:r>
            <w:r>
              <w:rPr>
                <w:rFonts w:hint="eastAsia" w:cs="Times New Roman"/>
                <w:color w:val="0000FF"/>
                <w:highlight w:val="none"/>
                <w:u w:val="none"/>
                <w:lang w:val="en-US" w:eastAsia="zh-CN"/>
              </w:rPr>
              <w:t>a</w:t>
            </w:r>
          </w:p>
          <w:p w14:paraId="54F76386">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b/>
                <w:bCs/>
                <w:color w:val="FF0000"/>
                <w:highlight w:val="none"/>
                <w:u w:val="single"/>
                <w:lang w:val="en-US" w:eastAsia="zh-CN"/>
              </w:rPr>
            </w:pPr>
            <w:r>
              <w:rPr>
                <w:rFonts w:hint="default" w:ascii="Times New Roman" w:hAnsi="Times New Roman" w:cs="Times New Roman"/>
                <w:color w:val="auto"/>
                <w:highlight w:val="none"/>
                <w:lang w:val="en-US" w:eastAsia="zh-CN"/>
              </w:rPr>
              <w:object>
                <v:shape id="_x0000_i1026" o:spt="75" type="#_x0000_t75" style="height:312.15pt;width:339.45pt;" o:ole="t" filled="f" o:preferrelative="t" stroked="f" coordsize="21600,21600">
                  <v:path/>
                  <v:fill on="f" focussize="0,0"/>
                  <v:stroke on="f"/>
                  <v:imagedata r:id="rId13" o:title=""/>
                  <o:lock v:ext="edit" aspectratio="f"/>
                  <w10:wrap type="none"/>
                  <w10:anchorlock/>
                </v:shape>
                <o:OLEObject Type="Embed" ProgID="Visio.Drawing.11" ShapeID="_x0000_i1026" DrawAspect="Content" ObjectID="_1468075726" r:id="rId12">
                  <o:LockedField>false</o:LockedField>
                </o:OLEObject>
              </w:object>
            </w:r>
            <w:r>
              <w:rPr>
                <w:rFonts w:hint="default" w:ascii="Times New Roman" w:hAnsi="Times New Roman" w:cs="Times New Roman"/>
                <w:color w:val="auto"/>
                <w:highlight w:val="none"/>
                <w:u w:val="none"/>
                <w:lang w:val="en-US" w:eastAsia="zh-CN"/>
              </w:rPr>
              <w:t xml:space="preserve"> </w:t>
            </w:r>
            <w:r>
              <w:rPr>
                <w:rFonts w:hint="default" w:ascii="Times New Roman" w:hAnsi="Times New Roman" w:eastAsia="宋体" w:cs="Times New Roman"/>
                <w:b/>
                <w:bCs/>
                <w:color w:val="0000FF"/>
                <w:highlight w:val="none"/>
                <w:u w:val="none"/>
                <w:lang w:val="en-US" w:eastAsia="zh-CN"/>
              </w:rPr>
              <w:t>图2-</w:t>
            </w:r>
            <w:r>
              <w:rPr>
                <w:rFonts w:hint="default" w:ascii="Times New Roman" w:hAnsi="Times New Roman" w:cs="Times New Roman"/>
                <w:b/>
                <w:bCs/>
                <w:color w:val="0000FF"/>
                <w:highlight w:val="none"/>
                <w:u w:val="none"/>
                <w:lang w:val="en-US" w:eastAsia="zh-CN"/>
              </w:rPr>
              <w:t>2</w:t>
            </w:r>
            <w:r>
              <w:rPr>
                <w:rFonts w:hint="default" w:ascii="Times New Roman" w:hAnsi="Times New Roman" w:eastAsia="宋体" w:cs="Times New Roman"/>
                <w:b/>
                <w:bCs/>
                <w:color w:val="0000FF"/>
                <w:highlight w:val="none"/>
                <w:u w:val="none"/>
                <w:lang w:val="en-US" w:eastAsia="zh-CN"/>
              </w:rPr>
              <w:t xml:space="preserve">  本项目</w:t>
            </w:r>
            <w:r>
              <w:rPr>
                <w:rFonts w:hint="default" w:ascii="Times New Roman" w:hAnsi="Times New Roman" w:cs="Times New Roman"/>
                <w:b/>
                <w:bCs/>
                <w:color w:val="0000FF"/>
                <w:highlight w:val="none"/>
                <w:u w:val="none"/>
                <w:lang w:val="en-US" w:eastAsia="zh-CN"/>
              </w:rPr>
              <w:t>非</w:t>
            </w:r>
            <w:r>
              <w:rPr>
                <w:rFonts w:hint="default" w:ascii="Times New Roman" w:hAnsi="Times New Roman" w:eastAsia="宋体" w:cs="Times New Roman"/>
                <w:b/>
                <w:bCs/>
                <w:color w:val="0000FF"/>
                <w:highlight w:val="none"/>
                <w:u w:val="none"/>
                <w:lang w:val="en-US" w:eastAsia="zh-CN"/>
              </w:rPr>
              <w:t>雨天水平衡图    单位</w:t>
            </w:r>
            <w:r>
              <w:rPr>
                <w:rFonts w:hint="default" w:ascii="Times New Roman" w:hAnsi="Times New Roman" w:cs="Times New Roman"/>
                <w:b/>
                <w:bCs/>
                <w:color w:val="0000FF"/>
                <w:highlight w:val="none"/>
                <w:u w:val="none"/>
                <w:lang w:val="en-US" w:eastAsia="zh-CN"/>
              </w:rPr>
              <w:t>：m³/</w:t>
            </w:r>
            <w:r>
              <w:rPr>
                <w:rFonts w:hint="eastAsia" w:cs="Times New Roman"/>
                <w:b/>
                <w:bCs/>
                <w:color w:val="0000FF"/>
                <w:highlight w:val="none"/>
                <w:u w:val="none"/>
                <w:lang w:val="en-US" w:eastAsia="zh-CN"/>
              </w:rPr>
              <w:t>a</w:t>
            </w:r>
          </w:p>
          <w:p w14:paraId="2075164B">
            <w:pPr>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9、总平面布置合理性</w:t>
            </w:r>
          </w:p>
          <w:p w14:paraId="718A1769">
            <w:pPr>
              <w:pStyle w:val="5"/>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项目总平面布置</w:t>
            </w:r>
            <w:r>
              <w:rPr>
                <w:rFonts w:hint="eastAsia" w:cs="Times New Roman"/>
                <w:lang w:val="en-US" w:eastAsia="zh-CN"/>
              </w:rPr>
              <w:t>总体以南北向布设</w:t>
            </w:r>
            <w:r>
              <w:rPr>
                <w:rFonts w:hint="default" w:ascii="Times New Roman" w:hAnsi="Times New Roman" w:cs="Times New Roman"/>
                <w:lang w:val="en-US" w:eastAsia="zh-CN"/>
              </w:rPr>
              <w:t>区。项目</w:t>
            </w:r>
            <w:r>
              <w:rPr>
                <w:rFonts w:hint="eastAsia" w:cs="Times New Roman"/>
                <w:lang w:val="en-US" w:eastAsia="zh-CN"/>
              </w:rPr>
              <w:t>分别设置1个出口和1个入口</w:t>
            </w:r>
            <w:r>
              <w:rPr>
                <w:rFonts w:hint="default" w:ascii="Times New Roman" w:hAnsi="Times New Roman" w:cs="Times New Roman"/>
                <w:lang w:val="en-US" w:eastAsia="zh-CN"/>
              </w:rPr>
              <w:t>，</w:t>
            </w:r>
            <w:r>
              <w:rPr>
                <w:rFonts w:hint="eastAsia" w:cs="Times New Roman"/>
                <w:lang w:val="en-US" w:eastAsia="zh-CN"/>
              </w:rPr>
              <w:t>入口位于项目北偏西处，</w:t>
            </w:r>
            <w:r>
              <w:rPr>
                <w:rFonts w:hint="default" w:ascii="Times New Roman" w:hAnsi="Times New Roman" w:cs="Times New Roman"/>
                <w:lang w:val="en-US" w:eastAsia="zh-CN"/>
              </w:rPr>
              <w:t>入口</w:t>
            </w:r>
            <w:r>
              <w:rPr>
                <w:rFonts w:hint="eastAsia" w:cs="Times New Roman"/>
                <w:lang w:val="en-US" w:eastAsia="zh-CN"/>
              </w:rPr>
              <w:t>南</w:t>
            </w:r>
            <w:r>
              <w:rPr>
                <w:rFonts w:hint="default" w:ascii="Times New Roman" w:hAnsi="Times New Roman" w:cs="Times New Roman"/>
                <w:lang w:val="en-US" w:eastAsia="zh-CN"/>
              </w:rPr>
              <w:t>侧设地磅</w:t>
            </w:r>
            <w:r>
              <w:rPr>
                <w:rFonts w:hint="eastAsia" w:cs="Times New Roman"/>
                <w:lang w:val="en-US" w:eastAsia="zh-CN"/>
              </w:rPr>
              <w:t>及地泵房</w:t>
            </w:r>
            <w:r>
              <w:rPr>
                <w:rFonts w:hint="default" w:ascii="Times New Roman" w:hAnsi="Times New Roman" w:cs="Times New Roman"/>
                <w:lang w:val="en-US" w:eastAsia="zh-CN"/>
              </w:rPr>
              <w:t>，方便运输车辆称重</w:t>
            </w:r>
            <w:r>
              <w:rPr>
                <w:rFonts w:hint="eastAsia" w:cs="Times New Roman"/>
                <w:lang w:val="en-US" w:eastAsia="zh-CN"/>
              </w:rPr>
              <w:t>；出口位于项目北偏东处，出口处设置过水池及配套沉淀池；项目区最北侧设置生活区，生活区由办公楼、卫生间、危废暂存间构成；项目区东北侧分别设置</w:t>
            </w:r>
            <w:r>
              <w:rPr>
                <w:rFonts w:hint="default" w:ascii="Times New Roman" w:hAnsi="Times New Roman" w:cs="Times New Roman"/>
                <w:lang w:val="en-US" w:eastAsia="zh-CN"/>
              </w:rPr>
              <w:t>储煤仓库</w:t>
            </w:r>
            <w:r>
              <w:rPr>
                <w:rFonts w:hint="eastAsia" w:cs="Times New Roman"/>
                <w:lang w:val="en-US" w:eastAsia="zh-CN"/>
              </w:rPr>
              <w:t>1和</w:t>
            </w:r>
            <w:r>
              <w:rPr>
                <w:rFonts w:hint="default" w:ascii="Times New Roman" w:hAnsi="Times New Roman" w:cs="Times New Roman"/>
                <w:lang w:val="en-US" w:eastAsia="zh-CN"/>
              </w:rPr>
              <w:t>在储煤仓库</w:t>
            </w:r>
            <w:r>
              <w:rPr>
                <w:rFonts w:hint="eastAsia" w:cs="Times New Roman"/>
                <w:lang w:val="en-US" w:eastAsia="zh-CN"/>
              </w:rPr>
              <w:t>2；晾晒厂房1位于项目区中部，晾晒厂房2位于项目区最</w:t>
            </w:r>
            <w:r>
              <w:rPr>
                <w:rFonts w:hint="default" w:ascii="Times New Roman" w:hAnsi="Times New Roman" w:cs="Times New Roman"/>
                <w:lang w:val="en-US" w:eastAsia="zh-CN"/>
              </w:rPr>
              <w:t>南侧</w:t>
            </w:r>
            <w:r>
              <w:rPr>
                <w:rFonts w:hint="eastAsia" w:cs="Times New Roman"/>
                <w:lang w:val="en-US" w:eastAsia="zh-CN"/>
              </w:rPr>
              <w:t>；初期雨水收集池位于项目区西侧，属于地势最低点</w:t>
            </w:r>
            <w:r>
              <w:rPr>
                <w:rFonts w:hint="default" w:ascii="Times New Roman" w:hAnsi="Times New Roman" w:cs="Times New Roman"/>
                <w:lang w:val="en-US" w:eastAsia="zh-CN"/>
              </w:rPr>
              <w:t>。</w:t>
            </w:r>
            <w:r>
              <w:rPr>
                <w:rFonts w:hint="default" w:ascii="Times New Roman" w:hAnsi="Times New Roman" w:eastAsia="宋体" w:cs="Times New Roman"/>
                <w:color w:val="auto"/>
                <w:sz w:val="24"/>
                <w:highlight w:val="none"/>
                <w:lang w:val="en-US" w:eastAsia="zh-CN"/>
              </w:rPr>
              <w:t>项目</w:t>
            </w:r>
            <w:r>
              <w:rPr>
                <w:rFonts w:hint="default" w:ascii="Times New Roman" w:hAnsi="Times New Roman" w:eastAsia="宋体" w:cs="Times New Roman"/>
                <w:color w:val="auto"/>
                <w:sz w:val="24"/>
                <w:highlight w:val="none"/>
              </w:rPr>
              <w:t>平面布局将</w:t>
            </w:r>
            <w:r>
              <w:rPr>
                <w:rFonts w:hint="default" w:ascii="Times New Roman" w:hAnsi="Times New Roman" w:eastAsia="宋体" w:cs="Times New Roman"/>
                <w:color w:val="auto"/>
                <w:sz w:val="24"/>
                <w:highlight w:val="none"/>
                <w:lang w:val="en-US" w:eastAsia="zh-CN"/>
              </w:rPr>
              <w:t>储煤</w:t>
            </w:r>
            <w:r>
              <w:rPr>
                <w:rFonts w:hint="default" w:ascii="Times New Roman" w:hAnsi="Times New Roman" w:cs="Times New Roman"/>
                <w:color w:val="auto"/>
                <w:sz w:val="24"/>
                <w:highlight w:val="none"/>
                <w:lang w:val="en-US" w:eastAsia="zh-CN"/>
              </w:rPr>
              <w:t>仓库、</w:t>
            </w:r>
            <w:r>
              <w:rPr>
                <w:rFonts w:hint="eastAsia" w:cs="Times New Roman"/>
                <w:color w:val="auto"/>
                <w:sz w:val="24"/>
                <w:highlight w:val="none"/>
                <w:lang w:val="en-US" w:eastAsia="zh-CN"/>
              </w:rPr>
              <w:t>晾晒厂房</w:t>
            </w:r>
            <w:r>
              <w:rPr>
                <w:rFonts w:hint="default" w:ascii="Times New Roman" w:hAnsi="Times New Roman" w:eastAsia="宋体" w:cs="Times New Roman"/>
                <w:color w:val="auto"/>
                <w:sz w:val="24"/>
                <w:highlight w:val="none"/>
                <w:lang w:val="en-US" w:eastAsia="zh-CN"/>
              </w:rPr>
              <w:t>及</w:t>
            </w:r>
            <w:r>
              <w:rPr>
                <w:rFonts w:hint="default" w:ascii="Times New Roman" w:hAnsi="Times New Roman" w:cs="Times New Roman"/>
                <w:color w:val="auto"/>
                <w:sz w:val="24"/>
                <w:highlight w:val="none"/>
                <w:lang w:val="en-US" w:eastAsia="zh-CN"/>
              </w:rPr>
              <w:t>生活区</w:t>
            </w:r>
            <w:r>
              <w:rPr>
                <w:rFonts w:hint="default" w:ascii="Times New Roman" w:hAnsi="Times New Roman" w:eastAsia="宋体" w:cs="Times New Roman"/>
                <w:color w:val="auto"/>
                <w:sz w:val="24"/>
                <w:highlight w:val="none"/>
              </w:rPr>
              <w:t>分开布置，满足生产人流、物流分离、互不交叉干扰的原则，结构明朗，流程顺畅，布局紧凑，符合生产工艺流程等需求。总体上做到按功能分区，系统分明，布置整齐。</w:t>
            </w:r>
          </w:p>
          <w:p w14:paraId="25833031">
            <w:pPr>
              <w:pStyle w:val="12"/>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10</w:t>
            </w:r>
            <w:r>
              <w:rPr>
                <w:rFonts w:hint="default" w:ascii="Times New Roman" w:hAnsi="Times New Roman" w:eastAsia="宋体" w:cs="Times New Roman"/>
                <w:b/>
                <w:bCs w:val="0"/>
                <w:color w:val="auto"/>
                <w:sz w:val="24"/>
                <w:szCs w:val="24"/>
                <w:highlight w:val="none"/>
                <w:lang w:val="en-US" w:eastAsia="zh-CN"/>
              </w:rPr>
              <w:t>、环保投资</w:t>
            </w:r>
          </w:p>
          <w:p w14:paraId="6748A47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项目总投资</w:t>
            </w:r>
            <w:r>
              <w:rPr>
                <w:rFonts w:hint="eastAsia" w:ascii="Times New Roman" w:hAnsi="Times New Roman" w:eastAsia="宋体" w:cs="Times New Roman"/>
                <w:color w:val="auto"/>
                <w:sz w:val="24"/>
                <w:highlight w:val="none"/>
                <w:lang w:val="en-US" w:eastAsia="zh-CN"/>
              </w:rPr>
              <w:t>1200</w:t>
            </w:r>
            <w:r>
              <w:rPr>
                <w:rFonts w:hint="default" w:ascii="Times New Roman" w:hAnsi="Times New Roman" w:eastAsia="宋体" w:cs="Times New Roman"/>
                <w:color w:val="auto"/>
                <w:sz w:val="24"/>
                <w:highlight w:val="none"/>
              </w:rPr>
              <w:t>万元，</w:t>
            </w:r>
            <w:r>
              <w:rPr>
                <w:rFonts w:hint="default" w:ascii="Times New Roman" w:hAnsi="Times New Roman" w:eastAsia="宋体" w:cs="Times New Roman"/>
                <w:color w:val="auto"/>
                <w:sz w:val="24"/>
                <w:highlight w:val="none"/>
                <w:lang w:val="en-US" w:eastAsia="zh-CN"/>
              </w:rPr>
              <w:t>其中环保</w:t>
            </w:r>
            <w:r>
              <w:rPr>
                <w:rFonts w:hint="default" w:ascii="Times New Roman" w:hAnsi="Times New Roman" w:eastAsia="宋体" w:cs="Times New Roman"/>
                <w:color w:val="auto"/>
                <w:sz w:val="24"/>
                <w:highlight w:val="none"/>
              </w:rPr>
              <w:t>投资</w:t>
            </w:r>
            <w:r>
              <w:rPr>
                <w:rFonts w:hint="eastAsia" w:ascii="Times New Roman" w:hAnsi="Times New Roman" w:eastAsia="宋体" w:cs="Times New Roman"/>
                <w:color w:val="auto"/>
                <w:sz w:val="24"/>
                <w:highlight w:val="none"/>
                <w:lang w:val="en-US" w:eastAsia="zh-CN"/>
              </w:rPr>
              <w:t>69</w:t>
            </w:r>
            <w:r>
              <w:rPr>
                <w:rFonts w:hint="default" w:ascii="Times New Roman" w:hAnsi="Times New Roman" w:eastAsia="宋体" w:cs="Times New Roman"/>
                <w:color w:val="auto"/>
                <w:sz w:val="24"/>
                <w:highlight w:val="none"/>
              </w:rPr>
              <w:t>万元，占总投资的</w:t>
            </w:r>
            <w:r>
              <w:rPr>
                <w:rFonts w:hint="eastAsia" w:ascii="Times New Roman" w:hAnsi="Times New Roman" w:eastAsia="宋体" w:cs="Times New Roman"/>
                <w:color w:val="auto"/>
                <w:sz w:val="24"/>
                <w:highlight w:val="none"/>
                <w:lang w:val="en-US" w:eastAsia="zh-CN"/>
              </w:rPr>
              <w:t>5.75</w:t>
            </w:r>
            <w:r>
              <w:rPr>
                <w:rFonts w:hint="default" w:ascii="Times New Roman" w:hAnsi="Times New Roman" w:eastAsia="宋体" w:cs="Times New Roman"/>
                <w:color w:val="auto"/>
                <w:sz w:val="24"/>
                <w:highlight w:val="none"/>
              </w:rPr>
              <w:t>%，项目环保投资情况见表</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w:t>
            </w:r>
          </w:p>
          <w:p w14:paraId="6AAC651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rPr>
              <w:t xml:space="preserve">  项目环保投资一览表</w:t>
            </w:r>
          </w:p>
          <w:tbl>
            <w:tblPr>
              <w:tblStyle w:val="24"/>
              <w:tblW w:w="746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3"/>
              <w:gridCol w:w="2119"/>
              <w:gridCol w:w="3263"/>
              <w:gridCol w:w="784"/>
              <w:gridCol w:w="708"/>
            </w:tblGrid>
            <w:tr w14:paraId="6282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593" w:type="dxa"/>
                  <w:tcBorders>
                    <w:tl2br w:val="nil"/>
                    <w:tr2bl w:val="nil"/>
                  </w:tcBorders>
                  <w:vAlign w:val="center"/>
                </w:tcPr>
                <w:p w14:paraId="40A82DCE">
                  <w:pPr>
                    <w:pStyle w:val="33"/>
                    <w:rPr>
                      <w:rFonts w:hint="default" w:ascii="Times New Roman" w:hAnsi="Times New Roman" w:cs="Times New Roman"/>
                      <w:b/>
                      <w:bCs/>
                      <w:color w:val="auto"/>
                      <w:u w:val="none"/>
                    </w:rPr>
                  </w:pPr>
                  <w:r>
                    <w:rPr>
                      <w:rFonts w:hint="default" w:ascii="Times New Roman" w:hAnsi="Times New Roman" w:cs="Times New Roman"/>
                      <w:b/>
                      <w:bCs/>
                      <w:color w:val="auto"/>
                      <w:u w:val="none"/>
                    </w:rPr>
                    <w:t>类别</w:t>
                  </w:r>
                </w:p>
              </w:tc>
              <w:tc>
                <w:tcPr>
                  <w:tcW w:w="2119" w:type="dxa"/>
                  <w:tcBorders>
                    <w:tl2br w:val="nil"/>
                    <w:tr2bl w:val="nil"/>
                  </w:tcBorders>
                  <w:vAlign w:val="center"/>
                </w:tcPr>
                <w:p w14:paraId="0DA80C0B">
                  <w:pPr>
                    <w:pStyle w:val="33"/>
                    <w:rPr>
                      <w:rFonts w:hint="default" w:ascii="Times New Roman" w:hAnsi="Times New Roman" w:cs="Times New Roman"/>
                      <w:b/>
                      <w:bCs/>
                      <w:color w:val="auto"/>
                      <w:u w:val="none"/>
                    </w:rPr>
                  </w:pPr>
                  <w:r>
                    <w:rPr>
                      <w:rFonts w:hint="default" w:ascii="Times New Roman" w:hAnsi="Times New Roman" w:cs="Times New Roman"/>
                      <w:b/>
                      <w:bCs/>
                      <w:color w:val="auto"/>
                      <w:u w:val="none"/>
                    </w:rPr>
                    <w:t>环保项目</w:t>
                  </w:r>
                </w:p>
              </w:tc>
              <w:tc>
                <w:tcPr>
                  <w:tcW w:w="3263" w:type="dxa"/>
                  <w:tcBorders>
                    <w:tl2br w:val="nil"/>
                    <w:tr2bl w:val="nil"/>
                  </w:tcBorders>
                  <w:vAlign w:val="center"/>
                </w:tcPr>
                <w:p w14:paraId="7F022EAF">
                  <w:pPr>
                    <w:pStyle w:val="33"/>
                    <w:rPr>
                      <w:rFonts w:hint="default" w:ascii="Times New Roman" w:hAnsi="Times New Roman" w:cs="Times New Roman"/>
                      <w:b/>
                      <w:bCs/>
                      <w:color w:val="auto"/>
                      <w:u w:val="none"/>
                    </w:rPr>
                  </w:pPr>
                  <w:r>
                    <w:rPr>
                      <w:rFonts w:hint="default" w:ascii="Times New Roman" w:hAnsi="Times New Roman" w:cs="Times New Roman"/>
                      <w:b/>
                      <w:bCs/>
                      <w:color w:val="auto"/>
                      <w:u w:val="none"/>
                    </w:rPr>
                    <w:t>环保设施或措施</w:t>
                  </w:r>
                </w:p>
              </w:tc>
              <w:tc>
                <w:tcPr>
                  <w:tcW w:w="784" w:type="dxa"/>
                  <w:tcBorders>
                    <w:tl2br w:val="nil"/>
                    <w:tr2bl w:val="nil"/>
                  </w:tcBorders>
                  <w:vAlign w:val="center"/>
                </w:tcPr>
                <w:p w14:paraId="6D593D7F">
                  <w:pPr>
                    <w:pStyle w:val="33"/>
                    <w:rPr>
                      <w:rFonts w:hint="default" w:ascii="Times New Roman" w:hAnsi="Times New Roman" w:cs="Times New Roman"/>
                      <w:b/>
                      <w:bCs/>
                      <w:color w:val="auto"/>
                      <w:u w:val="none"/>
                    </w:rPr>
                  </w:pPr>
                  <w:r>
                    <w:rPr>
                      <w:rFonts w:hint="default" w:ascii="Times New Roman" w:hAnsi="Times New Roman" w:cs="Times New Roman"/>
                      <w:b/>
                      <w:bCs/>
                      <w:color w:val="auto"/>
                      <w:u w:val="none"/>
                    </w:rPr>
                    <w:t>投资估算（万元）</w:t>
                  </w:r>
                </w:p>
              </w:tc>
              <w:tc>
                <w:tcPr>
                  <w:tcW w:w="708" w:type="dxa"/>
                  <w:tcBorders>
                    <w:tl2br w:val="nil"/>
                    <w:tr2bl w:val="nil"/>
                  </w:tcBorders>
                  <w:vAlign w:val="center"/>
                </w:tcPr>
                <w:p w14:paraId="35FB13CA">
                  <w:pPr>
                    <w:pStyle w:val="33"/>
                    <w:rPr>
                      <w:rFonts w:hint="default" w:ascii="Times New Roman" w:hAnsi="Times New Roman" w:cs="Times New Roman"/>
                      <w:b/>
                      <w:bCs/>
                      <w:color w:val="auto"/>
                      <w:u w:val="none"/>
                    </w:rPr>
                  </w:pPr>
                  <w:r>
                    <w:rPr>
                      <w:rFonts w:hint="default" w:ascii="Times New Roman" w:hAnsi="Times New Roman" w:cs="Times New Roman"/>
                      <w:b/>
                      <w:bCs/>
                      <w:color w:val="auto"/>
                      <w:u w:val="none"/>
                    </w:rPr>
                    <w:t>备注</w:t>
                  </w:r>
                </w:p>
              </w:tc>
            </w:tr>
            <w:tr w14:paraId="051D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dxa"/>
                  <w:vMerge w:val="restart"/>
                  <w:tcBorders>
                    <w:tl2br w:val="nil"/>
                    <w:tr2bl w:val="nil"/>
                  </w:tcBorders>
                  <w:vAlign w:val="center"/>
                </w:tcPr>
                <w:p w14:paraId="36CF74F4">
                  <w:pPr>
                    <w:pStyle w:val="33"/>
                    <w:rPr>
                      <w:rFonts w:hint="default" w:ascii="Times New Roman" w:hAnsi="Times New Roman" w:cs="Times New Roman"/>
                      <w:color w:val="auto"/>
                      <w:u w:val="none"/>
                    </w:rPr>
                  </w:pPr>
                  <w:r>
                    <w:rPr>
                      <w:rFonts w:hint="default" w:ascii="Times New Roman" w:hAnsi="Times New Roman" w:cs="Times New Roman"/>
                      <w:color w:val="auto"/>
                      <w:u w:val="none"/>
                    </w:rPr>
                    <w:t>废水</w:t>
                  </w:r>
                </w:p>
              </w:tc>
              <w:tc>
                <w:tcPr>
                  <w:tcW w:w="2119" w:type="dxa"/>
                  <w:tcBorders>
                    <w:tl2br w:val="nil"/>
                    <w:tr2bl w:val="nil"/>
                  </w:tcBorders>
                  <w:vAlign w:val="center"/>
                </w:tcPr>
                <w:p w14:paraId="2752CFED">
                  <w:pPr>
                    <w:pStyle w:val="33"/>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lang w:val="en-US" w:eastAsia="zh-CN"/>
                    </w:rPr>
                    <w:t>生活污水</w:t>
                  </w:r>
                </w:p>
              </w:tc>
              <w:tc>
                <w:tcPr>
                  <w:tcW w:w="3263" w:type="dxa"/>
                  <w:tcBorders>
                    <w:tl2br w:val="nil"/>
                    <w:tr2bl w:val="nil"/>
                  </w:tcBorders>
                  <w:vAlign w:val="center"/>
                </w:tcPr>
                <w:p w14:paraId="5B3A95BE">
                  <w:pPr>
                    <w:pStyle w:val="33"/>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5</w:t>
                  </w:r>
                  <w:r>
                    <w:rPr>
                      <w:rFonts w:hint="default" w:ascii="Times New Roman" w:hAnsi="Times New Roman" w:eastAsia="宋体" w:cs="Times New Roman"/>
                      <w:b w:val="0"/>
                      <w:bCs w:val="0"/>
                      <w:color w:val="auto"/>
                      <w:sz w:val="24"/>
                      <w:highlight w:val="none"/>
                      <w:u w:val="none"/>
                      <w:lang w:val="en-US" w:eastAsia="zh-CN"/>
                    </w:rPr>
                    <w:t>m</w:t>
                  </w:r>
                  <w:r>
                    <w:rPr>
                      <w:rFonts w:hint="default" w:ascii="Times New Roman" w:hAnsi="Times New Roman" w:eastAsia="宋体" w:cs="Times New Roman"/>
                      <w:b w:val="0"/>
                      <w:bCs w:val="0"/>
                      <w:color w:val="auto"/>
                      <w:sz w:val="24"/>
                      <w:highlight w:val="none"/>
                      <w:u w:val="none"/>
                      <w:vertAlign w:val="superscript"/>
                      <w:lang w:val="en-US" w:eastAsia="zh-CN"/>
                    </w:rPr>
                    <w:t>3</w:t>
                  </w:r>
                  <w:r>
                    <w:rPr>
                      <w:rFonts w:hint="default" w:ascii="Times New Roman" w:hAnsi="Times New Roman" w:eastAsia="宋体" w:cs="Times New Roman"/>
                      <w:color w:val="auto"/>
                      <w:highlight w:val="none"/>
                      <w:u w:val="none"/>
                      <w:lang w:val="en-US" w:eastAsia="zh-CN"/>
                    </w:rPr>
                    <w:t>化粪池</w:t>
                  </w:r>
                  <w:r>
                    <w:rPr>
                      <w:rFonts w:hint="eastAsia" w:cs="Times New Roman"/>
                      <w:color w:val="auto"/>
                      <w:highlight w:val="none"/>
                      <w:u w:val="none"/>
                      <w:lang w:val="en-US" w:eastAsia="zh-CN"/>
                    </w:rPr>
                    <w:t>；</w:t>
                  </w:r>
                  <w:r>
                    <w:rPr>
                      <w:rFonts w:hint="eastAsia" w:cs="Times New Roman"/>
                      <w:color w:val="0000FF"/>
                      <w:highlight w:val="none"/>
                      <w:u w:val="none"/>
                      <w:lang w:val="en-US" w:eastAsia="zh-CN"/>
                    </w:rPr>
                    <w:t>一体化污水处理设备，处理能力5m</w:t>
                  </w:r>
                  <w:r>
                    <w:rPr>
                      <w:rFonts w:hint="eastAsia" w:cs="Times New Roman"/>
                      <w:color w:val="0000FF"/>
                      <w:highlight w:val="none"/>
                      <w:u w:val="none"/>
                      <w:vertAlign w:val="superscript"/>
                      <w:lang w:val="en-US" w:eastAsia="zh-CN"/>
                    </w:rPr>
                    <w:t>3</w:t>
                  </w:r>
                  <w:r>
                    <w:rPr>
                      <w:rFonts w:hint="eastAsia" w:cs="Times New Roman"/>
                      <w:color w:val="0000FF"/>
                      <w:highlight w:val="none"/>
                      <w:u w:val="none"/>
                      <w:lang w:val="en-US" w:eastAsia="zh-CN"/>
                    </w:rPr>
                    <w:t>/d。</w:t>
                  </w:r>
                </w:p>
              </w:tc>
              <w:tc>
                <w:tcPr>
                  <w:tcW w:w="784" w:type="dxa"/>
                  <w:tcBorders>
                    <w:tl2br w:val="nil"/>
                    <w:tr2bl w:val="nil"/>
                  </w:tcBorders>
                  <w:vAlign w:val="center"/>
                </w:tcPr>
                <w:p w14:paraId="287B357F">
                  <w:pPr>
                    <w:pStyle w:val="33"/>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w:t>
                  </w:r>
                </w:p>
              </w:tc>
              <w:tc>
                <w:tcPr>
                  <w:tcW w:w="708" w:type="dxa"/>
                  <w:tcBorders>
                    <w:tl2br w:val="nil"/>
                    <w:tr2bl w:val="nil"/>
                  </w:tcBorders>
                  <w:vAlign w:val="center"/>
                </w:tcPr>
                <w:p w14:paraId="0DC90084">
                  <w:pPr>
                    <w:pStyle w:val="33"/>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化粪池</w:t>
                  </w:r>
                  <w:r>
                    <w:rPr>
                      <w:rFonts w:hint="default" w:ascii="Times New Roman" w:hAnsi="Times New Roman" w:cs="Times New Roman"/>
                      <w:color w:val="auto"/>
                      <w:u w:val="none"/>
                      <w:lang w:val="en-US" w:eastAsia="zh-CN"/>
                    </w:rPr>
                    <w:t>原有</w:t>
                  </w:r>
                  <w:r>
                    <w:rPr>
                      <w:rFonts w:hint="eastAsia" w:cs="Times New Roman"/>
                      <w:color w:val="auto"/>
                      <w:u w:val="none"/>
                      <w:lang w:val="en-US" w:eastAsia="zh-CN"/>
                    </w:rPr>
                    <w:t>，污水处理设备新建</w:t>
                  </w:r>
                </w:p>
              </w:tc>
            </w:tr>
            <w:tr w14:paraId="7E83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dxa"/>
                  <w:vMerge w:val="continue"/>
                  <w:tcBorders>
                    <w:tl2br w:val="nil"/>
                    <w:tr2bl w:val="nil"/>
                  </w:tcBorders>
                  <w:vAlign w:val="center"/>
                </w:tcPr>
                <w:p w14:paraId="60E93116">
                  <w:pPr>
                    <w:pStyle w:val="33"/>
                    <w:rPr>
                      <w:rFonts w:hint="default" w:ascii="Times New Roman" w:hAnsi="Times New Roman" w:cs="Times New Roman"/>
                      <w:color w:val="auto"/>
                      <w:u w:val="none"/>
                    </w:rPr>
                  </w:pPr>
                </w:p>
              </w:tc>
              <w:tc>
                <w:tcPr>
                  <w:tcW w:w="2119" w:type="dxa"/>
                  <w:tcBorders>
                    <w:tl2br w:val="nil"/>
                    <w:tr2bl w:val="nil"/>
                  </w:tcBorders>
                  <w:vAlign w:val="center"/>
                </w:tcPr>
                <w:p w14:paraId="04014792">
                  <w:pPr>
                    <w:pStyle w:val="33"/>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车辆冲洗废水</w:t>
                  </w:r>
                </w:p>
              </w:tc>
              <w:tc>
                <w:tcPr>
                  <w:tcW w:w="3263" w:type="dxa"/>
                  <w:tcBorders>
                    <w:tl2br w:val="nil"/>
                    <w:tr2bl w:val="nil"/>
                  </w:tcBorders>
                  <w:vAlign w:val="center"/>
                </w:tcPr>
                <w:p w14:paraId="0D5FA14B">
                  <w:pPr>
                    <w:pStyle w:val="33"/>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5m</w:t>
                  </w:r>
                  <w:r>
                    <w:rPr>
                      <w:rFonts w:hint="eastAsia" w:cs="Times New Roman"/>
                      <w:color w:val="auto"/>
                      <w:highlight w:val="none"/>
                      <w:u w:val="none"/>
                      <w:vertAlign w:val="superscript"/>
                      <w:lang w:val="en-US" w:eastAsia="zh-CN"/>
                    </w:rPr>
                    <w:t>3</w:t>
                  </w:r>
                  <w:r>
                    <w:rPr>
                      <w:rFonts w:hint="eastAsia" w:cs="Times New Roman"/>
                      <w:color w:val="auto"/>
                      <w:highlight w:val="none"/>
                      <w:u w:val="none"/>
                      <w:lang w:val="en-US" w:eastAsia="zh-CN"/>
                    </w:rPr>
                    <w:t>过水</w:t>
                  </w:r>
                  <w:r>
                    <w:rPr>
                      <w:rFonts w:hint="default" w:ascii="Times New Roman" w:hAnsi="Times New Roman" w:cs="Times New Roman"/>
                      <w:color w:val="auto"/>
                      <w:highlight w:val="none"/>
                      <w:u w:val="none"/>
                      <w:lang w:val="en-US" w:eastAsia="zh-CN"/>
                    </w:rPr>
                    <w:t>池</w:t>
                  </w:r>
                  <w:r>
                    <w:rPr>
                      <w:rFonts w:hint="eastAsia" w:cs="Times New Roman"/>
                      <w:color w:val="auto"/>
                      <w:highlight w:val="none"/>
                      <w:u w:val="none"/>
                      <w:lang w:val="en-US" w:eastAsia="zh-CN"/>
                    </w:rPr>
                    <w:t>；5m</w:t>
                  </w:r>
                  <w:r>
                    <w:rPr>
                      <w:rFonts w:hint="eastAsia" w:cs="Times New Roman"/>
                      <w:color w:val="auto"/>
                      <w:highlight w:val="none"/>
                      <w:u w:val="none"/>
                      <w:vertAlign w:val="superscript"/>
                      <w:lang w:val="en-US" w:eastAsia="zh-CN"/>
                    </w:rPr>
                    <w:t>3</w:t>
                  </w:r>
                  <w:r>
                    <w:rPr>
                      <w:rFonts w:hint="eastAsia" w:cs="Times New Roman"/>
                      <w:color w:val="auto"/>
                      <w:highlight w:val="none"/>
                      <w:u w:val="none"/>
                      <w:lang w:val="en-US" w:eastAsia="zh-CN"/>
                    </w:rPr>
                    <w:t>沉淀</w:t>
                  </w:r>
                  <w:r>
                    <w:rPr>
                      <w:rFonts w:hint="default" w:ascii="Times New Roman" w:hAnsi="Times New Roman" w:cs="Times New Roman"/>
                      <w:color w:val="auto"/>
                      <w:highlight w:val="none"/>
                      <w:u w:val="none"/>
                      <w:lang w:val="en-US" w:eastAsia="zh-CN"/>
                    </w:rPr>
                    <w:t>池</w:t>
                  </w:r>
                </w:p>
              </w:tc>
              <w:tc>
                <w:tcPr>
                  <w:tcW w:w="784" w:type="dxa"/>
                  <w:tcBorders>
                    <w:tl2br w:val="nil"/>
                    <w:tr2bl w:val="nil"/>
                  </w:tcBorders>
                  <w:vAlign w:val="center"/>
                </w:tcPr>
                <w:p w14:paraId="730305B8">
                  <w:pPr>
                    <w:pStyle w:val="33"/>
                    <w:rPr>
                      <w:rFonts w:hint="default" w:ascii="Times New Roman" w:hAnsi="Times New Roman" w:cs="Times New Roman"/>
                      <w:color w:val="auto"/>
                      <w:u w:val="none"/>
                      <w:lang w:val="en-US" w:eastAsia="zh-CN"/>
                    </w:rPr>
                  </w:pPr>
                  <w:r>
                    <w:rPr>
                      <w:rFonts w:hint="eastAsia" w:cs="Times New Roman"/>
                      <w:color w:val="auto"/>
                      <w:u w:val="none"/>
                      <w:lang w:val="en-US" w:eastAsia="zh-CN"/>
                    </w:rPr>
                    <w:t>2</w:t>
                  </w:r>
                  <w:r>
                    <w:rPr>
                      <w:rFonts w:hint="default" w:ascii="Times New Roman" w:hAnsi="Times New Roman" w:cs="Times New Roman"/>
                      <w:color w:val="auto"/>
                      <w:u w:val="none"/>
                      <w:lang w:val="en-US" w:eastAsia="zh-CN"/>
                    </w:rPr>
                    <w:t>.0</w:t>
                  </w:r>
                </w:p>
              </w:tc>
              <w:tc>
                <w:tcPr>
                  <w:tcW w:w="708" w:type="dxa"/>
                  <w:tcBorders>
                    <w:tl2br w:val="nil"/>
                    <w:tr2bl w:val="nil"/>
                  </w:tcBorders>
                  <w:vAlign w:val="center"/>
                </w:tcPr>
                <w:p w14:paraId="2A5B3056">
                  <w:pPr>
                    <w:pStyle w:val="33"/>
                    <w:rPr>
                      <w:rFonts w:hint="default" w:ascii="Times New Roman" w:hAnsi="Times New Roman" w:eastAsia="宋体" w:cs="Times New Roman"/>
                      <w:color w:val="auto"/>
                      <w:u w:val="none"/>
                      <w:lang w:val="en-US" w:eastAsia="zh-CN"/>
                    </w:rPr>
                  </w:pPr>
                  <w:r>
                    <w:rPr>
                      <w:rFonts w:hint="default" w:ascii="Times New Roman" w:hAnsi="Times New Roman" w:cs="Times New Roman"/>
                      <w:lang w:val="en-US" w:eastAsia="zh-CN"/>
                    </w:rPr>
                    <w:t>新建</w:t>
                  </w:r>
                </w:p>
              </w:tc>
            </w:tr>
            <w:tr w14:paraId="01C84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dxa"/>
                  <w:vMerge w:val="continue"/>
                  <w:tcBorders>
                    <w:tl2br w:val="nil"/>
                    <w:tr2bl w:val="nil"/>
                  </w:tcBorders>
                  <w:vAlign w:val="center"/>
                </w:tcPr>
                <w:p w14:paraId="3CFD8749">
                  <w:pPr>
                    <w:pStyle w:val="33"/>
                    <w:rPr>
                      <w:rFonts w:hint="default" w:ascii="Times New Roman" w:hAnsi="Times New Roman" w:cs="Times New Roman"/>
                      <w:color w:val="auto"/>
                      <w:u w:val="none"/>
                    </w:rPr>
                  </w:pPr>
                </w:p>
              </w:tc>
              <w:tc>
                <w:tcPr>
                  <w:tcW w:w="2119" w:type="dxa"/>
                  <w:tcBorders>
                    <w:tl2br w:val="nil"/>
                    <w:tr2bl w:val="nil"/>
                  </w:tcBorders>
                  <w:vAlign w:val="center"/>
                </w:tcPr>
                <w:p w14:paraId="1C769C15">
                  <w:pPr>
                    <w:pStyle w:val="33"/>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初期雨水</w:t>
                  </w:r>
                </w:p>
              </w:tc>
              <w:tc>
                <w:tcPr>
                  <w:tcW w:w="3263" w:type="dxa"/>
                  <w:tcBorders>
                    <w:tl2br w:val="nil"/>
                    <w:tr2bl w:val="nil"/>
                  </w:tcBorders>
                  <w:vAlign w:val="center"/>
                </w:tcPr>
                <w:p w14:paraId="571C5DE1">
                  <w:pPr>
                    <w:pStyle w:val="33"/>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750m</w:t>
                  </w:r>
                  <w:r>
                    <w:rPr>
                      <w:rFonts w:hint="eastAsia" w:cs="Times New Roman"/>
                      <w:color w:val="auto"/>
                      <w:highlight w:val="none"/>
                      <w:u w:val="none"/>
                      <w:vertAlign w:val="superscript"/>
                      <w:lang w:val="en-US" w:eastAsia="zh-CN"/>
                    </w:rPr>
                    <w:t>3</w:t>
                  </w:r>
                  <w:r>
                    <w:rPr>
                      <w:rFonts w:hint="eastAsia" w:cs="Times New Roman"/>
                      <w:b w:val="0"/>
                      <w:bCs w:val="0"/>
                      <w:color w:val="auto"/>
                      <w:sz w:val="24"/>
                      <w:highlight w:val="none"/>
                      <w:u w:val="none"/>
                      <w:vertAlign w:val="baseline"/>
                      <w:lang w:val="en-US" w:eastAsia="zh-CN"/>
                    </w:rPr>
                    <w:t>雨水</w:t>
                  </w:r>
                  <w:r>
                    <w:rPr>
                      <w:rFonts w:hint="default" w:ascii="Times New Roman" w:hAnsi="Times New Roman" w:cs="Times New Roman"/>
                      <w:color w:val="auto"/>
                      <w:highlight w:val="none"/>
                      <w:u w:val="none"/>
                      <w:lang w:val="en-US" w:eastAsia="zh-CN"/>
                    </w:rPr>
                    <w:t>收集池</w:t>
                  </w:r>
                </w:p>
              </w:tc>
              <w:tc>
                <w:tcPr>
                  <w:tcW w:w="784" w:type="dxa"/>
                  <w:tcBorders>
                    <w:tl2br w:val="nil"/>
                    <w:tr2bl w:val="nil"/>
                  </w:tcBorders>
                  <w:vAlign w:val="center"/>
                </w:tcPr>
                <w:p w14:paraId="1928FBD5">
                  <w:pPr>
                    <w:pStyle w:val="33"/>
                    <w:rPr>
                      <w:rFonts w:hint="default" w:ascii="Times New Roman" w:hAnsi="Times New Roman" w:cs="Times New Roman"/>
                      <w:color w:val="auto"/>
                      <w:u w:val="none"/>
                      <w:lang w:val="en-US" w:eastAsia="zh-CN"/>
                    </w:rPr>
                  </w:pPr>
                  <w:r>
                    <w:rPr>
                      <w:rFonts w:hint="eastAsia" w:cs="Times New Roman"/>
                      <w:color w:val="auto"/>
                      <w:u w:val="none"/>
                      <w:lang w:val="en-US" w:eastAsia="zh-CN"/>
                    </w:rPr>
                    <w:t>10</w:t>
                  </w:r>
                  <w:r>
                    <w:rPr>
                      <w:rFonts w:hint="default" w:ascii="Times New Roman" w:hAnsi="Times New Roman" w:cs="Times New Roman"/>
                      <w:color w:val="auto"/>
                      <w:u w:val="none"/>
                      <w:lang w:val="en-US" w:eastAsia="zh-CN"/>
                    </w:rPr>
                    <w:t>.0</w:t>
                  </w:r>
                </w:p>
              </w:tc>
              <w:tc>
                <w:tcPr>
                  <w:tcW w:w="708" w:type="dxa"/>
                  <w:tcBorders>
                    <w:tl2br w:val="nil"/>
                    <w:tr2bl w:val="nil"/>
                  </w:tcBorders>
                  <w:vAlign w:val="center"/>
                </w:tcPr>
                <w:p w14:paraId="586F01C5">
                  <w:pPr>
                    <w:pStyle w:val="33"/>
                    <w:rPr>
                      <w:rFonts w:hint="default" w:ascii="Times New Roman" w:hAnsi="Times New Roman" w:cs="Times New Roman"/>
                      <w:lang w:val="en-US" w:eastAsia="zh-CN"/>
                    </w:rPr>
                  </w:pPr>
                  <w:r>
                    <w:rPr>
                      <w:rFonts w:hint="default" w:ascii="Times New Roman" w:hAnsi="Times New Roman" w:cs="Times New Roman"/>
                      <w:lang w:val="en-US" w:eastAsia="zh-CN"/>
                    </w:rPr>
                    <w:t>新建</w:t>
                  </w:r>
                </w:p>
              </w:tc>
            </w:tr>
            <w:tr w14:paraId="24ABB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dxa"/>
                  <w:vMerge w:val="restart"/>
                  <w:tcBorders>
                    <w:tl2br w:val="nil"/>
                    <w:tr2bl w:val="nil"/>
                  </w:tcBorders>
                  <w:vAlign w:val="center"/>
                </w:tcPr>
                <w:p w14:paraId="44B39E25">
                  <w:pPr>
                    <w:pStyle w:val="33"/>
                    <w:rPr>
                      <w:rFonts w:hint="default" w:ascii="Times New Roman" w:hAnsi="Times New Roman" w:cs="Times New Roman"/>
                      <w:color w:val="auto"/>
                      <w:u w:val="none"/>
                    </w:rPr>
                  </w:pPr>
                  <w:r>
                    <w:rPr>
                      <w:rFonts w:hint="default" w:ascii="Times New Roman" w:hAnsi="Times New Roman" w:cs="Times New Roman"/>
                      <w:color w:val="auto"/>
                      <w:u w:val="none"/>
                    </w:rPr>
                    <w:t>废气</w:t>
                  </w:r>
                </w:p>
              </w:tc>
              <w:tc>
                <w:tcPr>
                  <w:tcW w:w="2119" w:type="dxa"/>
                  <w:vMerge w:val="restart"/>
                  <w:tcBorders>
                    <w:tl2br w:val="nil"/>
                    <w:tr2bl w:val="nil"/>
                  </w:tcBorders>
                  <w:vAlign w:val="center"/>
                </w:tcPr>
                <w:p w14:paraId="2E5D6E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煤炭</w:t>
                  </w:r>
                  <w:r>
                    <w:rPr>
                      <w:rFonts w:hint="eastAsia" w:cs="Times New Roman"/>
                      <w:color w:val="auto"/>
                      <w:sz w:val="21"/>
                      <w:szCs w:val="21"/>
                      <w:highlight w:val="none"/>
                      <w:lang w:val="en-US" w:eastAsia="zh-CN"/>
                    </w:rPr>
                    <w:t>晾晒、</w:t>
                  </w:r>
                  <w:r>
                    <w:rPr>
                      <w:rFonts w:hint="default" w:ascii="Times New Roman" w:hAnsi="Times New Roman" w:eastAsia="宋体" w:cs="Times New Roman"/>
                      <w:color w:val="auto"/>
                      <w:sz w:val="21"/>
                      <w:szCs w:val="21"/>
                      <w:highlight w:val="none"/>
                      <w:lang w:val="en-US" w:eastAsia="zh-CN"/>
                    </w:rPr>
                    <w:t>堆放及装卸扬尘</w:t>
                  </w:r>
                </w:p>
              </w:tc>
              <w:tc>
                <w:tcPr>
                  <w:tcW w:w="3263" w:type="dxa"/>
                  <w:tcBorders>
                    <w:tl2br w:val="nil"/>
                    <w:tr2bl w:val="nil"/>
                  </w:tcBorders>
                  <w:vAlign w:val="center"/>
                </w:tcPr>
                <w:p w14:paraId="4BE33E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堆场地面</w:t>
                  </w:r>
                  <w:r>
                    <w:rPr>
                      <w:rFonts w:hint="eastAsia" w:cs="Times New Roman"/>
                      <w:color w:val="auto"/>
                      <w:sz w:val="21"/>
                      <w:szCs w:val="21"/>
                      <w:highlight w:val="none"/>
                      <w:lang w:val="en-US" w:eastAsia="zh-CN"/>
                    </w:rPr>
                    <w:t>压实</w:t>
                  </w:r>
                  <w:r>
                    <w:rPr>
                      <w:rFonts w:hint="default" w:ascii="Times New Roman" w:hAnsi="Times New Roman" w:eastAsia="宋体" w:cs="Times New Roman"/>
                      <w:color w:val="auto"/>
                      <w:sz w:val="21"/>
                      <w:szCs w:val="21"/>
                      <w:highlight w:val="none"/>
                      <w:lang w:val="en-US" w:eastAsia="zh-CN"/>
                    </w:rPr>
                    <w:t>，仓库密闭。</w:t>
                  </w:r>
                </w:p>
              </w:tc>
              <w:tc>
                <w:tcPr>
                  <w:tcW w:w="784" w:type="dxa"/>
                  <w:tcBorders>
                    <w:tl2br w:val="nil"/>
                    <w:tr2bl w:val="nil"/>
                  </w:tcBorders>
                  <w:vAlign w:val="center"/>
                </w:tcPr>
                <w:p w14:paraId="2C8382D6">
                  <w:pPr>
                    <w:pStyle w:val="33"/>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40</w:t>
                  </w:r>
                </w:p>
              </w:tc>
              <w:tc>
                <w:tcPr>
                  <w:tcW w:w="708" w:type="dxa"/>
                  <w:vMerge w:val="restart"/>
                  <w:tcBorders>
                    <w:tl2br w:val="nil"/>
                    <w:tr2bl w:val="nil"/>
                  </w:tcBorders>
                  <w:vAlign w:val="center"/>
                </w:tcPr>
                <w:p w14:paraId="5A9CAE5B">
                  <w:pPr>
                    <w:pStyle w:val="33"/>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新建</w:t>
                  </w:r>
                </w:p>
              </w:tc>
            </w:tr>
            <w:tr w14:paraId="4CEBF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dxa"/>
                  <w:vMerge w:val="continue"/>
                  <w:tcBorders>
                    <w:tl2br w:val="nil"/>
                    <w:tr2bl w:val="nil"/>
                  </w:tcBorders>
                  <w:vAlign w:val="center"/>
                </w:tcPr>
                <w:p w14:paraId="7890EA1E">
                  <w:pPr>
                    <w:pStyle w:val="33"/>
                    <w:rPr>
                      <w:rFonts w:hint="default" w:ascii="Times New Roman" w:hAnsi="Times New Roman" w:cs="Times New Roman"/>
                      <w:color w:val="auto"/>
                      <w:u w:val="none"/>
                    </w:rPr>
                  </w:pPr>
                </w:p>
              </w:tc>
              <w:tc>
                <w:tcPr>
                  <w:tcW w:w="2119" w:type="dxa"/>
                  <w:vMerge w:val="continue"/>
                  <w:tcBorders>
                    <w:tl2br w:val="nil"/>
                    <w:tr2bl w:val="nil"/>
                  </w:tcBorders>
                  <w:vAlign w:val="center"/>
                </w:tcPr>
                <w:p w14:paraId="2D15C0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63" w:type="dxa"/>
                  <w:tcBorders>
                    <w:tl2br w:val="nil"/>
                    <w:tr2bl w:val="nil"/>
                  </w:tcBorders>
                  <w:vAlign w:val="center"/>
                </w:tcPr>
                <w:p w14:paraId="22282B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项目四周各设置1台雾炮机，共4台</w:t>
                  </w:r>
                </w:p>
              </w:tc>
              <w:tc>
                <w:tcPr>
                  <w:tcW w:w="784" w:type="dxa"/>
                  <w:tcBorders>
                    <w:tl2br w:val="nil"/>
                    <w:tr2bl w:val="nil"/>
                  </w:tcBorders>
                  <w:vAlign w:val="center"/>
                </w:tcPr>
                <w:p w14:paraId="2EEABC08">
                  <w:pPr>
                    <w:pStyle w:val="33"/>
                    <w:rPr>
                      <w:rFonts w:hint="default" w:cs="Times New Roman"/>
                      <w:color w:val="auto"/>
                      <w:u w:val="none"/>
                      <w:lang w:val="en-US" w:eastAsia="zh-CN"/>
                    </w:rPr>
                  </w:pPr>
                  <w:r>
                    <w:rPr>
                      <w:rFonts w:hint="eastAsia" w:cs="Times New Roman"/>
                      <w:color w:val="auto"/>
                      <w:u w:val="none"/>
                      <w:lang w:val="en-US" w:eastAsia="zh-CN"/>
                    </w:rPr>
                    <w:t>8</w:t>
                  </w:r>
                </w:p>
              </w:tc>
              <w:tc>
                <w:tcPr>
                  <w:tcW w:w="708" w:type="dxa"/>
                  <w:vMerge w:val="continue"/>
                  <w:tcBorders>
                    <w:tl2br w:val="nil"/>
                    <w:tr2bl w:val="nil"/>
                  </w:tcBorders>
                  <w:vAlign w:val="center"/>
                </w:tcPr>
                <w:p w14:paraId="011358C9">
                  <w:pPr>
                    <w:pStyle w:val="33"/>
                    <w:rPr>
                      <w:rFonts w:hint="default" w:ascii="Times New Roman" w:hAnsi="Times New Roman" w:cs="Times New Roman"/>
                      <w:color w:val="auto"/>
                      <w:u w:val="none"/>
                    </w:rPr>
                  </w:pPr>
                </w:p>
              </w:tc>
            </w:tr>
            <w:tr w14:paraId="7E988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dxa"/>
                  <w:vMerge w:val="continue"/>
                  <w:tcBorders>
                    <w:tl2br w:val="nil"/>
                    <w:tr2bl w:val="nil"/>
                  </w:tcBorders>
                  <w:vAlign w:val="center"/>
                </w:tcPr>
                <w:p w14:paraId="3387E77C">
                  <w:pPr>
                    <w:pStyle w:val="33"/>
                    <w:rPr>
                      <w:rFonts w:hint="default" w:ascii="Times New Roman" w:hAnsi="Times New Roman" w:cs="Times New Roman"/>
                      <w:color w:val="auto"/>
                      <w:u w:val="none"/>
                    </w:rPr>
                  </w:pPr>
                </w:p>
              </w:tc>
              <w:tc>
                <w:tcPr>
                  <w:tcW w:w="2119" w:type="dxa"/>
                  <w:tcBorders>
                    <w:tl2br w:val="nil"/>
                    <w:tr2bl w:val="nil"/>
                  </w:tcBorders>
                  <w:vAlign w:val="center"/>
                </w:tcPr>
                <w:p w14:paraId="19957E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车辆行驶动力扬尘</w:t>
                  </w:r>
                </w:p>
              </w:tc>
              <w:tc>
                <w:tcPr>
                  <w:tcW w:w="3263" w:type="dxa"/>
                  <w:tcBorders>
                    <w:tl2br w:val="nil"/>
                    <w:tr2bl w:val="nil"/>
                  </w:tcBorders>
                  <w:vAlign w:val="center"/>
                </w:tcPr>
                <w:p w14:paraId="1D99A8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篷布遮盖密闭运输、</w:t>
                  </w:r>
                  <w:r>
                    <w:rPr>
                      <w:rFonts w:hint="eastAsia" w:cs="Times New Roman"/>
                      <w:color w:val="auto"/>
                      <w:sz w:val="21"/>
                      <w:szCs w:val="21"/>
                      <w:highlight w:val="none"/>
                      <w:lang w:val="en-US" w:eastAsia="zh-CN"/>
                    </w:rPr>
                    <w:t>洒水车按时</w:t>
                  </w:r>
                  <w:r>
                    <w:rPr>
                      <w:rFonts w:hint="default" w:ascii="Times New Roman" w:hAnsi="Times New Roman" w:eastAsia="宋体" w:cs="Times New Roman"/>
                      <w:color w:val="auto"/>
                      <w:sz w:val="21"/>
                      <w:szCs w:val="21"/>
                      <w:highlight w:val="none"/>
                      <w:lang w:val="en-US" w:eastAsia="zh-CN"/>
                    </w:rPr>
                    <w:t>洒水降尘</w:t>
                  </w:r>
                  <w:r>
                    <w:rPr>
                      <w:rFonts w:hint="default" w:ascii="Times New Roman" w:hAnsi="Times New Roman" w:cs="Times New Roman"/>
                      <w:color w:val="auto"/>
                      <w:sz w:val="21"/>
                      <w:szCs w:val="21"/>
                      <w:highlight w:val="none"/>
                      <w:lang w:val="en-US" w:eastAsia="zh-CN"/>
                    </w:rPr>
                    <w:t>。</w:t>
                  </w:r>
                </w:p>
              </w:tc>
              <w:tc>
                <w:tcPr>
                  <w:tcW w:w="784" w:type="dxa"/>
                  <w:tcBorders>
                    <w:tl2br w:val="nil"/>
                    <w:tr2bl w:val="nil"/>
                  </w:tcBorders>
                  <w:vAlign w:val="center"/>
                </w:tcPr>
                <w:p w14:paraId="0A5049F2">
                  <w:pPr>
                    <w:pStyle w:val="33"/>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w:t>
                  </w:r>
                </w:p>
              </w:tc>
              <w:tc>
                <w:tcPr>
                  <w:tcW w:w="708" w:type="dxa"/>
                  <w:vMerge w:val="continue"/>
                  <w:tcBorders>
                    <w:tl2br w:val="nil"/>
                    <w:tr2bl w:val="nil"/>
                  </w:tcBorders>
                  <w:vAlign w:val="center"/>
                </w:tcPr>
                <w:p w14:paraId="49EB782B">
                  <w:pPr>
                    <w:pStyle w:val="33"/>
                    <w:rPr>
                      <w:rFonts w:hint="default" w:ascii="Times New Roman" w:hAnsi="Times New Roman" w:eastAsia="宋体" w:cs="Times New Roman"/>
                      <w:color w:val="auto"/>
                      <w:u w:val="none"/>
                      <w:lang w:val="en-US" w:eastAsia="zh-CN"/>
                    </w:rPr>
                  </w:pPr>
                </w:p>
              </w:tc>
            </w:tr>
            <w:tr w14:paraId="21F46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dxa"/>
                  <w:vMerge w:val="restart"/>
                  <w:tcBorders>
                    <w:tl2br w:val="nil"/>
                    <w:tr2bl w:val="nil"/>
                  </w:tcBorders>
                  <w:vAlign w:val="center"/>
                </w:tcPr>
                <w:p w14:paraId="063AF99F">
                  <w:pPr>
                    <w:pStyle w:val="33"/>
                    <w:rPr>
                      <w:rFonts w:hint="default" w:ascii="Times New Roman" w:hAnsi="Times New Roman" w:cs="Times New Roman"/>
                      <w:color w:val="auto"/>
                      <w:u w:val="none"/>
                    </w:rPr>
                  </w:pPr>
                  <w:r>
                    <w:rPr>
                      <w:rFonts w:hint="default" w:ascii="Times New Roman" w:hAnsi="Times New Roman" w:cs="Times New Roman"/>
                      <w:color w:val="auto"/>
                      <w:u w:val="none"/>
                    </w:rPr>
                    <w:t>固废</w:t>
                  </w:r>
                </w:p>
              </w:tc>
              <w:tc>
                <w:tcPr>
                  <w:tcW w:w="2119" w:type="dxa"/>
                  <w:tcBorders>
                    <w:tl2br w:val="nil"/>
                    <w:tr2bl w:val="nil"/>
                  </w:tcBorders>
                  <w:vAlign w:val="center"/>
                </w:tcPr>
                <w:p w14:paraId="43AFA886">
                  <w:pPr>
                    <w:pStyle w:val="33"/>
                    <w:ind w:firstLine="0" w:firstLineChars="0"/>
                    <w:rPr>
                      <w:rFonts w:hint="default" w:ascii="Times New Roman" w:hAnsi="Times New Roman" w:cs="Times New Roman"/>
                      <w:color w:val="auto"/>
                      <w:kern w:val="0"/>
                      <w:sz w:val="21"/>
                      <w:szCs w:val="21"/>
                      <w:u w:val="none"/>
                      <w:lang w:val="en-US" w:eastAsia="zh-CN" w:bidi="ar-SA"/>
                    </w:rPr>
                  </w:pPr>
                  <w:r>
                    <w:rPr>
                      <w:rFonts w:hint="default" w:ascii="Times New Roman" w:hAnsi="Times New Roman" w:cs="Times New Roman"/>
                      <w:color w:val="auto"/>
                      <w:u w:val="none"/>
                    </w:rPr>
                    <w:t>一般固废</w:t>
                  </w:r>
                </w:p>
              </w:tc>
              <w:tc>
                <w:tcPr>
                  <w:tcW w:w="3263" w:type="dxa"/>
                  <w:tcBorders>
                    <w:tl2br w:val="nil"/>
                    <w:tr2bl w:val="nil"/>
                  </w:tcBorders>
                  <w:vAlign w:val="center"/>
                </w:tcPr>
                <w:p w14:paraId="4D62E607">
                  <w:pPr>
                    <w:pStyle w:val="33"/>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2个带盖生活垃圾桶；生活垃圾、化粪池污泥、沉淀池雨水收集池泥沙委托清掏。</w:t>
                  </w:r>
                </w:p>
              </w:tc>
              <w:tc>
                <w:tcPr>
                  <w:tcW w:w="784" w:type="dxa"/>
                  <w:tcBorders>
                    <w:tl2br w:val="nil"/>
                    <w:tr2bl w:val="nil"/>
                  </w:tcBorders>
                  <w:vAlign w:val="center"/>
                </w:tcPr>
                <w:p w14:paraId="67B6A34F">
                  <w:pPr>
                    <w:pStyle w:val="33"/>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w:t>
                  </w:r>
                  <w:r>
                    <w:rPr>
                      <w:rFonts w:hint="default" w:ascii="Times New Roman" w:hAnsi="Times New Roman" w:cs="Times New Roman"/>
                      <w:color w:val="auto"/>
                      <w:u w:val="none"/>
                      <w:lang w:val="en-US" w:eastAsia="zh-CN"/>
                    </w:rPr>
                    <w:t>.0</w:t>
                  </w:r>
                </w:p>
              </w:tc>
              <w:tc>
                <w:tcPr>
                  <w:tcW w:w="708" w:type="dxa"/>
                  <w:tcBorders>
                    <w:tl2br w:val="nil"/>
                    <w:tr2bl w:val="nil"/>
                  </w:tcBorders>
                  <w:vAlign w:val="center"/>
                </w:tcPr>
                <w:p w14:paraId="0C0F7D24">
                  <w:pPr>
                    <w:pStyle w:val="33"/>
                    <w:rPr>
                      <w:rFonts w:hint="default" w:ascii="Times New Roman" w:hAnsi="Times New Roman" w:cs="Times New Roman"/>
                      <w:color w:val="auto"/>
                      <w:u w:val="none"/>
                    </w:rPr>
                  </w:pPr>
                  <w:r>
                    <w:rPr>
                      <w:rFonts w:hint="default" w:ascii="Times New Roman" w:hAnsi="Times New Roman" w:cs="Times New Roman"/>
                      <w:color w:val="auto"/>
                      <w:u w:val="none"/>
                    </w:rPr>
                    <w:t>新建</w:t>
                  </w:r>
                </w:p>
              </w:tc>
            </w:tr>
            <w:tr w14:paraId="52C67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dxa"/>
                  <w:vMerge w:val="continue"/>
                  <w:tcBorders>
                    <w:tl2br w:val="nil"/>
                    <w:tr2bl w:val="nil"/>
                  </w:tcBorders>
                  <w:vAlign w:val="center"/>
                </w:tcPr>
                <w:p w14:paraId="49DE8D73">
                  <w:pPr>
                    <w:pStyle w:val="33"/>
                    <w:rPr>
                      <w:rFonts w:hint="default" w:ascii="Times New Roman" w:hAnsi="Times New Roman" w:cs="Times New Roman"/>
                      <w:color w:val="auto"/>
                      <w:u w:val="none"/>
                    </w:rPr>
                  </w:pPr>
                </w:p>
              </w:tc>
              <w:tc>
                <w:tcPr>
                  <w:tcW w:w="2119" w:type="dxa"/>
                  <w:tcBorders>
                    <w:tl2br w:val="nil"/>
                    <w:tr2bl w:val="nil"/>
                  </w:tcBorders>
                  <w:vAlign w:val="center"/>
                </w:tcPr>
                <w:p w14:paraId="3A112F99">
                  <w:pPr>
                    <w:pStyle w:val="33"/>
                    <w:ind w:firstLine="0" w:firstLineChars="0"/>
                    <w:rPr>
                      <w:rFonts w:hint="default" w:ascii="Times New Roman" w:hAnsi="Times New Roman" w:cs="Times New Roman"/>
                      <w:color w:val="auto"/>
                      <w:kern w:val="0"/>
                      <w:sz w:val="21"/>
                      <w:szCs w:val="21"/>
                      <w:u w:val="none"/>
                      <w:lang w:val="en-US" w:eastAsia="zh-CN" w:bidi="ar-SA"/>
                    </w:rPr>
                  </w:pPr>
                  <w:r>
                    <w:rPr>
                      <w:rFonts w:hint="default" w:ascii="Times New Roman" w:hAnsi="Times New Roman" w:cs="Times New Roman"/>
                      <w:color w:val="auto"/>
                      <w:u w:val="none"/>
                    </w:rPr>
                    <w:t>危险废物</w:t>
                  </w:r>
                </w:p>
              </w:tc>
              <w:tc>
                <w:tcPr>
                  <w:tcW w:w="3263" w:type="dxa"/>
                  <w:tcBorders>
                    <w:tl2br w:val="nil"/>
                    <w:tr2bl w:val="nil"/>
                  </w:tcBorders>
                  <w:vAlign w:val="center"/>
                </w:tcPr>
                <w:p w14:paraId="21394CDF">
                  <w:pPr>
                    <w:pStyle w:val="33"/>
                    <w:rPr>
                      <w:rFonts w:hint="default" w:ascii="Times New Roman" w:hAnsi="Times New Roman" w:cs="Times New Roman"/>
                      <w:color w:val="auto"/>
                      <w:u w:val="none"/>
                      <w:lang w:val="en-US"/>
                    </w:rPr>
                  </w:pPr>
                  <w:r>
                    <w:rPr>
                      <w:rFonts w:hint="default" w:ascii="Times New Roman" w:hAnsi="Times New Roman" w:cs="Times New Roman"/>
                      <w:color w:val="auto"/>
                      <w:highlight w:val="none"/>
                      <w:u w:val="none"/>
                      <w:lang w:val="en-US" w:eastAsia="zh-CN"/>
                    </w:rPr>
                    <w:t>设置5</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u w:val="none"/>
                      <w:lang w:val="en-US" w:eastAsia="zh-CN"/>
                    </w:rPr>
                    <w:t>危废暂存间，定期委托有资质单位处理。</w:t>
                  </w:r>
                </w:p>
              </w:tc>
              <w:tc>
                <w:tcPr>
                  <w:tcW w:w="784" w:type="dxa"/>
                  <w:tcBorders>
                    <w:tl2br w:val="nil"/>
                    <w:tr2bl w:val="nil"/>
                  </w:tcBorders>
                  <w:vAlign w:val="center"/>
                </w:tcPr>
                <w:p w14:paraId="3E24F7D3">
                  <w:pPr>
                    <w:pStyle w:val="33"/>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w:t>
                  </w:r>
                  <w:r>
                    <w:rPr>
                      <w:rFonts w:hint="default" w:ascii="Times New Roman" w:hAnsi="Times New Roman" w:cs="Times New Roman"/>
                      <w:color w:val="auto"/>
                      <w:u w:val="none"/>
                      <w:lang w:val="en-US" w:eastAsia="zh-CN"/>
                    </w:rPr>
                    <w:t>.0</w:t>
                  </w:r>
                </w:p>
              </w:tc>
              <w:tc>
                <w:tcPr>
                  <w:tcW w:w="708" w:type="dxa"/>
                  <w:tcBorders>
                    <w:tl2br w:val="nil"/>
                    <w:tr2bl w:val="nil"/>
                  </w:tcBorders>
                  <w:vAlign w:val="center"/>
                </w:tcPr>
                <w:p w14:paraId="7E99D3BB">
                  <w:pPr>
                    <w:pStyle w:val="33"/>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lang w:val="en-US" w:eastAsia="zh-CN"/>
                    </w:rPr>
                    <w:t>新建</w:t>
                  </w:r>
                </w:p>
              </w:tc>
            </w:tr>
            <w:tr w14:paraId="655AA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dxa"/>
                  <w:tcBorders>
                    <w:tl2br w:val="nil"/>
                    <w:tr2bl w:val="nil"/>
                  </w:tcBorders>
                  <w:vAlign w:val="center"/>
                </w:tcPr>
                <w:p w14:paraId="70C76D32">
                  <w:pPr>
                    <w:pStyle w:val="33"/>
                    <w:rPr>
                      <w:rFonts w:hint="default" w:ascii="Times New Roman" w:hAnsi="Times New Roman" w:cs="Times New Roman"/>
                      <w:color w:val="auto"/>
                      <w:u w:val="none"/>
                    </w:rPr>
                  </w:pPr>
                  <w:r>
                    <w:rPr>
                      <w:rFonts w:hint="default" w:ascii="Times New Roman" w:hAnsi="Times New Roman" w:cs="Times New Roman"/>
                      <w:color w:val="auto"/>
                      <w:u w:val="none"/>
                    </w:rPr>
                    <w:t>噪声</w:t>
                  </w:r>
                </w:p>
              </w:tc>
              <w:tc>
                <w:tcPr>
                  <w:tcW w:w="2119" w:type="dxa"/>
                  <w:tcBorders>
                    <w:tl2br w:val="nil"/>
                    <w:tr2bl w:val="nil"/>
                  </w:tcBorders>
                  <w:vAlign w:val="center"/>
                </w:tcPr>
                <w:p w14:paraId="00AB1195">
                  <w:pPr>
                    <w:pStyle w:val="33"/>
                    <w:rPr>
                      <w:rFonts w:hint="default" w:ascii="Times New Roman" w:hAnsi="Times New Roman" w:cs="Times New Roman"/>
                      <w:color w:val="auto"/>
                      <w:u w:val="none"/>
                    </w:rPr>
                  </w:pPr>
                  <w:r>
                    <w:rPr>
                      <w:rFonts w:hint="default" w:ascii="Times New Roman" w:hAnsi="Times New Roman" w:cs="Times New Roman"/>
                      <w:color w:val="auto"/>
                      <w:u w:val="none"/>
                    </w:rPr>
                    <w:t>噪声控制</w:t>
                  </w:r>
                </w:p>
              </w:tc>
              <w:tc>
                <w:tcPr>
                  <w:tcW w:w="3263" w:type="dxa"/>
                  <w:tcBorders>
                    <w:tl2br w:val="nil"/>
                    <w:tr2bl w:val="nil"/>
                  </w:tcBorders>
                  <w:vAlign w:val="center"/>
                </w:tcPr>
                <w:p w14:paraId="301C8292">
                  <w:pPr>
                    <w:pStyle w:val="33"/>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隔声、减振降噪处理。</w:t>
                  </w:r>
                </w:p>
              </w:tc>
              <w:tc>
                <w:tcPr>
                  <w:tcW w:w="784" w:type="dxa"/>
                  <w:tcBorders>
                    <w:tl2br w:val="nil"/>
                    <w:tr2bl w:val="nil"/>
                  </w:tcBorders>
                  <w:vAlign w:val="center"/>
                </w:tcPr>
                <w:p w14:paraId="4A80317E">
                  <w:pPr>
                    <w:pStyle w:val="33"/>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lang w:val="en-US" w:eastAsia="zh-CN"/>
                    </w:rPr>
                    <w:t>1.0</w:t>
                  </w:r>
                </w:p>
              </w:tc>
              <w:tc>
                <w:tcPr>
                  <w:tcW w:w="708" w:type="dxa"/>
                  <w:tcBorders>
                    <w:tl2br w:val="nil"/>
                    <w:tr2bl w:val="nil"/>
                  </w:tcBorders>
                  <w:vAlign w:val="center"/>
                </w:tcPr>
                <w:p w14:paraId="37198FA3">
                  <w:pPr>
                    <w:pStyle w:val="33"/>
                    <w:rPr>
                      <w:rFonts w:hint="default" w:ascii="Times New Roman" w:hAnsi="Times New Roman" w:cs="Times New Roman"/>
                      <w:color w:val="auto"/>
                      <w:u w:val="none"/>
                    </w:rPr>
                  </w:pPr>
                  <w:r>
                    <w:rPr>
                      <w:rFonts w:hint="default" w:ascii="Times New Roman" w:hAnsi="Times New Roman" w:cs="Times New Roman"/>
                      <w:color w:val="auto"/>
                      <w:u w:val="none"/>
                    </w:rPr>
                    <w:t>新建</w:t>
                  </w:r>
                </w:p>
              </w:tc>
            </w:tr>
            <w:tr w14:paraId="3C605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2" w:type="dxa"/>
                  <w:gridSpan w:val="2"/>
                  <w:tcBorders>
                    <w:tl2br w:val="nil"/>
                    <w:tr2bl w:val="nil"/>
                  </w:tcBorders>
                  <w:vAlign w:val="center"/>
                </w:tcPr>
                <w:p w14:paraId="0729E555">
                  <w:pPr>
                    <w:pStyle w:val="33"/>
                    <w:rPr>
                      <w:rFonts w:hint="default" w:ascii="Times New Roman" w:hAnsi="Times New Roman" w:cs="Times New Roman"/>
                      <w:color w:val="auto"/>
                      <w:u w:val="none"/>
                    </w:rPr>
                  </w:pPr>
                  <w:r>
                    <w:rPr>
                      <w:rFonts w:hint="default" w:ascii="Times New Roman" w:hAnsi="Times New Roman" w:cs="Times New Roman"/>
                      <w:color w:val="auto"/>
                      <w:u w:val="none"/>
                    </w:rPr>
                    <w:t>合计</w:t>
                  </w:r>
                </w:p>
              </w:tc>
              <w:tc>
                <w:tcPr>
                  <w:tcW w:w="3263" w:type="dxa"/>
                  <w:tcBorders>
                    <w:tl2br w:val="nil"/>
                    <w:tr2bl w:val="nil"/>
                  </w:tcBorders>
                  <w:vAlign w:val="center"/>
                </w:tcPr>
                <w:p w14:paraId="22C158C2">
                  <w:pPr>
                    <w:pStyle w:val="3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784" w:type="dxa"/>
                  <w:tcBorders>
                    <w:tl2br w:val="nil"/>
                    <w:tr2bl w:val="nil"/>
                  </w:tcBorders>
                  <w:vAlign w:val="center"/>
                </w:tcPr>
                <w:p w14:paraId="2971824F">
                  <w:pPr>
                    <w:pStyle w:val="33"/>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69</w:t>
                  </w:r>
                  <w:r>
                    <w:rPr>
                      <w:rFonts w:hint="default" w:ascii="Times New Roman" w:hAnsi="Times New Roman" w:cs="Times New Roman"/>
                      <w:color w:val="auto"/>
                      <w:u w:val="none"/>
                      <w:lang w:val="en-US" w:eastAsia="zh-CN"/>
                    </w:rPr>
                    <w:t>.0</w:t>
                  </w:r>
                </w:p>
              </w:tc>
              <w:tc>
                <w:tcPr>
                  <w:tcW w:w="708" w:type="dxa"/>
                  <w:tcBorders>
                    <w:tl2br w:val="nil"/>
                    <w:tr2bl w:val="nil"/>
                  </w:tcBorders>
                  <w:vAlign w:val="center"/>
                </w:tcPr>
                <w:p w14:paraId="79402297">
                  <w:pPr>
                    <w:pStyle w:val="33"/>
                    <w:rPr>
                      <w:rFonts w:hint="default" w:ascii="Times New Roman" w:hAnsi="Times New Roman" w:cs="Times New Roman"/>
                      <w:color w:val="auto"/>
                      <w:u w:val="none"/>
                    </w:rPr>
                  </w:pPr>
                  <w:r>
                    <w:rPr>
                      <w:rFonts w:hint="default" w:ascii="Times New Roman" w:hAnsi="Times New Roman" w:cs="Times New Roman"/>
                      <w:color w:val="auto"/>
                      <w:u w:val="none"/>
                    </w:rPr>
                    <w:t>/</w:t>
                  </w:r>
                </w:p>
              </w:tc>
            </w:tr>
          </w:tbl>
          <w:p w14:paraId="7181D78D">
            <w:pPr>
              <w:pStyle w:val="3"/>
              <w:ind w:left="0" w:leftChars="0" w:firstLine="0" w:firstLineChars="0"/>
              <w:outlineLvl w:val="9"/>
              <w:rPr>
                <w:rFonts w:hint="default" w:ascii="Times New Roman" w:hAnsi="Times New Roman" w:cs="Times New Roman"/>
                <w:lang w:val="en-US" w:eastAsia="zh-CN"/>
              </w:rPr>
            </w:pPr>
          </w:p>
        </w:tc>
      </w:tr>
      <w:tr w14:paraId="3BFAC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14:paraId="2BCABAE4">
            <w:pPr>
              <w:pStyle w:val="33"/>
              <w:bidi w:val="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工艺流程和产排污环节</w:t>
            </w:r>
          </w:p>
        </w:tc>
        <w:tc>
          <w:tcPr>
            <w:tcW w:w="7687" w:type="dxa"/>
          </w:tcPr>
          <w:p w14:paraId="5FD0BFD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u w:val="none"/>
                <w:lang w:val="en-US" w:eastAsia="zh-CN"/>
              </w:rPr>
            </w:pPr>
            <w:r>
              <w:rPr>
                <w:rFonts w:hint="default" w:ascii="Times New Roman" w:hAnsi="Times New Roman" w:cs="Times New Roman"/>
                <w:b/>
                <w:bCs/>
                <w:color w:val="auto"/>
                <w:u w:val="none"/>
                <w:lang w:val="en-US" w:eastAsia="zh-CN"/>
              </w:rPr>
              <w:t>一、施工期</w:t>
            </w:r>
          </w:p>
          <w:p w14:paraId="0052C0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u w:val="none"/>
                <w:lang w:val="en-US" w:eastAsia="zh-CN"/>
              </w:rPr>
            </w:pPr>
            <w:r>
              <w:rPr>
                <w:rFonts w:hint="default" w:ascii="Times New Roman" w:hAnsi="Times New Roman" w:cs="Times New Roman"/>
                <w:color w:val="auto"/>
                <w:sz w:val="24"/>
                <w:u w:val="none"/>
                <w:lang w:val="en-US" w:eastAsia="zh-CN"/>
              </w:rPr>
              <w:t>本项目现有厂区已基本建成，但为露天场地，本次评价</w:t>
            </w:r>
            <w:r>
              <w:rPr>
                <w:rFonts w:hint="eastAsia" w:cs="Times New Roman"/>
                <w:color w:val="auto"/>
                <w:sz w:val="24"/>
                <w:u w:val="none"/>
                <w:lang w:val="en-US" w:eastAsia="zh-CN"/>
              </w:rPr>
              <w:t>施工期</w:t>
            </w:r>
            <w:r>
              <w:rPr>
                <w:rFonts w:hint="default" w:ascii="Times New Roman" w:hAnsi="Times New Roman" w:cs="Times New Roman"/>
                <w:color w:val="auto"/>
                <w:sz w:val="24"/>
                <w:u w:val="none"/>
                <w:lang w:val="en-US" w:eastAsia="zh-CN"/>
              </w:rPr>
              <w:t>需进行地面平整、</w:t>
            </w:r>
            <w:r>
              <w:rPr>
                <w:rFonts w:hint="eastAsia" w:cs="Times New Roman"/>
                <w:color w:val="auto"/>
                <w:sz w:val="24"/>
                <w:u w:val="none"/>
                <w:lang w:val="en-US" w:eastAsia="zh-CN"/>
              </w:rPr>
              <w:t>沟槽开挖、</w:t>
            </w:r>
            <w:r>
              <w:rPr>
                <w:rFonts w:hint="default" w:ascii="Times New Roman" w:hAnsi="Times New Roman" w:cs="Times New Roman"/>
                <w:color w:val="auto"/>
                <w:sz w:val="24"/>
                <w:u w:val="none"/>
                <w:lang w:val="en-US" w:eastAsia="zh-CN"/>
              </w:rPr>
              <w:t>厂房建设等。</w:t>
            </w:r>
          </w:p>
          <w:p w14:paraId="40D6DB7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施工期工艺流程及产污节点详见图2-3。</w:t>
            </w:r>
          </w:p>
          <w:p w14:paraId="555F230F">
            <w:pPr>
              <w:keepNext w:val="0"/>
              <w:keepLines w:val="0"/>
              <w:pageBreakBefore w:val="0"/>
              <w:widowControl w:val="0"/>
              <w:kinsoku/>
              <w:wordWrap/>
              <w:overflowPunct/>
              <w:topLinePunct w:val="0"/>
              <w:autoSpaceDE/>
              <w:autoSpaceDN/>
              <w:bidi w:val="0"/>
              <w:spacing w:line="360" w:lineRule="auto"/>
              <w:ind w:left="0" w:leftChars="0" w:firstLine="0" w:firstLineChars="0"/>
              <w:jc w:val="both"/>
              <w:textAlignment w:val="auto"/>
              <w:rPr>
                <w:rFonts w:hint="default" w:ascii="Times New Roman" w:hAnsi="Times New Roman" w:cs="Times New Roman"/>
                <w:color w:val="auto"/>
                <w:highlight w:val="none"/>
                <w:u w:val="none"/>
                <w:lang w:val="en-US" w:eastAsia="zh-CN"/>
              </w:rPr>
            </w:pPr>
            <w:r>
              <w:rPr>
                <w:color w:val="auto"/>
                <w:kern w:val="2"/>
                <w:sz w:val="24"/>
                <w:szCs w:val="24"/>
              </w:rPr>
              <w:object>
                <v:shape id="_x0000_i1027" o:spt="75" type="#_x0000_t75" style="height:186.5pt;width:358.65pt;" o:ole="t" filled="f" o:preferrelative="t" stroked="f" coordsize="21600,21600">
                  <v:path/>
                  <v:fill on="f" focussize="0,0"/>
                  <v:stroke on="f"/>
                  <v:imagedata r:id="rId15" o:title=""/>
                  <o:lock v:ext="edit" aspectratio="t"/>
                  <w10:wrap type="none"/>
                  <w10:anchorlock/>
                </v:shape>
                <o:OLEObject Type="Embed" ProgID="Visio.Drawing.15" ShapeID="_x0000_i1027" DrawAspect="Content" ObjectID="_1468075727" r:id="rId14">
                  <o:LockedField>false</o:LockedField>
                </o:OLEObject>
              </w:object>
            </w:r>
          </w:p>
          <w:p w14:paraId="725F2A81">
            <w:pPr>
              <w:pStyle w:val="35"/>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图2-3  施工期工艺流程及产污环节示意图</w:t>
            </w:r>
          </w:p>
          <w:p w14:paraId="0C42E2DC">
            <w:pPr>
              <w:pStyle w:val="2"/>
              <w:spacing w:before="0" w:after="0" w:line="360" w:lineRule="auto"/>
              <w:ind w:left="0" w:firstLine="431"/>
              <w:jc w:val="left"/>
              <w:rPr>
                <w:rFonts w:eastAsia="宋体"/>
                <w:b w:val="0"/>
                <w:color w:val="auto"/>
                <w:sz w:val="24"/>
                <w:szCs w:val="24"/>
              </w:rPr>
            </w:pPr>
            <w:r>
              <w:rPr>
                <w:rFonts w:eastAsia="宋体"/>
                <w:color w:val="auto"/>
                <w:sz w:val="24"/>
                <w:szCs w:val="24"/>
              </w:rPr>
              <w:t>施工流程简述：</w:t>
            </w:r>
          </w:p>
          <w:p w14:paraId="4F3C8915">
            <w:pPr>
              <w:pStyle w:val="2"/>
              <w:spacing w:before="0" w:after="0" w:line="360" w:lineRule="auto"/>
              <w:ind w:left="0" w:firstLine="431"/>
              <w:jc w:val="left"/>
              <w:rPr>
                <w:rFonts w:eastAsia="宋体"/>
                <w:b w:val="0"/>
                <w:color w:val="auto"/>
                <w:sz w:val="24"/>
                <w:szCs w:val="24"/>
              </w:rPr>
            </w:pPr>
            <w:r>
              <w:rPr>
                <w:rFonts w:eastAsia="宋体"/>
                <w:b w:val="0"/>
                <w:color w:val="auto"/>
                <w:sz w:val="24"/>
                <w:szCs w:val="24"/>
              </w:rPr>
              <w:t>（1）放线</w:t>
            </w:r>
          </w:p>
          <w:p w14:paraId="4672DA17">
            <w:pPr>
              <w:pStyle w:val="2"/>
              <w:spacing w:before="0" w:after="0" w:line="360" w:lineRule="auto"/>
              <w:ind w:left="0" w:firstLine="431"/>
              <w:jc w:val="left"/>
              <w:rPr>
                <w:rFonts w:eastAsia="宋体"/>
                <w:b w:val="0"/>
                <w:color w:val="auto"/>
                <w:sz w:val="24"/>
                <w:szCs w:val="24"/>
              </w:rPr>
            </w:pPr>
            <w:r>
              <w:rPr>
                <w:rFonts w:eastAsia="宋体"/>
                <w:b w:val="0"/>
                <w:color w:val="auto"/>
                <w:sz w:val="24"/>
                <w:szCs w:val="24"/>
              </w:rPr>
              <w:t>根据初步设计提供的水准点进行放线。</w:t>
            </w:r>
          </w:p>
          <w:p w14:paraId="45718D57">
            <w:pPr>
              <w:pStyle w:val="2"/>
              <w:spacing w:before="0" w:after="0" w:line="360" w:lineRule="auto"/>
              <w:ind w:left="0" w:firstLine="431"/>
              <w:jc w:val="left"/>
              <w:rPr>
                <w:rFonts w:eastAsia="宋体"/>
                <w:b w:val="0"/>
                <w:color w:val="auto"/>
                <w:sz w:val="24"/>
                <w:szCs w:val="24"/>
              </w:rPr>
            </w:pPr>
            <w:r>
              <w:rPr>
                <w:rFonts w:eastAsia="宋体"/>
                <w:b w:val="0"/>
                <w:color w:val="auto"/>
                <w:sz w:val="24"/>
                <w:szCs w:val="24"/>
              </w:rPr>
              <w:t>（2）设备进场</w:t>
            </w:r>
          </w:p>
          <w:p w14:paraId="351B6820">
            <w:pPr>
              <w:pStyle w:val="2"/>
              <w:spacing w:before="0" w:after="0" w:line="360" w:lineRule="auto"/>
              <w:ind w:left="0" w:firstLine="431"/>
              <w:jc w:val="left"/>
              <w:rPr>
                <w:rFonts w:eastAsia="宋体"/>
                <w:b w:val="0"/>
                <w:color w:val="auto"/>
                <w:sz w:val="24"/>
                <w:szCs w:val="24"/>
              </w:rPr>
            </w:pPr>
            <w:r>
              <w:rPr>
                <w:rFonts w:eastAsia="宋体"/>
                <w:b w:val="0"/>
                <w:color w:val="auto"/>
                <w:sz w:val="24"/>
                <w:szCs w:val="24"/>
              </w:rPr>
              <w:t>施工单位场地布置，及施工设备进场。本项目施工人员不在项目区食宿，配置2名值班人员看守场地</w:t>
            </w:r>
            <w:r>
              <w:rPr>
                <w:rFonts w:hint="eastAsia" w:eastAsia="宋体"/>
                <w:b w:val="0"/>
                <w:color w:val="auto"/>
                <w:sz w:val="24"/>
                <w:szCs w:val="24"/>
                <w:lang w:eastAsia="zh-CN"/>
              </w:rPr>
              <w:t>，</w:t>
            </w:r>
            <w:r>
              <w:rPr>
                <w:rFonts w:hint="eastAsia" w:eastAsia="宋体"/>
                <w:b w:val="0"/>
                <w:color w:val="auto"/>
                <w:sz w:val="24"/>
                <w:szCs w:val="24"/>
                <w:lang w:val="en-US" w:eastAsia="zh-CN"/>
              </w:rPr>
              <w:t>利用现有项目的生活区</w:t>
            </w:r>
            <w:r>
              <w:rPr>
                <w:rFonts w:eastAsia="宋体"/>
                <w:b w:val="0"/>
                <w:color w:val="auto"/>
                <w:sz w:val="24"/>
                <w:szCs w:val="24"/>
              </w:rPr>
              <w:t>。</w:t>
            </w:r>
          </w:p>
          <w:p w14:paraId="43684920">
            <w:pPr>
              <w:pStyle w:val="2"/>
              <w:spacing w:before="0" w:after="0" w:line="360" w:lineRule="auto"/>
              <w:ind w:left="0" w:firstLine="431"/>
              <w:jc w:val="left"/>
              <w:rPr>
                <w:rFonts w:eastAsia="宋体"/>
                <w:b w:val="0"/>
                <w:color w:val="auto"/>
                <w:sz w:val="24"/>
                <w:szCs w:val="24"/>
              </w:rPr>
            </w:pPr>
            <w:r>
              <w:rPr>
                <w:rFonts w:eastAsia="宋体"/>
                <w:b w:val="0"/>
                <w:color w:val="auto"/>
                <w:sz w:val="24"/>
                <w:szCs w:val="24"/>
              </w:rPr>
              <w:t>（</w:t>
            </w:r>
            <w:r>
              <w:rPr>
                <w:rFonts w:hint="eastAsia" w:eastAsia="宋体"/>
                <w:b w:val="0"/>
                <w:color w:val="auto"/>
                <w:sz w:val="24"/>
                <w:szCs w:val="24"/>
              </w:rPr>
              <w:t>3</w:t>
            </w:r>
            <w:r>
              <w:rPr>
                <w:rFonts w:eastAsia="宋体"/>
                <w:b w:val="0"/>
                <w:color w:val="auto"/>
                <w:sz w:val="24"/>
                <w:szCs w:val="24"/>
              </w:rPr>
              <w:t>）清基</w:t>
            </w:r>
          </w:p>
          <w:p w14:paraId="5036DD8C">
            <w:pPr>
              <w:pStyle w:val="2"/>
              <w:spacing w:before="0" w:after="0" w:line="360" w:lineRule="auto"/>
              <w:ind w:left="0" w:firstLine="431"/>
              <w:jc w:val="left"/>
              <w:rPr>
                <w:rFonts w:eastAsia="宋体"/>
                <w:b w:val="0"/>
                <w:color w:val="auto"/>
                <w:sz w:val="24"/>
                <w:szCs w:val="24"/>
              </w:rPr>
            </w:pPr>
            <w:r>
              <w:rPr>
                <w:rFonts w:eastAsia="宋体"/>
                <w:b w:val="0"/>
                <w:color w:val="auto"/>
                <w:sz w:val="24"/>
                <w:szCs w:val="24"/>
              </w:rPr>
              <w:t>项目采用人工与机械结合的方式清</w:t>
            </w:r>
            <w:r>
              <w:rPr>
                <w:rFonts w:hint="eastAsia" w:eastAsia="宋体"/>
                <w:b w:val="0"/>
                <w:color w:val="auto"/>
                <w:sz w:val="24"/>
                <w:szCs w:val="24"/>
                <w:lang w:val="en-US" w:eastAsia="zh-CN"/>
              </w:rPr>
              <w:t>基底</w:t>
            </w:r>
            <w:r>
              <w:rPr>
                <w:rFonts w:eastAsia="宋体"/>
                <w:b w:val="0"/>
                <w:color w:val="auto"/>
                <w:sz w:val="24"/>
                <w:szCs w:val="24"/>
              </w:rPr>
              <w:t>，</w:t>
            </w:r>
            <w:r>
              <w:rPr>
                <w:rFonts w:hint="eastAsia" w:eastAsia="宋体"/>
                <w:b w:val="0"/>
                <w:color w:val="auto"/>
                <w:sz w:val="24"/>
                <w:szCs w:val="24"/>
                <w:lang w:val="en-US" w:eastAsia="zh-CN"/>
              </w:rPr>
              <w:t>清底</w:t>
            </w:r>
            <w:r>
              <w:rPr>
                <w:rFonts w:eastAsia="宋体"/>
                <w:b w:val="0"/>
                <w:color w:val="auto"/>
                <w:sz w:val="24"/>
                <w:szCs w:val="24"/>
              </w:rPr>
              <w:t>后进行</w:t>
            </w:r>
            <w:r>
              <w:rPr>
                <w:rFonts w:hint="eastAsia" w:eastAsia="宋体"/>
                <w:b w:val="0"/>
                <w:color w:val="auto"/>
                <w:sz w:val="24"/>
                <w:szCs w:val="24"/>
              </w:rPr>
              <w:t>截排水</w:t>
            </w:r>
            <w:r>
              <w:rPr>
                <w:rFonts w:eastAsia="宋体"/>
                <w:b w:val="0"/>
                <w:color w:val="auto"/>
                <w:sz w:val="24"/>
                <w:szCs w:val="24"/>
              </w:rPr>
              <w:t>设施</w:t>
            </w:r>
            <w:r>
              <w:rPr>
                <w:rFonts w:hint="eastAsia" w:eastAsia="宋体"/>
                <w:b w:val="0"/>
                <w:color w:val="auto"/>
                <w:sz w:val="24"/>
                <w:szCs w:val="24"/>
                <w:lang w:val="en-US" w:eastAsia="zh-CN"/>
              </w:rPr>
              <w:t>开槽</w:t>
            </w:r>
            <w:r>
              <w:rPr>
                <w:rFonts w:eastAsia="宋体"/>
                <w:b w:val="0"/>
                <w:color w:val="auto"/>
                <w:sz w:val="24"/>
                <w:szCs w:val="24"/>
              </w:rPr>
              <w:t>施工。产生的污染物主要为扬尘、机械废气、噪声和</w:t>
            </w:r>
            <w:r>
              <w:rPr>
                <w:rFonts w:hint="eastAsia" w:eastAsia="宋体"/>
                <w:b w:val="0"/>
                <w:color w:val="auto"/>
                <w:sz w:val="24"/>
                <w:szCs w:val="24"/>
              </w:rPr>
              <w:t>废弃土石方</w:t>
            </w:r>
            <w:r>
              <w:rPr>
                <w:rFonts w:eastAsia="宋体"/>
                <w:b w:val="0"/>
                <w:color w:val="auto"/>
                <w:sz w:val="24"/>
                <w:szCs w:val="24"/>
              </w:rPr>
              <w:t>。</w:t>
            </w:r>
          </w:p>
          <w:p w14:paraId="54A569B5">
            <w:pPr>
              <w:pStyle w:val="2"/>
              <w:spacing w:before="0" w:after="0" w:line="360" w:lineRule="auto"/>
              <w:ind w:left="0" w:firstLine="431"/>
              <w:jc w:val="left"/>
              <w:rPr>
                <w:rFonts w:eastAsia="宋体"/>
                <w:b w:val="0"/>
                <w:color w:val="auto"/>
                <w:sz w:val="24"/>
                <w:szCs w:val="24"/>
              </w:rPr>
            </w:pPr>
            <w:r>
              <w:rPr>
                <w:rFonts w:eastAsia="宋体"/>
                <w:b w:val="0"/>
                <w:color w:val="auto"/>
                <w:sz w:val="24"/>
                <w:szCs w:val="24"/>
              </w:rPr>
              <w:t>（</w:t>
            </w:r>
            <w:r>
              <w:rPr>
                <w:rFonts w:hint="eastAsia" w:eastAsia="宋体"/>
                <w:b w:val="0"/>
                <w:color w:val="auto"/>
                <w:sz w:val="24"/>
                <w:szCs w:val="24"/>
              </w:rPr>
              <w:t>4</w:t>
            </w:r>
            <w:r>
              <w:rPr>
                <w:rFonts w:eastAsia="宋体"/>
                <w:b w:val="0"/>
                <w:color w:val="auto"/>
                <w:sz w:val="24"/>
                <w:szCs w:val="24"/>
              </w:rPr>
              <w:t>）截排水设施建设及其他配套设施建设</w:t>
            </w:r>
          </w:p>
          <w:p w14:paraId="1225EFE4">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cs="Times New Roman"/>
                <w:color w:val="auto"/>
                <w:highlight w:val="none"/>
                <w:u w:val="none"/>
                <w:lang w:val="en-US" w:eastAsia="zh-CN"/>
              </w:rPr>
            </w:pPr>
            <w:r>
              <w:rPr>
                <w:rFonts w:eastAsia="宋体"/>
                <w:b w:val="0"/>
                <w:color w:val="auto"/>
                <w:sz w:val="24"/>
                <w:szCs w:val="24"/>
              </w:rPr>
              <w:t>包括基槽开挖、浇筑砼垫层、承台模板及梁底测板安装、浇筑基础砼、基础砖砌筑等工程工序，主要用到挖掘机，产生的污染物主要为噪声、扬尘、机械废气、工程废水和废弃土石方。</w:t>
            </w:r>
          </w:p>
          <w:p w14:paraId="4E4E0FB4">
            <w:pPr>
              <w:pStyle w:val="12"/>
              <w:keepNext w:val="0"/>
              <w:keepLines w:val="0"/>
              <w:pageBreakBefore w:val="0"/>
              <w:widowControl w:val="0"/>
              <w:numPr>
                <w:ilvl w:val="0"/>
                <w:numId w:val="0"/>
              </w:numPr>
              <w:kinsoku/>
              <w:wordWrap/>
              <w:overflowPunct/>
              <w:topLinePunct w:val="0"/>
              <w:autoSpaceDE/>
              <w:autoSpaceDN/>
              <w:bidi w:val="0"/>
              <w:spacing w:line="360" w:lineRule="auto"/>
              <w:ind w:firstLine="482" w:firstLineChars="200"/>
              <w:textAlignment w:val="auto"/>
              <w:rPr>
                <w:rFonts w:hint="default" w:ascii="Times New Roman" w:hAnsi="Times New Roman" w:cs="Times New Roman"/>
                <w:b/>
                <w:bCs/>
                <w:color w:val="auto"/>
                <w:highlight w:val="none"/>
                <w:u w:val="none"/>
                <w:lang w:val="en-US" w:eastAsia="zh-CN"/>
              </w:rPr>
            </w:pPr>
            <w:r>
              <w:rPr>
                <w:rFonts w:hint="default" w:ascii="Times New Roman" w:hAnsi="Times New Roman" w:eastAsia="宋体" w:cs="Times New Roman"/>
                <w:b/>
                <w:bCs/>
                <w:color w:val="auto"/>
                <w:kern w:val="2"/>
                <w:sz w:val="24"/>
                <w:szCs w:val="24"/>
                <w:u w:val="none"/>
                <w:lang w:val="en-US" w:eastAsia="zh-CN" w:bidi="ar-SA"/>
              </w:rPr>
              <w:t>二、</w:t>
            </w:r>
            <w:r>
              <w:rPr>
                <w:rFonts w:hint="default" w:ascii="Times New Roman" w:hAnsi="Times New Roman" w:cs="Times New Roman"/>
                <w:b/>
                <w:bCs/>
                <w:color w:val="auto"/>
                <w:highlight w:val="none"/>
                <w:u w:val="none"/>
                <w:lang w:val="en-US" w:eastAsia="zh-CN"/>
              </w:rPr>
              <w:t>运营期</w:t>
            </w:r>
          </w:p>
          <w:p w14:paraId="0C258170">
            <w:pPr>
              <w:keepNext w:val="0"/>
              <w:keepLines w:val="0"/>
              <w:pageBreakBefore w:val="0"/>
              <w:widowControl w:val="0"/>
              <w:numPr>
                <w:ilvl w:val="0"/>
                <w:numId w:val="0"/>
              </w:numPr>
              <w:kinsoku/>
              <w:wordWrap/>
              <w:overflowPunct/>
              <w:topLinePunct w:val="0"/>
              <w:autoSpaceDE/>
              <w:autoSpaceDN/>
              <w:bidi w:val="0"/>
              <w:spacing w:line="360" w:lineRule="auto"/>
              <w:ind w:firstLine="482" w:firstLineChars="200"/>
              <w:textAlignment w:val="auto"/>
              <w:rPr>
                <w:rFonts w:hint="default" w:ascii="Times New Roman" w:hAnsi="Times New Roman" w:cs="Times New Roman"/>
                <w:b/>
                <w:bCs/>
                <w:color w:val="auto"/>
                <w:u w:val="none"/>
                <w:lang w:val="en-US" w:eastAsia="zh-CN"/>
              </w:rPr>
            </w:pPr>
            <w:r>
              <w:rPr>
                <w:rFonts w:hint="default" w:ascii="Times New Roman" w:hAnsi="Times New Roman" w:cs="Times New Roman"/>
                <w:b/>
                <w:bCs/>
                <w:color w:val="auto"/>
                <w:u w:val="none"/>
                <w:lang w:val="en-US" w:eastAsia="zh-CN"/>
              </w:rPr>
              <w:t>1、工艺流程</w:t>
            </w:r>
          </w:p>
          <w:p w14:paraId="5FB09A6A">
            <w:pPr>
              <w:pStyle w:val="12"/>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本项目工艺流程图及产污环节如图2-4所示。</w:t>
            </w:r>
          </w:p>
          <w:p w14:paraId="345CF09D">
            <w:pPr>
              <w:pStyle w:val="35"/>
              <w:bidi w:val="0"/>
              <w:outlineLvl w:val="9"/>
              <w:rPr>
                <w:rFonts w:hint="default" w:ascii="Times New Roman" w:hAnsi="Times New Roman" w:cs="Times New Roman"/>
                <w:color w:val="auto"/>
                <w:u w:val="none"/>
                <w:lang w:val="en-US" w:eastAsia="zh-CN"/>
              </w:rPr>
            </w:pPr>
            <w:r>
              <w:rPr>
                <w:rFonts w:hint="default" w:ascii="Times New Roman" w:hAnsi="Times New Roman" w:cs="Times New Roman"/>
                <w:color w:val="auto"/>
                <w:highlight w:val="none"/>
                <w:u w:val="none"/>
                <w:lang w:val="en-US" w:eastAsia="zh-CN"/>
              </w:rPr>
              <w:object>
                <v:shape id="_x0000_i1028" o:spt="75" type="#_x0000_t75" style="height:545.65pt;width:321.9pt;" o:ole="t" filled="f" o:preferrelative="t" stroked="f" coordsize="21600,21600">
                  <v:path/>
                  <v:fill on="f" focussize="0,0"/>
                  <v:stroke on="f"/>
                  <v:imagedata r:id="rId17" o:title=""/>
                  <o:lock v:ext="edit" aspectratio="f"/>
                  <w10:wrap type="none"/>
                  <w10:anchorlock/>
                </v:shape>
                <o:OLEObject Type="Embed" ProgID="Visio.Drawing.11" ShapeID="_x0000_i1028" DrawAspect="Content" ObjectID="_1468075728" r:id="rId16">
                  <o:LockedField>false</o:LockedField>
                </o:OLEObject>
              </w:object>
            </w:r>
          </w:p>
          <w:p w14:paraId="37950A24">
            <w:pPr>
              <w:pStyle w:val="35"/>
              <w:bidi w:val="0"/>
              <w:outlineLvl w:val="9"/>
              <w:rPr>
                <w:rFonts w:hint="default" w:ascii="Times New Roman" w:hAnsi="Times New Roman" w:cs="Times New Roman"/>
                <w:color w:val="0000FF"/>
                <w:u w:val="none"/>
                <w:lang w:val="en-US" w:eastAsia="zh-CN"/>
              </w:rPr>
            </w:pPr>
            <w:r>
              <w:rPr>
                <w:rFonts w:hint="default" w:ascii="Times New Roman" w:hAnsi="Times New Roman" w:cs="Times New Roman"/>
                <w:color w:val="0000FF"/>
                <w:u w:val="none"/>
                <w:lang w:val="en-US" w:eastAsia="zh-CN"/>
              </w:rPr>
              <w:t>图2-4  项目生产工艺流程及产污节点图</w:t>
            </w:r>
          </w:p>
          <w:p w14:paraId="2DAC4065">
            <w:pPr>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b w:val="0"/>
                <w:bCs w:val="0"/>
                <w:color w:val="auto"/>
                <w:sz w:val="24"/>
                <w:u w:val="none"/>
                <w:lang w:val="en-US" w:eastAsia="zh-CN"/>
              </w:rPr>
            </w:pPr>
            <w:r>
              <w:rPr>
                <w:rFonts w:hint="default" w:ascii="Times New Roman" w:hAnsi="Times New Roman" w:eastAsia="宋体" w:cs="Times New Roman"/>
                <w:b w:val="0"/>
                <w:bCs w:val="0"/>
                <w:color w:val="auto"/>
                <w:sz w:val="24"/>
                <w:u w:val="none"/>
                <w:lang w:val="en-US" w:eastAsia="zh-CN"/>
              </w:rPr>
              <w:t>工艺流程简介：</w:t>
            </w:r>
          </w:p>
          <w:p w14:paraId="6B190BF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u w:val="none"/>
                <w:lang w:val="en-US" w:eastAsia="zh-CN"/>
              </w:rPr>
              <w:t>①</w:t>
            </w:r>
            <w:r>
              <w:rPr>
                <w:rFonts w:hint="default" w:ascii="Times New Roman" w:hAnsi="Times New Roman" w:eastAsia="宋体" w:cs="Times New Roman"/>
                <w:b w:val="0"/>
                <w:bCs w:val="0"/>
                <w:color w:val="auto"/>
                <w:sz w:val="24"/>
                <w:szCs w:val="24"/>
                <w:highlight w:val="none"/>
                <w:u w:val="none"/>
                <w:lang w:val="en-US" w:eastAsia="zh-CN"/>
              </w:rPr>
              <w:t>过磅：</w:t>
            </w:r>
            <w:r>
              <w:rPr>
                <w:rFonts w:hint="default" w:ascii="Times New Roman" w:hAnsi="Times New Roman" w:eastAsia="宋体" w:cs="Times New Roman"/>
                <w:b w:val="0"/>
                <w:bCs w:val="0"/>
                <w:color w:val="0000FF"/>
                <w:sz w:val="24"/>
                <w:szCs w:val="24"/>
                <w:highlight w:val="none"/>
                <w:u w:val="none"/>
                <w:lang w:val="en-US" w:eastAsia="zh-CN"/>
              </w:rPr>
              <w:t>原煤采用汽车运输方式，由</w:t>
            </w:r>
            <w:r>
              <w:rPr>
                <w:rFonts w:hint="eastAsia" w:ascii="Times New Roman" w:hAnsi="Times New Roman" w:cs="Times New Roman"/>
                <w:b w:val="0"/>
                <w:bCs w:val="0"/>
                <w:color w:val="0000FF"/>
                <w:kern w:val="2"/>
                <w:sz w:val="24"/>
                <w:szCs w:val="24"/>
                <w:highlight w:val="none"/>
                <w:vertAlign w:val="baseline"/>
                <w:lang w:val="en-US" w:eastAsia="zh-CN" w:bidi="ar-SA"/>
              </w:rPr>
              <w:t>寻甸县先锋镇姚家村煤矿有限公司</w:t>
            </w:r>
            <w:r>
              <w:rPr>
                <w:rFonts w:hint="eastAsia" w:cs="Times New Roman"/>
                <w:b w:val="0"/>
                <w:bCs w:val="0"/>
                <w:color w:val="0000FF"/>
                <w:kern w:val="2"/>
                <w:sz w:val="24"/>
                <w:szCs w:val="24"/>
                <w:highlight w:val="none"/>
                <w:vertAlign w:val="baseline"/>
                <w:lang w:val="en-US" w:eastAsia="zh-CN" w:bidi="ar-SA"/>
              </w:rPr>
              <w:t>、</w:t>
            </w:r>
            <w:r>
              <w:rPr>
                <w:rFonts w:hint="eastAsia" w:ascii="Times New Roman" w:hAnsi="Times New Roman" w:cs="Times New Roman"/>
                <w:b w:val="0"/>
                <w:bCs w:val="0"/>
                <w:color w:val="0000FF"/>
                <w:kern w:val="2"/>
                <w:sz w:val="24"/>
                <w:szCs w:val="24"/>
                <w:highlight w:val="none"/>
                <w:vertAlign w:val="baseline"/>
                <w:lang w:val="en-US" w:eastAsia="zh-CN" w:bidi="ar-SA"/>
              </w:rPr>
              <w:t>寻甸慧果能源开发有限公司</w:t>
            </w:r>
            <w:r>
              <w:rPr>
                <w:rFonts w:hint="default" w:ascii="Times New Roman" w:hAnsi="Times New Roman" w:eastAsia="宋体" w:cs="Times New Roman"/>
                <w:b w:val="0"/>
                <w:bCs w:val="0"/>
                <w:color w:val="0000FF"/>
                <w:sz w:val="24"/>
                <w:szCs w:val="24"/>
                <w:highlight w:val="none"/>
                <w:u w:val="none"/>
                <w:lang w:val="en-US" w:eastAsia="zh-CN"/>
              </w:rPr>
              <w:t>运至本项目所在地，</w:t>
            </w:r>
            <w:r>
              <w:rPr>
                <w:rFonts w:hint="eastAsia" w:cs="Times New Roman"/>
                <w:b w:val="0"/>
                <w:bCs w:val="0"/>
                <w:color w:val="0000FF"/>
                <w:sz w:val="24"/>
                <w:szCs w:val="24"/>
                <w:highlight w:val="none"/>
                <w:u w:val="none"/>
                <w:lang w:val="en-US" w:eastAsia="zh-CN"/>
              </w:rPr>
              <w:t>经晾晒混合后外卖至宣威、昆明、白水等各电厂。项目</w:t>
            </w:r>
            <w:r>
              <w:rPr>
                <w:rFonts w:hint="default" w:ascii="Times New Roman" w:hAnsi="Times New Roman" w:eastAsia="宋体" w:cs="Times New Roman"/>
                <w:b w:val="0"/>
                <w:bCs w:val="0"/>
                <w:color w:val="0000FF"/>
                <w:sz w:val="24"/>
                <w:szCs w:val="24"/>
                <w:highlight w:val="none"/>
                <w:u w:val="none"/>
                <w:lang w:val="en-US" w:eastAsia="zh-CN"/>
              </w:rPr>
              <w:t>进场时通过地磅进行称重计量。此工序主要产生</w:t>
            </w:r>
            <w:r>
              <w:rPr>
                <w:rFonts w:hint="eastAsia" w:ascii="Times New Roman" w:hAnsi="Times New Roman" w:cs="Times New Roman"/>
                <w:b w:val="0"/>
                <w:bCs w:val="0"/>
                <w:color w:val="0000FF"/>
                <w:sz w:val="24"/>
                <w:szCs w:val="24"/>
                <w:highlight w:val="none"/>
                <w:u w:val="none"/>
                <w:lang w:val="en-US" w:eastAsia="zh-CN"/>
              </w:rPr>
              <w:t>及车辆运输扬尘</w:t>
            </w:r>
            <w:r>
              <w:rPr>
                <w:rFonts w:hint="default" w:ascii="Times New Roman" w:hAnsi="Times New Roman" w:eastAsia="宋体" w:cs="Times New Roman"/>
                <w:b w:val="0"/>
                <w:bCs w:val="0"/>
                <w:color w:val="0000FF"/>
                <w:sz w:val="24"/>
                <w:szCs w:val="24"/>
                <w:highlight w:val="none"/>
                <w:u w:val="none"/>
                <w:lang w:val="en-US" w:eastAsia="zh-CN"/>
              </w:rPr>
              <w:t>（G1）</w:t>
            </w:r>
            <w:r>
              <w:rPr>
                <w:rFonts w:hint="eastAsia" w:cs="Times New Roman"/>
                <w:b w:val="0"/>
                <w:bCs w:val="0"/>
                <w:color w:val="0000FF"/>
                <w:sz w:val="24"/>
                <w:szCs w:val="24"/>
                <w:highlight w:val="none"/>
                <w:u w:val="none"/>
                <w:lang w:val="en-US" w:eastAsia="zh-CN"/>
              </w:rPr>
              <w:t>和车辆噪声</w:t>
            </w:r>
            <w:r>
              <w:rPr>
                <w:rFonts w:hint="default" w:ascii="Times New Roman" w:hAnsi="Times New Roman" w:eastAsia="宋体" w:cs="Times New Roman"/>
                <w:b w:val="0"/>
                <w:bCs w:val="0"/>
                <w:color w:val="0000FF"/>
                <w:sz w:val="24"/>
                <w:szCs w:val="24"/>
                <w:highlight w:val="none"/>
                <w:u w:val="none"/>
                <w:lang w:val="en-US" w:eastAsia="zh-CN"/>
              </w:rPr>
              <w:t>（</w:t>
            </w:r>
            <w:r>
              <w:rPr>
                <w:rFonts w:hint="eastAsia" w:cs="Times New Roman"/>
                <w:b w:val="0"/>
                <w:bCs w:val="0"/>
                <w:color w:val="0000FF"/>
                <w:sz w:val="24"/>
                <w:szCs w:val="24"/>
                <w:highlight w:val="none"/>
                <w:u w:val="none"/>
                <w:lang w:val="en-US" w:eastAsia="zh-CN"/>
              </w:rPr>
              <w:t>N</w:t>
            </w:r>
            <w:r>
              <w:rPr>
                <w:rFonts w:hint="default" w:ascii="Times New Roman" w:hAnsi="Times New Roman" w:eastAsia="宋体" w:cs="Times New Roman"/>
                <w:b w:val="0"/>
                <w:bCs w:val="0"/>
                <w:color w:val="0000FF"/>
                <w:sz w:val="24"/>
                <w:szCs w:val="24"/>
                <w:highlight w:val="none"/>
                <w:u w:val="none"/>
                <w:lang w:val="en-US" w:eastAsia="zh-CN"/>
              </w:rPr>
              <w:t>1）</w:t>
            </w:r>
            <w:r>
              <w:rPr>
                <w:rFonts w:hint="eastAsia" w:cs="Times New Roman"/>
                <w:b w:val="0"/>
                <w:bCs w:val="0"/>
                <w:color w:val="0000FF"/>
                <w:sz w:val="24"/>
                <w:szCs w:val="24"/>
                <w:highlight w:val="none"/>
                <w:u w:val="none"/>
                <w:lang w:val="en-US" w:eastAsia="zh-CN"/>
              </w:rPr>
              <w:t>。</w:t>
            </w:r>
          </w:p>
          <w:p w14:paraId="0942E3F5">
            <w:pPr>
              <w:pStyle w:val="12"/>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②卸料：称重后的运输车辆驶入</w:t>
            </w:r>
            <w:r>
              <w:rPr>
                <w:rFonts w:hint="eastAsia" w:ascii="Times New Roman" w:hAnsi="Times New Roman" w:eastAsia="宋体" w:cs="Times New Roman"/>
                <w:b w:val="0"/>
                <w:bCs w:val="0"/>
                <w:color w:val="auto"/>
                <w:sz w:val="24"/>
                <w:szCs w:val="24"/>
                <w:highlight w:val="none"/>
                <w:u w:val="none"/>
                <w:lang w:val="en-US" w:eastAsia="zh-CN"/>
              </w:rPr>
              <w:t>晾晒厂房</w:t>
            </w:r>
            <w:r>
              <w:rPr>
                <w:rFonts w:hint="default" w:ascii="Times New Roman" w:hAnsi="Times New Roman" w:eastAsia="宋体" w:cs="Times New Roman"/>
                <w:b w:val="0"/>
                <w:bCs w:val="0"/>
                <w:color w:val="auto"/>
                <w:sz w:val="24"/>
                <w:szCs w:val="24"/>
                <w:highlight w:val="none"/>
                <w:u w:val="none"/>
                <w:lang w:val="en-US" w:eastAsia="zh-CN"/>
              </w:rPr>
              <w:t>卸煤，卸煤后</w:t>
            </w:r>
            <w:r>
              <w:rPr>
                <w:rFonts w:hint="eastAsia" w:ascii="Times New Roman" w:hAnsi="Times New Roman" w:eastAsia="宋体" w:cs="Times New Roman"/>
                <w:b w:val="0"/>
                <w:bCs w:val="0"/>
                <w:color w:val="auto"/>
                <w:sz w:val="24"/>
                <w:szCs w:val="24"/>
                <w:highlight w:val="none"/>
                <w:u w:val="none"/>
                <w:lang w:val="en-US" w:eastAsia="zh-CN"/>
              </w:rPr>
              <w:t>使用装载机将煤适当摊铺进行晾晒</w:t>
            </w:r>
            <w:r>
              <w:rPr>
                <w:rFonts w:hint="default" w:ascii="Times New Roman" w:hAnsi="Times New Roman" w:eastAsia="宋体" w:cs="Times New Roman"/>
                <w:b w:val="0"/>
                <w:bCs w:val="0"/>
                <w:color w:val="auto"/>
                <w:sz w:val="24"/>
                <w:szCs w:val="24"/>
                <w:highlight w:val="none"/>
                <w:u w:val="none"/>
                <w:lang w:val="en-US" w:eastAsia="zh-CN"/>
              </w:rPr>
              <w:t>。此工序主要产生装卸扬尘</w:t>
            </w:r>
            <w:r>
              <w:rPr>
                <w:rFonts w:hint="eastAsia" w:ascii="Times New Roman" w:hAnsi="Times New Roman" w:cs="Times New Roman"/>
                <w:b w:val="0"/>
                <w:bCs w:val="0"/>
                <w:color w:val="auto"/>
                <w:sz w:val="24"/>
                <w:szCs w:val="24"/>
                <w:highlight w:val="none"/>
                <w:u w:val="none"/>
                <w:lang w:val="en-US" w:eastAsia="zh-CN"/>
              </w:rPr>
              <w:t>和风蚀扬尘</w:t>
            </w:r>
            <w:r>
              <w:rPr>
                <w:rFonts w:hint="default" w:ascii="Times New Roman" w:hAnsi="Times New Roman" w:eastAsia="宋体" w:cs="Times New Roman"/>
                <w:b w:val="0"/>
                <w:bCs w:val="0"/>
                <w:color w:val="auto"/>
                <w:sz w:val="24"/>
                <w:szCs w:val="24"/>
                <w:highlight w:val="none"/>
                <w:u w:val="none"/>
                <w:lang w:val="en-US" w:eastAsia="zh-CN"/>
              </w:rPr>
              <w:t>（G</w:t>
            </w:r>
            <w:r>
              <w:rPr>
                <w:rFonts w:hint="eastAsia" w:ascii="Times New Roman" w:hAnsi="Times New Roman" w:cs="Times New Roman"/>
                <w:b w:val="0"/>
                <w:bCs w:val="0"/>
                <w:color w:val="auto"/>
                <w:sz w:val="24"/>
                <w:szCs w:val="24"/>
                <w:highlight w:val="none"/>
                <w:u w:val="none"/>
                <w:lang w:val="en-US" w:eastAsia="zh-CN"/>
              </w:rPr>
              <w:t>2</w:t>
            </w:r>
            <w:r>
              <w:rPr>
                <w:rFonts w:hint="default" w:ascii="Times New Roman" w:hAnsi="Times New Roman" w:eastAsia="宋体" w:cs="Times New Roman"/>
                <w:b w:val="0"/>
                <w:bCs w:val="0"/>
                <w:color w:val="auto"/>
                <w:sz w:val="24"/>
                <w:szCs w:val="24"/>
                <w:highlight w:val="none"/>
                <w:u w:val="none"/>
                <w:lang w:val="en-US" w:eastAsia="zh-CN"/>
              </w:rPr>
              <w:t>）。</w:t>
            </w:r>
          </w:p>
          <w:p w14:paraId="76F5ED98">
            <w:pPr>
              <w:pStyle w:val="12"/>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③</w:t>
            </w:r>
            <w:r>
              <w:rPr>
                <w:rFonts w:hint="eastAsia" w:ascii="Times New Roman" w:hAnsi="Times New Roman" w:eastAsia="宋体" w:cs="Times New Roman"/>
                <w:b w:val="0"/>
                <w:bCs w:val="0"/>
                <w:color w:val="auto"/>
                <w:sz w:val="24"/>
                <w:szCs w:val="24"/>
                <w:highlight w:val="none"/>
                <w:u w:val="none"/>
                <w:lang w:val="en-US" w:eastAsia="zh-CN"/>
              </w:rPr>
              <w:t>晾晒</w:t>
            </w:r>
            <w:r>
              <w:rPr>
                <w:rFonts w:hint="default" w:ascii="Times New Roman" w:hAnsi="Times New Roman" w:eastAsia="宋体" w:cs="Times New Roman"/>
                <w:b w:val="0"/>
                <w:bCs w:val="0"/>
                <w:color w:val="auto"/>
                <w:sz w:val="24"/>
                <w:szCs w:val="24"/>
                <w:highlight w:val="none"/>
                <w:u w:val="none"/>
                <w:lang w:val="en-US" w:eastAsia="zh-CN"/>
              </w:rPr>
              <w:t>：</w:t>
            </w:r>
            <w:r>
              <w:rPr>
                <w:rFonts w:hint="eastAsia" w:ascii="Times New Roman" w:hAnsi="Times New Roman" w:cs="Times New Roman"/>
                <w:b w:val="0"/>
                <w:bCs w:val="0"/>
                <w:color w:val="auto"/>
                <w:sz w:val="24"/>
                <w:szCs w:val="24"/>
                <w:highlight w:val="none"/>
                <w:u w:val="none"/>
                <w:lang w:val="en-US" w:eastAsia="zh-CN"/>
              </w:rPr>
              <w:t>由</w:t>
            </w:r>
            <w:r>
              <w:rPr>
                <w:rFonts w:hint="eastAsia" w:ascii="Times New Roman" w:hAnsi="Times New Roman" w:cs="Times New Roman"/>
                <w:b w:val="0"/>
                <w:bCs w:val="0"/>
                <w:color w:val="0000FF"/>
                <w:kern w:val="2"/>
                <w:sz w:val="24"/>
                <w:szCs w:val="24"/>
                <w:highlight w:val="none"/>
                <w:vertAlign w:val="baseline"/>
                <w:lang w:val="en-US" w:eastAsia="zh-CN" w:bidi="ar-SA"/>
              </w:rPr>
              <w:t>寻甸县先锋镇姚家村煤矿有限公司</w:t>
            </w:r>
            <w:r>
              <w:rPr>
                <w:rFonts w:hint="eastAsia" w:cs="Times New Roman"/>
                <w:b w:val="0"/>
                <w:bCs w:val="0"/>
                <w:color w:val="0000FF"/>
                <w:kern w:val="2"/>
                <w:sz w:val="24"/>
                <w:szCs w:val="24"/>
                <w:highlight w:val="none"/>
                <w:vertAlign w:val="baseline"/>
                <w:lang w:val="en-US" w:eastAsia="zh-CN" w:bidi="ar-SA"/>
              </w:rPr>
              <w:t>、</w:t>
            </w:r>
            <w:r>
              <w:rPr>
                <w:rFonts w:hint="eastAsia" w:ascii="Times New Roman" w:hAnsi="Times New Roman" w:cs="Times New Roman"/>
                <w:b w:val="0"/>
                <w:bCs w:val="0"/>
                <w:color w:val="0000FF"/>
                <w:kern w:val="2"/>
                <w:sz w:val="24"/>
                <w:szCs w:val="24"/>
                <w:highlight w:val="none"/>
                <w:vertAlign w:val="baseline"/>
                <w:lang w:val="en-US" w:eastAsia="zh-CN" w:bidi="ar-SA"/>
              </w:rPr>
              <w:t>寻甸慧果能源开发有限公司运进的</w:t>
            </w:r>
            <w:r>
              <w:rPr>
                <w:rFonts w:hint="eastAsia" w:ascii="Times New Roman" w:hAnsi="Times New Roman" w:eastAsia="宋体" w:cs="Times New Roman"/>
                <w:b w:val="0"/>
                <w:bCs w:val="0"/>
                <w:color w:val="0000FF"/>
                <w:sz w:val="24"/>
                <w:szCs w:val="24"/>
                <w:highlight w:val="none"/>
                <w:u w:val="none"/>
                <w:lang w:val="en-US" w:eastAsia="zh-CN"/>
              </w:rPr>
              <w:t>煤炭中</w:t>
            </w:r>
            <w:r>
              <w:rPr>
                <w:rFonts w:hint="eastAsia" w:ascii="Times New Roman" w:hAnsi="Times New Roman" w:cs="Times New Roman"/>
                <w:b w:val="0"/>
                <w:bCs w:val="0"/>
                <w:color w:val="0000FF"/>
                <w:sz w:val="24"/>
                <w:szCs w:val="24"/>
                <w:highlight w:val="none"/>
                <w:u w:val="none"/>
                <w:lang w:val="en-US" w:eastAsia="zh-CN"/>
              </w:rPr>
              <w:t>含水率约为27.1%</w:t>
            </w:r>
            <w:r>
              <w:rPr>
                <w:rFonts w:hint="eastAsia" w:ascii="Times New Roman" w:hAnsi="Times New Roman" w:eastAsia="宋体" w:cs="Times New Roman"/>
                <w:b w:val="0"/>
                <w:bCs w:val="0"/>
                <w:color w:val="0000FF"/>
                <w:sz w:val="24"/>
                <w:szCs w:val="24"/>
                <w:highlight w:val="none"/>
                <w:u w:val="none"/>
                <w:lang w:val="en-US" w:eastAsia="zh-CN"/>
              </w:rPr>
              <w:t>，</w:t>
            </w:r>
            <w:r>
              <w:rPr>
                <w:rFonts w:hint="eastAsia" w:ascii="Times New Roman" w:hAnsi="Times New Roman" w:eastAsia="宋体" w:cs="Times New Roman"/>
                <w:b w:val="0"/>
                <w:bCs w:val="0"/>
                <w:color w:val="auto"/>
                <w:sz w:val="24"/>
                <w:szCs w:val="24"/>
                <w:highlight w:val="none"/>
                <w:u w:val="none"/>
                <w:lang w:val="en-US" w:eastAsia="zh-CN"/>
              </w:rPr>
              <w:t>需要对其进行晾晒减少水分，以保证其燃烧性能</w:t>
            </w:r>
            <w:r>
              <w:rPr>
                <w:rFonts w:hint="eastAsia" w:ascii="Times New Roman" w:hAnsi="Times New Roman" w:cs="Times New Roman"/>
                <w:b w:val="0"/>
                <w:bCs w:val="0"/>
                <w:color w:val="auto"/>
                <w:sz w:val="24"/>
                <w:szCs w:val="24"/>
                <w:highlight w:val="none"/>
                <w:u w:val="none"/>
                <w:lang w:val="en-US" w:eastAsia="zh-CN"/>
              </w:rPr>
              <w:t>，晾晒周期为5天</w:t>
            </w:r>
            <w:r>
              <w:rPr>
                <w:rFonts w:hint="eastAsia" w:ascii="Times New Roman" w:hAnsi="Times New Roman" w:eastAsia="宋体" w:cs="Times New Roman"/>
                <w:b w:val="0"/>
                <w:bCs w:val="0"/>
                <w:color w:val="auto"/>
                <w:sz w:val="24"/>
                <w:szCs w:val="24"/>
                <w:highlight w:val="none"/>
                <w:u w:val="none"/>
                <w:lang w:val="en-US" w:eastAsia="zh-CN"/>
              </w:rPr>
              <w:t>。晾晒厂房</w:t>
            </w:r>
            <w:r>
              <w:rPr>
                <w:rFonts w:hint="default" w:ascii="Times New Roman" w:hAnsi="Times New Roman" w:eastAsia="宋体" w:cs="Times New Roman"/>
                <w:b w:val="0"/>
                <w:bCs w:val="0"/>
                <w:color w:val="auto"/>
                <w:sz w:val="24"/>
                <w:szCs w:val="24"/>
                <w:highlight w:val="none"/>
                <w:u w:val="none"/>
                <w:lang w:val="en-US" w:eastAsia="zh-CN"/>
              </w:rPr>
              <w:t>为全封闭钢架结构，</w:t>
            </w:r>
            <w:r>
              <w:rPr>
                <w:rFonts w:hint="eastAsia" w:ascii="Times New Roman" w:hAnsi="Times New Roman" w:cs="Times New Roman"/>
                <w:b w:val="0"/>
                <w:bCs w:val="0"/>
                <w:color w:val="auto"/>
                <w:sz w:val="24"/>
                <w:szCs w:val="24"/>
                <w:highlight w:val="none"/>
                <w:u w:val="none"/>
                <w:lang w:val="en-US" w:eastAsia="zh-CN"/>
              </w:rPr>
              <w:t>透明吸热</w:t>
            </w:r>
            <w:r>
              <w:rPr>
                <w:rFonts w:hint="default" w:ascii="Times New Roman" w:hAnsi="Times New Roman" w:eastAsia="宋体" w:cs="Times New Roman"/>
                <w:b w:val="0"/>
                <w:bCs w:val="0"/>
                <w:color w:val="auto"/>
                <w:sz w:val="24"/>
                <w:szCs w:val="24"/>
                <w:highlight w:val="none"/>
                <w:u w:val="none"/>
                <w:lang w:val="en-US" w:eastAsia="zh-CN"/>
              </w:rPr>
              <w:t>顶棚遮盖，</w:t>
            </w:r>
            <w:r>
              <w:rPr>
                <w:rFonts w:hint="eastAsia" w:ascii="Times New Roman" w:hAnsi="Times New Roman" w:cs="Times New Roman"/>
                <w:b w:val="0"/>
                <w:bCs w:val="0"/>
                <w:color w:val="auto"/>
                <w:sz w:val="24"/>
                <w:szCs w:val="24"/>
                <w:highlight w:val="none"/>
                <w:u w:val="none"/>
                <w:lang w:val="en-US" w:eastAsia="zh-CN"/>
              </w:rPr>
              <w:t>只留进出口。</w:t>
            </w:r>
            <w:r>
              <w:rPr>
                <w:rFonts w:hint="default" w:ascii="Times New Roman" w:hAnsi="Times New Roman" w:eastAsia="宋体" w:cs="Times New Roman"/>
                <w:b w:val="0"/>
                <w:bCs w:val="0"/>
                <w:color w:val="auto"/>
                <w:sz w:val="24"/>
                <w:szCs w:val="24"/>
                <w:highlight w:val="none"/>
                <w:u w:val="none"/>
                <w:lang w:val="en-US" w:eastAsia="zh-CN"/>
              </w:rPr>
              <w:t>此工序主要产生装卸扬尘</w:t>
            </w:r>
            <w:r>
              <w:rPr>
                <w:rFonts w:hint="eastAsia" w:ascii="Times New Roman" w:hAnsi="Times New Roman" w:cs="Times New Roman"/>
                <w:b w:val="0"/>
                <w:bCs w:val="0"/>
                <w:color w:val="auto"/>
                <w:sz w:val="24"/>
                <w:szCs w:val="24"/>
                <w:highlight w:val="none"/>
                <w:u w:val="none"/>
                <w:lang w:val="en-US" w:eastAsia="zh-CN"/>
              </w:rPr>
              <w:t>和风蚀扬尘</w:t>
            </w:r>
            <w:r>
              <w:rPr>
                <w:rFonts w:hint="default" w:ascii="Times New Roman" w:hAnsi="Times New Roman" w:eastAsia="宋体" w:cs="Times New Roman"/>
                <w:b w:val="0"/>
                <w:bCs w:val="0"/>
                <w:color w:val="auto"/>
                <w:sz w:val="24"/>
                <w:szCs w:val="24"/>
                <w:highlight w:val="none"/>
                <w:u w:val="none"/>
                <w:lang w:val="en-US" w:eastAsia="zh-CN"/>
              </w:rPr>
              <w:t>（G</w:t>
            </w:r>
            <w:r>
              <w:rPr>
                <w:rFonts w:hint="eastAsia" w:ascii="Times New Roman" w:hAnsi="Times New Roman" w:cs="Times New Roman"/>
                <w:b w:val="0"/>
                <w:bCs w:val="0"/>
                <w:color w:val="auto"/>
                <w:sz w:val="24"/>
                <w:szCs w:val="24"/>
                <w:highlight w:val="none"/>
                <w:u w:val="none"/>
                <w:lang w:val="en-US" w:eastAsia="zh-CN"/>
              </w:rPr>
              <w:t>2</w:t>
            </w:r>
            <w:r>
              <w:rPr>
                <w:rFonts w:hint="default" w:ascii="Times New Roman" w:hAnsi="Times New Roman" w:eastAsia="宋体" w:cs="Times New Roman"/>
                <w:b w:val="0"/>
                <w:bCs w:val="0"/>
                <w:color w:val="auto"/>
                <w:sz w:val="24"/>
                <w:szCs w:val="24"/>
                <w:highlight w:val="none"/>
                <w:u w:val="none"/>
                <w:lang w:val="en-US" w:eastAsia="zh-CN"/>
              </w:rPr>
              <w:t>）。</w:t>
            </w:r>
          </w:p>
          <w:p w14:paraId="069C51E9">
            <w:pPr>
              <w:pStyle w:val="12"/>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0000FF"/>
                <w:sz w:val="24"/>
                <w:szCs w:val="24"/>
                <w:highlight w:val="none"/>
                <w:u w:val="none"/>
                <w:lang w:val="en-US" w:eastAsia="zh-CN"/>
              </w:rPr>
              <w:t>④</w:t>
            </w:r>
            <w:r>
              <w:rPr>
                <w:rFonts w:hint="eastAsia" w:ascii="Times New Roman" w:hAnsi="Times New Roman" w:cs="Times New Roman"/>
                <w:b w:val="0"/>
                <w:bCs w:val="0"/>
                <w:color w:val="0000FF"/>
                <w:sz w:val="24"/>
                <w:szCs w:val="24"/>
                <w:highlight w:val="none"/>
                <w:u w:val="none"/>
                <w:lang w:val="en-US" w:eastAsia="zh-CN"/>
              </w:rPr>
              <w:t>混合：煤炭在晾晒厂房晾晒将含水率降至5%以下后，</w:t>
            </w:r>
            <w:r>
              <w:rPr>
                <w:rFonts w:hint="eastAsia" w:ascii="Times New Roman" w:hAnsi="Times New Roman" w:cs="Times New Roman"/>
                <w:b w:val="0"/>
                <w:bCs w:val="0"/>
                <w:color w:val="auto"/>
                <w:sz w:val="24"/>
                <w:szCs w:val="24"/>
                <w:highlight w:val="none"/>
                <w:u w:val="none"/>
                <w:lang w:val="en-US" w:eastAsia="zh-CN"/>
              </w:rPr>
              <w:t>使用汽车将其运送至储煤仓库，分别将</w:t>
            </w:r>
            <w:r>
              <w:rPr>
                <w:rFonts w:hint="eastAsia" w:ascii="Times New Roman" w:hAnsi="Times New Roman" w:cs="Times New Roman"/>
                <w:b w:val="0"/>
                <w:bCs w:val="0"/>
                <w:kern w:val="2"/>
                <w:sz w:val="24"/>
                <w:szCs w:val="24"/>
                <w:highlight w:val="none"/>
                <w:vertAlign w:val="baseline"/>
                <w:lang w:val="en-US" w:eastAsia="zh-CN" w:bidi="ar-SA"/>
              </w:rPr>
              <w:t>寻甸县先锋镇姚家村煤矿有限公司和寻甸慧果能源开发有限公司的煤炭使用装载机按1：1的比例混合。</w:t>
            </w:r>
            <w:r>
              <w:rPr>
                <w:rFonts w:hint="default" w:ascii="Times New Roman" w:hAnsi="Times New Roman" w:eastAsia="宋体" w:cs="Times New Roman"/>
                <w:b w:val="0"/>
                <w:bCs w:val="0"/>
                <w:color w:val="auto"/>
                <w:sz w:val="24"/>
                <w:szCs w:val="24"/>
                <w:highlight w:val="none"/>
                <w:u w:val="none"/>
                <w:lang w:val="en-US" w:eastAsia="zh-CN"/>
              </w:rPr>
              <w:t>此工序主要产生</w:t>
            </w:r>
            <w:r>
              <w:rPr>
                <w:rFonts w:hint="eastAsia" w:ascii="Times New Roman" w:hAnsi="Times New Roman" w:cs="Times New Roman"/>
                <w:b w:val="0"/>
                <w:bCs w:val="0"/>
                <w:color w:val="auto"/>
                <w:sz w:val="24"/>
                <w:szCs w:val="24"/>
                <w:highlight w:val="none"/>
                <w:u w:val="none"/>
                <w:lang w:val="en-US" w:eastAsia="zh-CN"/>
              </w:rPr>
              <w:t>混料</w:t>
            </w:r>
            <w:r>
              <w:rPr>
                <w:rFonts w:hint="default" w:ascii="Times New Roman" w:hAnsi="Times New Roman" w:eastAsia="宋体" w:cs="Times New Roman"/>
                <w:b w:val="0"/>
                <w:bCs w:val="0"/>
                <w:color w:val="auto"/>
                <w:sz w:val="24"/>
                <w:szCs w:val="24"/>
                <w:highlight w:val="none"/>
                <w:u w:val="none"/>
                <w:lang w:val="en-US" w:eastAsia="zh-CN"/>
              </w:rPr>
              <w:t>扬尘（G</w:t>
            </w:r>
            <w:r>
              <w:rPr>
                <w:rFonts w:hint="eastAsia" w:ascii="Times New Roman" w:hAnsi="Times New Roman" w:cs="Times New Roman"/>
                <w:b w:val="0"/>
                <w:bCs w:val="0"/>
                <w:color w:val="auto"/>
                <w:sz w:val="24"/>
                <w:szCs w:val="24"/>
                <w:highlight w:val="none"/>
                <w:u w:val="none"/>
                <w:lang w:val="en-US" w:eastAsia="zh-CN"/>
              </w:rPr>
              <w:t>3</w:t>
            </w:r>
            <w:r>
              <w:rPr>
                <w:rFonts w:hint="default" w:ascii="Times New Roman" w:hAnsi="Times New Roman" w:eastAsia="宋体" w:cs="Times New Roman"/>
                <w:b w:val="0"/>
                <w:bCs w:val="0"/>
                <w:color w:val="auto"/>
                <w:sz w:val="24"/>
                <w:szCs w:val="24"/>
                <w:highlight w:val="none"/>
                <w:u w:val="none"/>
                <w:lang w:val="en-US" w:eastAsia="zh-CN"/>
              </w:rPr>
              <w:t>）。</w:t>
            </w:r>
          </w:p>
          <w:p w14:paraId="4485E969">
            <w:pPr>
              <w:pStyle w:val="12"/>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cs="Times New Roman"/>
                <w:b w:val="0"/>
                <w:bCs w:val="0"/>
                <w:color w:val="auto"/>
                <w:sz w:val="24"/>
                <w:szCs w:val="24"/>
                <w:highlight w:val="none"/>
                <w:u w:val="none"/>
                <w:lang w:val="en-US" w:eastAsia="zh-CN"/>
              </w:rPr>
            </w:pPr>
            <w:r>
              <w:rPr>
                <w:rFonts w:hint="eastAsia" w:ascii="Times New Roman" w:hAnsi="Times New Roman" w:cs="Times New Roman"/>
                <w:b w:val="0"/>
                <w:bCs w:val="0"/>
                <w:color w:val="auto"/>
                <w:sz w:val="24"/>
                <w:szCs w:val="24"/>
                <w:highlight w:val="none"/>
                <w:u w:val="none"/>
                <w:lang w:val="en-US" w:eastAsia="zh-CN"/>
              </w:rPr>
              <w:t>⑤</w:t>
            </w:r>
            <w:r>
              <w:rPr>
                <w:rFonts w:hint="default" w:ascii="Times New Roman" w:hAnsi="Times New Roman" w:eastAsia="宋体" w:cs="Times New Roman"/>
                <w:b w:val="0"/>
                <w:bCs w:val="0"/>
                <w:color w:val="auto"/>
                <w:sz w:val="24"/>
                <w:szCs w:val="24"/>
                <w:highlight w:val="none"/>
                <w:u w:val="none"/>
                <w:lang w:val="en-US" w:eastAsia="zh-CN"/>
              </w:rPr>
              <w:t>堆存：</w:t>
            </w:r>
            <w:r>
              <w:rPr>
                <w:rFonts w:hint="eastAsia" w:ascii="Times New Roman" w:hAnsi="Times New Roman" w:cs="Times New Roman"/>
                <w:b w:val="0"/>
                <w:bCs w:val="0"/>
                <w:kern w:val="2"/>
                <w:sz w:val="24"/>
                <w:szCs w:val="24"/>
                <w:highlight w:val="none"/>
                <w:vertAlign w:val="baseline"/>
                <w:lang w:val="en-US" w:eastAsia="zh-CN" w:bidi="ar-SA"/>
              </w:rPr>
              <w:t>使用装载机将混合后的煤炭</w:t>
            </w:r>
            <w:r>
              <w:rPr>
                <w:rFonts w:hint="eastAsia" w:ascii="Times New Roman" w:hAnsi="Times New Roman" w:cs="Times New Roman"/>
                <w:b w:val="0"/>
                <w:bCs w:val="0"/>
                <w:color w:val="auto"/>
                <w:sz w:val="24"/>
                <w:szCs w:val="24"/>
                <w:highlight w:val="none"/>
                <w:u w:val="none"/>
                <w:lang w:val="en-US" w:eastAsia="zh-CN"/>
              </w:rPr>
              <w:t>进行堆码</w:t>
            </w:r>
            <w:r>
              <w:rPr>
                <w:rFonts w:hint="default" w:ascii="Times New Roman" w:hAnsi="Times New Roman" w:eastAsia="宋体" w:cs="Times New Roman"/>
                <w:b w:val="0"/>
                <w:bCs w:val="0"/>
                <w:color w:val="auto"/>
                <w:sz w:val="24"/>
                <w:szCs w:val="24"/>
                <w:highlight w:val="none"/>
                <w:u w:val="none"/>
                <w:lang w:val="en-US" w:eastAsia="zh-CN"/>
              </w:rPr>
              <w:t>，</w:t>
            </w:r>
            <w:r>
              <w:rPr>
                <w:rFonts w:hint="eastAsia" w:ascii="Times New Roman" w:hAnsi="Times New Roman" w:cs="Times New Roman"/>
                <w:b w:val="0"/>
                <w:bCs w:val="0"/>
                <w:color w:val="auto"/>
                <w:sz w:val="24"/>
                <w:szCs w:val="24"/>
                <w:highlight w:val="none"/>
                <w:u w:val="none"/>
                <w:lang w:val="en-US" w:eastAsia="zh-CN"/>
              </w:rPr>
              <w:t>准备外售</w:t>
            </w:r>
            <w:r>
              <w:rPr>
                <w:rFonts w:hint="default" w:ascii="Times New Roman" w:hAnsi="Times New Roman" w:eastAsia="宋体" w:cs="Times New Roman"/>
                <w:b w:val="0"/>
                <w:bCs w:val="0"/>
                <w:color w:val="auto"/>
                <w:sz w:val="24"/>
                <w:szCs w:val="24"/>
                <w:highlight w:val="none"/>
                <w:u w:val="none"/>
                <w:lang w:val="en-US" w:eastAsia="zh-CN"/>
              </w:rPr>
              <w:t>。此工序主要产生装卸扬尘</w:t>
            </w:r>
            <w:r>
              <w:rPr>
                <w:rFonts w:hint="eastAsia" w:ascii="Times New Roman" w:hAnsi="Times New Roman" w:cs="Times New Roman"/>
                <w:b w:val="0"/>
                <w:bCs w:val="0"/>
                <w:color w:val="auto"/>
                <w:sz w:val="24"/>
                <w:szCs w:val="24"/>
                <w:highlight w:val="none"/>
                <w:u w:val="none"/>
                <w:lang w:val="en-US" w:eastAsia="zh-CN"/>
              </w:rPr>
              <w:t>和风蚀扬尘</w:t>
            </w:r>
            <w:r>
              <w:rPr>
                <w:rFonts w:hint="default" w:ascii="Times New Roman" w:hAnsi="Times New Roman" w:eastAsia="宋体" w:cs="Times New Roman"/>
                <w:b w:val="0"/>
                <w:bCs w:val="0"/>
                <w:color w:val="auto"/>
                <w:sz w:val="24"/>
                <w:szCs w:val="24"/>
                <w:highlight w:val="none"/>
                <w:u w:val="none"/>
                <w:lang w:val="en-US" w:eastAsia="zh-CN"/>
              </w:rPr>
              <w:t>（G</w:t>
            </w:r>
            <w:r>
              <w:rPr>
                <w:rFonts w:hint="eastAsia" w:ascii="Times New Roman" w:hAnsi="Times New Roman" w:cs="Times New Roman"/>
                <w:b w:val="0"/>
                <w:bCs w:val="0"/>
                <w:color w:val="auto"/>
                <w:sz w:val="24"/>
                <w:szCs w:val="24"/>
                <w:highlight w:val="none"/>
                <w:u w:val="none"/>
                <w:lang w:val="en-US" w:eastAsia="zh-CN"/>
              </w:rPr>
              <w:t>2</w:t>
            </w:r>
            <w:r>
              <w:rPr>
                <w:rFonts w:hint="default" w:ascii="Times New Roman" w:hAnsi="Times New Roman" w:eastAsia="宋体" w:cs="Times New Roman"/>
                <w:b w:val="0"/>
                <w:bCs w:val="0"/>
                <w:color w:val="auto"/>
                <w:sz w:val="24"/>
                <w:szCs w:val="24"/>
                <w:highlight w:val="none"/>
                <w:u w:val="none"/>
                <w:lang w:val="en-US" w:eastAsia="zh-CN"/>
              </w:rPr>
              <w:t>）。储煤大仓库为全封闭钢架结构，顶棚遮盖，只留进出口</w:t>
            </w:r>
            <w:r>
              <w:rPr>
                <w:rFonts w:hint="eastAsia" w:ascii="Times New Roman" w:hAnsi="Times New Roman" w:cs="Times New Roman"/>
                <w:b w:val="0"/>
                <w:bCs w:val="0"/>
                <w:color w:val="auto"/>
                <w:sz w:val="24"/>
                <w:szCs w:val="24"/>
                <w:highlight w:val="none"/>
                <w:u w:val="none"/>
                <w:lang w:val="en-US" w:eastAsia="zh-CN"/>
              </w:rPr>
              <w:t>。</w:t>
            </w:r>
          </w:p>
          <w:p w14:paraId="2633E11B">
            <w:pPr>
              <w:pStyle w:val="12"/>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eastAsia" w:ascii="Times New Roman" w:hAnsi="Times New Roman" w:cs="Times New Roman"/>
                <w:b w:val="0"/>
                <w:bCs w:val="0"/>
                <w:color w:val="auto"/>
                <w:sz w:val="24"/>
                <w:szCs w:val="24"/>
                <w:highlight w:val="none"/>
                <w:u w:val="none"/>
                <w:lang w:val="en-US" w:eastAsia="zh-CN"/>
              </w:rPr>
              <w:t>⑥</w:t>
            </w:r>
            <w:r>
              <w:rPr>
                <w:rFonts w:hint="default" w:ascii="Times New Roman" w:hAnsi="Times New Roman" w:eastAsia="宋体" w:cs="Times New Roman"/>
                <w:b w:val="0"/>
                <w:bCs w:val="0"/>
                <w:color w:val="auto"/>
                <w:sz w:val="24"/>
                <w:szCs w:val="24"/>
                <w:highlight w:val="none"/>
                <w:u w:val="none"/>
                <w:lang w:val="en-US" w:eastAsia="zh-CN"/>
              </w:rPr>
              <w:t>装煤：</w:t>
            </w:r>
            <w:r>
              <w:rPr>
                <w:rFonts w:hint="eastAsia" w:ascii="Times New Roman" w:hAnsi="Times New Roman" w:cs="Times New Roman"/>
                <w:b w:val="0"/>
                <w:bCs w:val="0"/>
                <w:color w:val="auto"/>
                <w:sz w:val="24"/>
                <w:szCs w:val="24"/>
                <w:highlight w:val="none"/>
                <w:u w:val="none"/>
                <w:lang w:val="en-US" w:eastAsia="zh-CN"/>
              </w:rPr>
              <w:t>外售煤炭</w:t>
            </w:r>
            <w:r>
              <w:rPr>
                <w:rFonts w:hint="default" w:ascii="Times New Roman" w:hAnsi="Times New Roman" w:eastAsia="宋体" w:cs="Times New Roman"/>
                <w:b w:val="0"/>
                <w:bCs w:val="0"/>
                <w:color w:val="auto"/>
                <w:sz w:val="24"/>
                <w:szCs w:val="24"/>
                <w:highlight w:val="none"/>
                <w:u w:val="none"/>
                <w:lang w:val="en-US" w:eastAsia="zh-CN"/>
              </w:rPr>
              <w:t>采用汽车运输，</w:t>
            </w:r>
            <w:r>
              <w:rPr>
                <w:rFonts w:hint="eastAsia" w:ascii="Times New Roman" w:hAnsi="Times New Roman" w:cs="Times New Roman"/>
                <w:b w:val="0"/>
                <w:bCs w:val="0"/>
                <w:color w:val="auto"/>
                <w:sz w:val="24"/>
                <w:szCs w:val="24"/>
                <w:highlight w:val="none"/>
                <w:u w:val="none"/>
                <w:lang w:val="en-US" w:eastAsia="zh-CN"/>
              </w:rPr>
              <w:t>按车次计量，无需地磅称重，</w:t>
            </w:r>
            <w:r>
              <w:rPr>
                <w:rFonts w:hint="default" w:ascii="Times New Roman" w:hAnsi="Times New Roman" w:eastAsia="宋体" w:cs="Times New Roman"/>
                <w:b w:val="0"/>
                <w:bCs w:val="0"/>
                <w:color w:val="auto"/>
                <w:sz w:val="24"/>
                <w:szCs w:val="24"/>
                <w:highlight w:val="none"/>
                <w:u w:val="none"/>
                <w:lang w:val="en-US" w:eastAsia="zh-CN"/>
              </w:rPr>
              <w:t>由装载机装车后通过厂区道路出厂。此工序主要产生装卸扬尘</w:t>
            </w:r>
            <w:r>
              <w:rPr>
                <w:rFonts w:hint="eastAsia" w:ascii="Times New Roman" w:hAnsi="Times New Roman" w:cs="Times New Roman"/>
                <w:b w:val="0"/>
                <w:bCs w:val="0"/>
                <w:color w:val="auto"/>
                <w:sz w:val="24"/>
                <w:szCs w:val="24"/>
                <w:highlight w:val="none"/>
                <w:u w:val="none"/>
                <w:lang w:val="en-US" w:eastAsia="zh-CN"/>
              </w:rPr>
              <w:t>和风蚀扬尘</w:t>
            </w:r>
            <w:r>
              <w:rPr>
                <w:rFonts w:hint="default" w:ascii="Times New Roman" w:hAnsi="Times New Roman" w:eastAsia="宋体" w:cs="Times New Roman"/>
                <w:b w:val="0"/>
                <w:bCs w:val="0"/>
                <w:color w:val="auto"/>
                <w:sz w:val="24"/>
                <w:szCs w:val="24"/>
                <w:highlight w:val="none"/>
                <w:u w:val="none"/>
                <w:lang w:val="en-US" w:eastAsia="zh-CN"/>
              </w:rPr>
              <w:t>（G</w:t>
            </w:r>
            <w:r>
              <w:rPr>
                <w:rFonts w:hint="eastAsia" w:ascii="Times New Roman" w:hAnsi="Times New Roman" w:cs="Times New Roman"/>
                <w:b w:val="0"/>
                <w:bCs w:val="0"/>
                <w:color w:val="auto"/>
                <w:sz w:val="24"/>
                <w:szCs w:val="24"/>
                <w:highlight w:val="none"/>
                <w:u w:val="none"/>
                <w:lang w:val="en-US" w:eastAsia="zh-CN"/>
              </w:rPr>
              <w:t>2</w:t>
            </w:r>
            <w:r>
              <w:rPr>
                <w:rFonts w:hint="default" w:ascii="Times New Roman" w:hAnsi="Times New Roman" w:eastAsia="宋体" w:cs="Times New Roman"/>
                <w:b w:val="0"/>
                <w:bCs w:val="0"/>
                <w:color w:val="auto"/>
                <w:sz w:val="24"/>
                <w:szCs w:val="24"/>
                <w:highlight w:val="none"/>
                <w:u w:val="none"/>
                <w:lang w:val="en-US" w:eastAsia="zh-CN"/>
              </w:rPr>
              <w:t>）。</w:t>
            </w:r>
          </w:p>
          <w:p w14:paraId="718670D8">
            <w:pPr>
              <w:pStyle w:val="12"/>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eastAsia" w:ascii="Times New Roman" w:hAnsi="Times New Roman" w:cs="Times New Roman"/>
                <w:b w:val="0"/>
                <w:bCs w:val="0"/>
                <w:color w:val="auto"/>
                <w:sz w:val="24"/>
                <w:szCs w:val="24"/>
                <w:highlight w:val="none"/>
                <w:u w:val="none"/>
                <w:lang w:val="en-US" w:eastAsia="zh-CN"/>
              </w:rPr>
              <w:t>⑦</w:t>
            </w:r>
            <w:r>
              <w:rPr>
                <w:rFonts w:hint="default" w:ascii="Times New Roman" w:hAnsi="Times New Roman" w:eastAsia="宋体" w:cs="Times New Roman"/>
                <w:b w:val="0"/>
                <w:bCs w:val="0"/>
                <w:color w:val="auto"/>
                <w:sz w:val="24"/>
                <w:szCs w:val="24"/>
                <w:highlight w:val="none"/>
                <w:u w:val="none"/>
                <w:lang w:val="en-US" w:eastAsia="zh-CN"/>
              </w:rPr>
              <w:t>出厂：运输车辆出厂时车身可能会携带部分煤炭，为防止运输过程车身上的煤炭掉落污染道路环境，本项目所有运输车辆出厂时均需</w:t>
            </w:r>
            <w:r>
              <w:rPr>
                <w:rFonts w:hint="eastAsia" w:ascii="Times New Roman" w:hAnsi="Times New Roman" w:cs="Times New Roman"/>
                <w:b w:val="0"/>
                <w:bCs w:val="0"/>
                <w:color w:val="auto"/>
                <w:sz w:val="24"/>
                <w:szCs w:val="24"/>
                <w:highlight w:val="none"/>
                <w:u w:val="none"/>
                <w:lang w:val="en-US" w:eastAsia="zh-CN"/>
              </w:rPr>
              <w:t>在过水池内</w:t>
            </w:r>
            <w:r>
              <w:rPr>
                <w:rFonts w:hint="default" w:ascii="Times New Roman" w:hAnsi="Times New Roman" w:eastAsia="宋体" w:cs="Times New Roman"/>
                <w:b w:val="0"/>
                <w:bCs w:val="0"/>
                <w:color w:val="auto"/>
                <w:sz w:val="24"/>
                <w:szCs w:val="24"/>
                <w:highlight w:val="none"/>
                <w:u w:val="none"/>
                <w:lang w:val="en-US" w:eastAsia="zh-CN"/>
              </w:rPr>
              <w:t>对车辆进行冲洗，冲洗产生的废水进入沉淀池处理</w:t>
            </w:r>
            <w:r>
              <w:rPr>
                <w:rFonts w:hint="eastAsia" w:ascii="Times New Roman" w:hAnsi="Times New Roman" w:cs="Times New Roman"/>
                <w:b w:val="0"/>
                <w:bCs w:val="0"/>
                <w:color w:val="auto"/>
                <w:sz w:val="24"/>
                <w:szCs w:val="24"/>
                <w:highlight w:val="none"/>
                <w:u w:val="none"/>
                <w:lang w:val="en-US" w:eastAsia="zh-CN"/>
              </w:rPr>
              <w:t>后回用</w:t>
            </w:r>
            <w:r>
              <w:rPr>
                <w:rFonts w:hint="default" w:ascii="Times New Roman" w:hAnsi="Times New Roman" w:eastAsia="宋体" w:cs="Times New Roman"/>
                <w:b w:val="0"/>
                <w:bCs w:val="0"/>
                <w:color w:val="auto"/>
                <w:sz w:val="24"/>
                <w:szCs w:val="24"/>
                <w:highlight w:val="none"/>
                <w:u w:val="none"/>
                <w:lang w:val="en-US" w:eastAsia="zh-CN"/>
              </w:rPr>
              <w:t>。此工序主要产生</w:t>
            </w:r>
            <w:r>
              <w:rPr>
                <w:rFonts w:hint="eastAsia" w:ascii="Times New Roman" w:hAnsi="Times New Roman" w:cs="Times New Roman"/>
                <w:b w:val="0"/>
                <w:bCs w:val="0"/>
                <w:color w:val="auto"/>
                <w:sz w:val="24"/>
                <w:szCs w:val="24"/>
                <w:highlight w:val="none"/>
                <w:u w:val="none"/>
                <w:lang w:val="en-US" w:eastAsia="zh-CN"/>
              </w:rPr>
              <w:t>及车辆运输扬尘</w:t>
            </w:r>
            <w:r>
              <w:rPr>
                <w:rFonts w:hint="default" w:ascii="Times New Roman" w:hAnsi="Times New Roman" w:eastAsia="宋体" w:cs="Times New Roman"/>
                <w:b w:val="0"/>
                <w:bCs w:val="0"/>
                <w:color w:val="auto"/>
                <w:sz w:val="24"/>
                <w:szCs w:val="24"/>
                <w:highlight w:val="none"/>
                <w:u w:val="none"/>
                <w:lang w:val="en-US" w:eastAsia="zh-CN"/>
              </w:rPr>
              <w:t>（G1）</w:t>
            </w:r>
            <w:r>
              <w:rPr>
                <w:rFonts w:hint="eastAsia" w:ascii="Times New Roman" w:hAnsi="Times New Roman" w:cs="Times New Roman"/>
                <w:b w:val="0"/>
                <w:bCs w:val="0"/>
                <w:color w:val="auto"/>
                <w:sz w:val="24"/>
                <w:szCs w:val="24"/>
                <w:highlight w:val="none"/>
                <w:u w:val="none"/>
                <w:lang w:val="en-US" w:eastAsia="zh-CN"/>
              </w:rPr>
              <w:t>和</w:t>
            </w:r>
            <w:r>
              <w:rPr>
                <w:rFonts w:hint="default" w:ascii="Times New Roman" w:hAnsi="Times New Roman" w:eastAsia="宋体" w:cs="Times New Roman"/>
                <w:b w:val="0"/>
                <w:bCs w:val="0"/>
                <w:color w:val="auto"/>
                <w:sz w:val="24"/>
                <w:szCs w:val="24"/>
                <w:highlight w:val="none"/>
                <w:u w:val="none"/>
                <w:lang w:val="en-US" w:eastAsia="zh-CN"/>
              </w:rPr>
              <w:t>车辆冲洗废水（W1）。</w:t>
            </w:r>
          </w:p>
          <w:p w14:paraId="0551B903">
            <w:pPr>
              <w:rPr>
                <w:rFonts w:hint="default" w:ascii="Times New Roman" w:hAnsi="Times New Roman" w:cs="Times New Roman"/>
                <w:b/>
                <w:bCs/>
                <w:color w:val="auto"/>
                <w:u w:val="none"/>
                <w:lang w:val="en-US" w:eastAsia="zh-CN"/>
              </w:rPr>
            </w:pPr>
            <w:r>
              <w:rPr>
                <w:rFonts w:hint="default" w:ascii="Times New Roman" w:hAnsi="Times New Roman" w:cs="Times New Roman"/>
                <w:b/>
                <w:bCs/>
                <w:color w:val="auto"/>
                <w:u w:val="none"/>
                <w:lang w:val="en-US" w:eastAsia="zh-CN"/>
              </w:rPr>
              <w:t>2、产污环节</w:t>
            </w:r>
          </w:p>
          <w:p w14:paraId="2E9B7BAF">
            <w:pPr>
              <w:pStyle w:val="37"/>
              <w:bidi w:val="0"/>
              <w:rPr>
                <w:rFonts w:hint="default" w:ascii="Times New Roman" w:hAnsi="Times New Roman" w:cs="Times New Roman"/>
                <w:strike w:val="0"/>
                <w:dstrike w:val="0"/>
                <w:color w:val="auto"/>
                <w:highlight w:val="yellow"/>
                <w:u w:val="none"/>
                <w:lang w:val="en-US" w:eastAsia="zh-CN"/>
              </w:rPr>
            </w:pPr>
            <w:r>
              <w:rPr>
                <w:rFonts w:hint="default" w:ascii="Times New Roman" w:hAnsi="Times New Roman" w:cs="Times New Roman"/>
                <w:strike w:val="0"/>
                <w:dstrike w:val="0"/>
                <w:color w:val="auto"/>
                <w:u w:val="none"/>
                <w:lang w:val="en-US" w:eastAsia="zh-CN"/>
              </w:rPr>
              <w:t>本项目运营期产物情</w:t>
            </w:r>
            <w:r>
              <w:rPr>
                <w:rFonts w:hint="default" w:ascii="Times New Roman" w:hAnsi="Times New Roman" w:cs="Times New Roman"/>
                <w:strike w:val="0"/>
                <w:dstrike w:val="0"/>
                <w:color w:val="auto"/>
                <w:highlight w:val="none"/>
                <w:u w:val="none"/>
                <w:lang w:val="en-US" w:eastAsia="zh-CN"/>
              </w:rPr>
              <w:t>况见表2-7：</w:t>
            </w:r>
          </w:p>
          <w:p w14:paraId="7D995E8D">
            <w:pPr>
              <w:pStyle w:val="29"/>
              <w:bidi w:val="0"/>
              <w:rPr>
                <w:rFonts w:hint="default" w:ascii="Times New Roman" w:hAnsi="Times New Roman" w:eastAsia="宋体" w:cs="Times New Roman"/>
                <w:b/>
                <w:bCs/>
                <w:color w:val="auto"/>
                <w:highlight w:val="yellow"/>
                <w:u w:val="none"/>
                <w:lang w:val="en-US" w:eastAsia="zh-CN"/>
              </w:rPr>
            </w:pPr>
            <w:r>
              <w:rPr>
                <w:rFonts w:hint="default" w:ascii="Times New Roman" w:hAnsi="Times New Roman" w:eastAsia="宋体" w:cs="Times New Roman"/>
                <w:b/>
                <w:bCs/>
                <w:color w:val="auto"/>
                <w:highlight w:val="none"/>
                <w:u w:val="none"/>
                <w:lang w:val="en-US" w:eastAsia="zh-CN"/>
              </w:rPr>
              <w:t>表2-7  运营期产物情况一览表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898"/>
              <w:gridCol w:w="1367"/>
              <w:gridCol w:w="1799"/>
              <w:gridCol w:w="2665"/>
            </w:tblGrid>
            <w:tr w14:paraId="2DB17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493" w:type="pct"/>
                  <w:tcBorders>
                    <w:tl2br w:val="nil"/>
                    <w:tr2bl w:val="nil"/>
                  </w:tcBorders>
                  <w:vAlign w:val="center"/>
                </w:tcPr>
                <w:p w14:paraId="03E97A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trike w:val="0"/>
                      <w:dstrike w:val="0"/>
                      <w:color w:val="auto"/>
                      <w:kern w:val="2"/>
                      <w:sz w:val="21"/>
                      <w:szCs w:val="21"/>
                      <w:u w:val="none"/>
                      <w:lang w:val="en-US" w:eastAsia="zh-CN" w:bidi="ar-SA"/>
                    </w:rPr>
                  </w:pPr>
                  <w:r>
                    <w:rPr>
                      <w:rFonts w:hint="default" w:ascii="Times New Roman" w:hAnsi="Times New Roman" w:eastAsia="宋体" w:cs="Times New Roman"/>
                      <w:b/>
                      <w:bCs w:val="0"/>
                      <w:strike w:val="0"/>
                      <w:dstrike w:val="0"/>
                      <w:color w:val="auto"/>
                      <w:sz w:val="21"/>
                      <w:szCs w:val="21"/>
                      <w:u w:val="none"/>
                    </w:rPr>
                    <w:t>污染类型</w:t>
                  </w:r>
                </w:p>
              </w:tc>
              <w:tc>
                <w:tcPr>
                  <w:tcW w:w="601" w:type="pct"/>
                  <w:tcBorders>
                    <w:tl2br w:val="nil"/>
                    <w:tr2bl w:val="nil"/>
                  </w:tcBorders>
                  <w:vAlign w:val="center"/>
                </w:tcPr>
                <w:p w14:paraId="519EC1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trike w:val="0"/>
                      <w:dstrike w:val="0"/>
                      <w:color w:val="auto"/>
                      <w:kern w:val="2"/>
                      <w:sz w:val="21"/>
                      <w:szCs w:val="21"/>
                      <w:u w:val="none"/>
                      <w:lang w:val="en-US" w:eastAsia="zh-CN" w:bidi="ar-SA"/>
                    </w:rPr>
                  </w:pPr>
                  <w:r>
                    <w:rPr>
                      <w:rFonts w:hint="default" w:ascii="Times New Roman" w:hAnsi="Times New Roman" w:eastAsia="宋体" w:cs="Times New Roman"/>
                      <w:b/>
                      <w:bCs w:val="0"/>
                      <w:strike w:val="0"/>
                      <w:dstrike w:val="0"/>
                      <w:color w:val="auto"/>
                      <w:sz w:val="21"/>
                      <w:szCs w:val="21"/>
                      <w:u w:val="none"/>
                      <w:lang w:val="en-US" w:eastAsia="zh-CN"/>
                    </w:rPr>
                    <w:t>生产工序</w:t>
                  </w:r>
                </w:p>
              </w:tc>
              <w:tc>
                <w:tcPr>
                  <w:tcW w:w="915" w:type="pct"/>
                  <w:tcBorders>
                    <w:tl2br w:val="nil"/>
                    <w:tr2bl w:val="nil"/>
                  </w:tcBorders>
                  <w:vAlign w:val="center"/>
                </w:tcPr>
                <w:p w14:paraId="138393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trike w:val="0"/>
                      <w:dstrike w:val="0"/>
                      <w:color w:val="auto"/>
                      <w:kern w:val="2"/>
                      <w:sz w:val="21"/>
                      <w:szCs w:val="21"/>
                      <w:u w:val="none"/>
                      <w:lang w:val="en-US" w:eastAsia="zh-CN" w:bidi="ar-SA"/>
                    </w:rPr>
                  </w:pPr>
                  <w:r>
                    <w:rPr>
                      <w:rFonts w:hint="default" w:ascii="Times New Roman" w:hAnsi="Times New Roman" w:eastAsia="宋体" w:cs="Times New Roman"/>
                      <w:b/>
                      <w:bCs w:val="0"/>
                      <w:strike w:val="0"/>
                      <w:dstrike w:val="0"/>
                      <w:color w:val="auto"/>
                      <w:sz w:val="21"/>
                      <w:szCs w:val="21"/>
                      <w:u w:val="none"/>
                      <w:lang w:val="en-US" w:eastAsia="zh-CN"/>
                    </w:rPr>
                    <w:t>名称</w:t>
                  </w:r>
                </w:p>
              </w:tc>
              <w:tc>
                <w:tcPr>
                  <w:tcW w:w="1204" w:type="pct"/>
                  <w:tcBorders>
                    <w:tl2br w:val="nil"/>
                    <w:tr2bl w:val="nil"/>
                  </w:tcBorders>
                  <w:vAlign w:val="center"/>
                </w:tcPr>
                <w:p w14:paraId="15305C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trike w:val="0"/>
                      <w:dstrike w:val="0"/>
                      <w:color w:val="auto"/>
                      <w:kern w:val="2"/>
                      <w:sz w:val="21"/>
                      <w:szCs w:val="21"/>
                      <w:u w:val="none"/>
                      <w:lang w:val="en-US" w:eastAsia="zh-CN" w:bidi="ar-SA"/>
                    </w:rPr>
                  </w:pPr>
                  <w:r>
                    <w:rPr>
                      <w:rFonts w:hint="default" w:ascii="Times New Roman" w:hAnsi="Times New Roman" w:eastAsia="宋体" w:cs="Times New Roman"/>
                      <w:b/>
                      <w:bCs w:val="0"/>
                      <w:strike w:val="0"/>
                      <w:dstrike w:val="0"/>
                      <w:color w:val="auto"/>
                      <w:sz w:val="21"/>
                      <w:szCs w:val="21"/>
                      <w:u w:val="none"/>
                      <w:lang w:val="en-US" w:eastAsia="zh-CN"/>
                    </w:rPr>
                    <w:t>主要污染物</w:t>
                  </w:r>
                </w:p>
              </w:tc>
              <w:tc>
                <w:tcPr>
                  <w:tcW w:w="1784" w:type="pct"/>
                  <w:tcBorders>
                    <w:tl2br w:val="nil"/>
                    <w:tr2bl w:val="nil"/>
                  </w:tcBorders>
                  <w:vAlign w:val="center"/>
                </w:tcPr>
                <w:p w14:paraId="4284B9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trike w:val="0"/>
                      <w:dstrike w:val="0"/>
                      <w:color w:val="auto"/>
                      <w:kern w:val="2"/>
                      <w:sz w:val="21"/>
                      <w:szCs w:val="21"/>
                      <w:u w:val="none"/>
                      <w:lang w:val="en-US" w:eastAsia="zh-CN" w:bidi="ar-SA"/>
                    </w:rPr>
                  </w:pPr>
                  <w:r>
                    <w:rPr>
                      <w:rFonts w:hint="default" w:ascii="Times New Roman" w:hAnsi="Times New Roman" w:eastAsia="宋体" w:cs="Times New Roman"/>
                      <w:b/>
                      <w:bCs w:val="0"/>
                      <w:strike w:val="0"/>
                      <w:dstrike w:val="0"/>
                      <w:color w:val="auto"/>
                      <w:sz w:val="21"/>
                      <w:szCs w:val="21"/>
                      <w:u w:val="none"/>
                    </w:rPr>
                    <w:t>处理/处置措施</w:t>
                  </w:r>
                </w:p>
              </w:tc>
            </w:tr>
            <w:tr w14:paraId="2AEC8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restart"/>
                  <w:tcBorders>
                    <w:tl2br w:val="nil"/>
                    <w:tr2bl w:val="nil"/>
                  </w:tcBorders>
                  <w:vAlign w:val="center"/>
                </w:tcPr>
                <w:p w14:paraId="5636C48B">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废气</w:t>
                  </w:r>
                </w:p>
              </w:tc>
              <w:tc>
                <w:tcPr>
                  <w:tcW w:w="601" w:type="pct"/>
                  <w:tcBorders>
                    <w:tl2br w:val="nil"/>
                    <w:tr2bl w:val="nil"/>
                  </w:tcBorders>
                  <w:vAlign w:val="center"/>
                </w:tcPr>
                <w:p w14:paraId="4DB4FFED">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0000FF"/>
                      <w:sz w:val="21"/>
                      <w:u w:val="none"/>
                      <w:vertAlign w:val="baseline"/>
                      <w:lang w:val="en-US" w:eastAsia="zh-CN"/>
                    </w:rPr>
                    <w:t>卸料、堆存、</w:t>
                  </w:r>
                  <w:r>
                    <w:rPr>
                      <w:rFonts w:hint="eastAsia" w:ascii="Times New Roman" w:hAnsi="Times New Roman" w:eastAsia="宋体" w:cs="Times New Roman"/>
                      <w:b w:val="0"/>
                      <w:bCs/>
                      <w:color w:val="0000FF"/>
                      <w:sz w:val="21"/>
                      <w:u w:val="none"/>
                      <w:vertAlign w:val="baseline"/>
                      <w:lang w:val="en-US" w:eastAsia="zh-CN"/>
                    </w:rPr>
                    <w:t>混料、</w:t>
                  </w:r>
                  <w:r>
                    <w:rPr>
                      <w:rFonts w:hint="default" w:ascii="Times New Roman" w:hAnsi="Times New Roman" w:eastAsia="宋体" w:cs="Times New Roman"/>
                      <w:b w:val="0"/>
                      <w:bCs/>
                      <w:color w:val="0000FF"/>
                      <w:sz w:val="21"/>
                      <w:u w:val="none"/>
                      <w:vertAlign w:val="baseline"/>
                      <w:lang w:val="en-US" w:eastAsia="zh-CN"/>
                    </w:rPr>
                    <w:t>装煤</w:t>
                  </w:r>
                </w:p>
              </w:tc>
              <w:tc>
                <w:tcPr>
                  <w:tcW w:w="915" w:type="pct"/>
                  <w:tcBorders>
                    <w:tl2br w:val="nil"/>
                    <w:tr2bl w:val="nil"/>
                  </w:tcBorders>
                  <w:vAlign w:val="center"/>
                </w:tcPr>
                <w:p w14:paraId="0A054978">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堆放、装卸扬尘</w:t>
                  </w:r>
                </w:p>
              </w:tc>
              <w:tc>
                <w:tcPr>
                  <w:tcW w:w="1204" w:type="pct"/>
                  <w:tcBorders>
                    <w:tl2br w:val="nil"/>
                    <w:tr2bl w:val="nil"/>
                  </w:tcBorders>
                  <w:vAlign w:val="center"/>
                </w:tcPr>
                <w:p w14:paraId="00E9A93D">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颗粒物</w:t>
                  </w:r>
                </w:p>
              </w:tc>
              <w:tc>
                <w:tcPr>
                  <w:tcW w:w="1784" w:type="pct"/>
                  <w:tcBorders>
                    <w:tl2br w:val="nil"/>
                    <w:tr2bl w:val="nil"/>
                  </w:tcBorders>
                  <w:vAlign w:val="center"/>
                </w:tcPr>
                <w:p w14:paraId="7E1F32BB">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厂房密闭</w:t>
                  </w:r>
                </w:p>
              </w:tc>
            </w:tr>
            <w:tr w14:paraId="4FD88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continue"/>
                  <w:tcBorders>
                    <w:tl2br w:val="nil"/>
                    <w:tr2bl w:val="nil"/>
                  </w:tcBorders>
                  <w:vAlign w:val="center"/>
                </w:tcPr>
                <w:p w14:paraId="362159B9">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color w:val="auto"/>
                      <w:sz w:val="21"/>
                      <w:u w:val="none"/>
                      <w:vertAlign w:val="baseline"/>
                      <w:lang w:val="en-US" w:eastAsia="zh-CN"/>
                    </w:rPr>
                  </w:pPr>
                </w:p>
              </w:tc>
              <w:tc>
                <w:tcPr>
                  <w:tcW w:w="601" w:type="pct"/>
                  <w:tcBorders>
                    <w:tl2br w:val="nil"/>
                    <w:tr2bl w:val="nil"/>
                  </w:tcBorders>
                  <w:vAlign w:val="center"/>
                </w:tcPr>
                <w:p w14:paraId="777F9528">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车辆行驶</w:t>
                  </w:r>
                </w:p>
              </w:tc>
              <w:tc>
                <w:tcPr>
                  <w:tcW w:w="915" w:type="pct"/>
                  <w:tcBorders>
                    <w:tl2br w:val="nil"/>
                    <w:tr2bl w:val="nil"/>
                  </w:tcBorders>
                  <w:vAlign w:val="center"/>
                </w:tcPr>
                <w:p w14:paraId="7634813C">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车辆行驶动力扬尘</w:t>
                  </w:r>
                </w:p>
              </w:tc>
              <w:tc>
                <w:tcPr>
                  <w:tcW w:w="1204" w:type="pct"/>
                  <w:tcBorders>
                    <w:tl2br w:val="nil"/>
                    <w:tr2bl w:val="nil"/>
                  </w:tcBorders>
                  <w:vAlign w:val="center"/>
                </w:tcPr>
                <w:p w14:paraId="6C9A4FCF">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颗粒物</w:t>
                  </w:r>
                </w:p>
              </w:tc>
              <w:tc>
                <w:tcPr>
                  <w:tcW w:w="1784" w:type="pct"/>
                  <w:tcBorders>
                    <w:tl2br w:val="nil"/>
                    <w:tr2bl w:val="nil"/>
                  </w:tcBorders>
                  <w:vAlign w:val="center"/>
                </w:tcPr>
                <w:p w14:paraId="1B257416">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篷布遮盖密闭运输、洒水降尘</w:t>
                  </w:r>
                </w:p>
              </w:tc>
            </w:tr>
            <w:tr w14:paraId="34D7F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93" w:type="pct"/>
                  <w:vMerge w:val="restart"/>
                  <w:tcBorders>
                    <w:tl2br w:val="nil"/>
                    <w:tr2bl w:val="nil"/>
                  </w:tcBorders>
                  <w:vAlign w:val="center"/>
                </w:tcPr>
                <w:p w14:paraId="0E2E419E">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废水</w:t>
                  </w:r>
                </w:p>
              </w:tc>
              <w:tc>
                <w:tcPr>
                  <w:tcW w:w="601" w:type="pct"/>
                  <w:tcBorders>
                    <w:tl2br w:val="nil"/>
                    <w:tr2bl w:val="nil"/>
                  </w:tcBorders>
                  <w:vAlign w:val="center"/>
                </w:tcPr>
                <w:p w14:paraId="4307B2ED">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出厂</w:t>
                  </w:r>
                </w:p>
              </w:tc>
              <w:tc>
                <w:tcPr>
                  <w:tcW w:w="915" w:type="pct"/>
                  <w:tcBorders>
                    <w:tl2br w:val="nil"/>
                    <w:tr2bl w:val="nil"/>
                  </w:tcBorders>
                  <w:vAlign w:val="center"/>
                </w:tcPr>
                <w:p w14:paraId="49843CEA">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车辆冲洗废水</w:t>
                  </w:r>
                </w:p>
              </w:tc>
              <w:tc>
                <w:tcPr>
                  <w:tcW w:w="1204" w:type="pct"/>
                  <w:tcBorders>
                    <w:tl2br w:val="nil"/>
                    <w:tr2bl w:val="nil"/>
                  </w:tcBorders>
                  <w:vAlign w:val="center"/>
                </w:tcPr>
                <w:p w14:paraId="2AA691BC">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pacing w:val="11"/>
                      <w:sz w:val="21"/>
                      <w:u w:val="none"/>
                      <w:vertAlign w:val="baseline"/>
                      <w:lang w:val="en-US" w:eastAsia="zh-CN"/>
                    </w:rPr>
                  </w:pPr>
                  <w:r>
                    <w:rPr>
                      <w:rFonts w:hint="default" w:ascii="Times New Roman" w:hAnsi="Times New Roman" w:eastAsia="宋体" w:cs="Times New Roman"/>
                      <w:b w:val="0"/>
                      <w:bCs/>
                      <w:color w:val="auto"/>
                      <w:spacing w:val="11"/>
                      <w:sz w:val="21"/>
                      <w:u w:val="none"/>
                      <w:vertAlign w:val="baseline"/>
                      <w:lang w:val="en-US" w:eastAsia="zh-CN"/>
                    </w:rPr>
                    <w:t>SS</w:t>
                  </w:r>
                </w:p>
              </w:tc>
              <w:tc>
                <w:tcPr>
                  <w:tcW w:w="1784" w:type="pct"/>
                  <w:tcBorders>
                    <w:tl2br w:val="nil"/>
                    <w:tr2bl w:val="nil"/>
                  </w:tcBorders>
                  <w:vAlign w:val="center"/>
                </w:tcPr>
                <w:p w14:paraId="6AD871E6">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沉淀池</w:t>
                  </w:r>
                </w:p>
              </w:tc>
            </w:tr>
            <w:tr w14:paraId="195A6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continue"/>
                  <w:tcBorders>
                    <w:tl2br w:val="nil"/>
                    <w:tr2bl w:val="nil"/>
                  </w:tcBorders>
                  <w:vAlign w:val="center"/>
                </w:tcPr>
                <w:p w14:paraId="36D38291">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color w:val="auto"/>
                      <w:sz w:val="21"/>
                      <w:u w:val="none"/>
                      <w:vertAlign w:val="baseline"/>
                      <w:lang w:val="en-US" w:eastAsia="zh-CN"/>
                    </w:rPr>
                  </w:pPr>
                </w:p>
              </w:tc>
              <w:tc>
                <w:tcPr>
                  <w:tcW w:w="601" w:type="pct"/>
                  <w:tcBorders>
                    <w:tl2br w:val="nil"/>
                    <w:tr2bl w:val="nil"/>
                  </w:tcBorders>
                  <w:vAlign w:val="center"/>
                </w:tcPr>
                <w:p w14:paraId="09A4E257">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员工生活</w:t>
                  </w:r>
                </w:p>
              </w:tc>
              <w:tc>
                <w:tcPr>
                  <w:tcW w:w="915" w:type="pct"/>
                  <w:tcBorders>
                    <w:tl2br w:val="nil"/>
                    <w:tr2bl w:val="nil"/>
                  </w:tcBorders>
                  <w:vAlign w:val="center"/>
                </w:tcPr>
                <w:p w14:paraId="1731839E">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生活污水</w:t>
                  </w:r>
                </w:p>
              </w:tc>
              <w:tc>
                <w:tcPr>
                  <w:tcW w:w="1204" w:type="pct"/>
                  <w:tcBorders>
                    <w:tl2br w:val="nil"/>
                    <w:tr2bl w:val="nil"/>
                  </w:tcBorders>
                  <w:vAlign w:val="center"/>
                </w:tcPr>
                <w:p w14:paraId="2220B2CA">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pacing w:val="11"/>
                      <w:sz w:val="21"/>
                      <w:u w:val="none"/>
                      <w:vertAlign w:val="baseline"/>
                      <w:lang w:val="en-US" w:eastAsia="zh-CN"/>
                    </w:rPr>
                  </w:pPr>
                  <w:r>
                    <w:rPr>
                      <w:rFonts w:hint="default" w:ascii="Times New Roman" w:hAnsi="Times New Roman" w:eastAsia="宋体" w:cs="Times New Roman"/>
                      <w:b w:val="0"/>
                      <w:bCs/>
                      <w:color w:val="auto"/>
                      <w:spacing w:val="11"/>
                      <w:sz w:val="21"/>
                      <w:u w:val="none"/>
                      <w:vertAlign w:val="baseline"/>
                      <w:lang w:val="en-US" w:eastAsia="zh-CN"/>
                    </w:rPr>
                    <w:t>COD、NH</w:t>
                  </w:r>
                  <w:r>
                    <w:rPr>
                      <w:rFonts w:hint="default" w:ascii="Times New Roman" w:hAnsi="Times New Roman" w:eastAsia="宋体" w:cs="Times New Roman"/>
                      <w:b w:val="0"/>
                      <w:bCs/>
                      <w:color w:val="auto"/>
                      <w:spacing w:val="11"/>
                      <w:sz w:val="21"/>
                      <w:u w:val="none"/>
                      <w:vertAlign w:val="subscript"/>
                      <w:lang w:val="en-US" w:eastAsia="zh-CN"/>
                    </w:rPr>
                    <w:t>3</w:t>
                  </w:r>
                  <w:r>
                    <w:rPr>
                      <w:rFonts w:hint="default" w:ascii="Times New Roman" w:hAnsi="Times New Roman" w:eastAsia="宋体" w:cs="Times New Roman"/>
                      <w:b w:val="0"/>
                      <w:bCs/>
                      <w:color w:val="auto"/>
                      <w:spacing w:val="11"/>
                      <w:sz w:val="21"/>
                      <w:u w:val="none"/>
                      <w:vertAlign w:val="baseline"/>
                      <w:lang w:val="en-US" w:eastAsia="zh-CN"/>
                    </w:rPr>
                    <w:t>-N、BOD</w:t>
                  </w:r>
                  <w:r>
                    <w:rPr>
                      <w:rFonts w:hint="default" w:ascii="Times New Roman" w:hAnsi="Times New Roman" w:eastAsia="宋体" w:cs="Times New Roman"/>
                      <w:b w:val="0"/>
                      <w:bCs/>
                      <w:color w:val="auto"/>
                      <w:spacing w:val="11"/>
                      <w:sz w:val="21"/>
                      <w:u w:val="none"/>
                      <w:vertAlign w:val="subscript"/>
                      <w:lang w:val="en-US" w:eastAsia="zh-CN"/>
                    </w:rPr>
                    <w:t>5</w:t>
                  </w:r>
                  <w:r>
                    <w:rPr>
                      <w:rFonts w:hint="default" w:ascii="Times New Roman" w:hAnsi="Times New Roman" w:eastAsia="宋体" w:cs="Times New Roman"/>
                      <w:b w:val="0"/>
                      <w:bCs/>
                      <w:color w:val="auto"/>
                      <w:spacing w:val="11"/>
                      <w:sz w:val="21"/>
                      <w:u w:val="none"/>
                      <w:vertAlign w:val="baseline"/>
                      <w:lang w:val="en-US" w:eastAsia="zh-CN"/>
                    </w:rPr>
                    <w:t>、SS、动植物油、总氮、总磷</w:t>
                  </w:r>
                </w:p>
              </w:tc>
              <w:tc>
                <w:tcPr>
                  <w:tcW w:w="1784" w:type="pct"/>
                  <w:tcBorders>
                    <w:tl2br w:val="nil"/>
                    <w:tr2bl w:val="nil"/>
                  </w:tcBorders>
                  <w:vAlign w:val="center"/>
                </w:tcPr>
                <w:p w14:paraId="0F8E2E49">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eastAsia" w:ascii="宋体" w:hAnsi="宋体" w:eastAsia="宋体" w:cs="宋体"/>
                      <w:b w:val="0"/>
                      <w:bCs w:val="0"/>
                      <w:color w:val="0000FF"/>
                      <w:sz w:val="21"/>
                      <w:szCs w:val="21"/>
                      <w:highlight w:val="none"/>
                      <w:lang w:val="en-US" w:eastAsia="zh-CN"/>
                    </w:rPr>
                    <w:t>生活污水经化粪池预处理后经项目一体化污水处理设备处理后回用于项目生活区洒水降尘，不外排</w:t>
                  </w:r>
                </w:p>
              </w:tc>
            </w:tr>
            <w:tr w14:paraId="792B1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continue"/>
                  <w:tcBorders>
                    <w:tl2br w:val="nil"/>
                    <w:tr2bl w:val="nil"/>
                  </w:tcBorders>
                  <w:vAlign w:val="center"/>
                </w:tcPr>
                <w:p w14:paraId="79798F95">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color w:val="auto"/>
                      <w:sz w:val="21"/>
                      <w:u w:val="none"/>
                      <w:vertAlign w:val="baseline"/>
                      <w:lang w:val="en-US" w:eastAsia="zh-CN"/>
                    </w:rPr>
                  </w:pPr>
                </w:p>
              </w:tc>
              <w:tc>
                <w:tcPr>
                  <w:tcW w:w="601" w:type="pct"/>
                  <w:tcBorders>
                    <w:tl2br w:val="nil"/>
                    <w:tr2bl w:val="nil"/>
                  </w:tcBorders>
                  <w:vAlign w:val="center"/>
                </w:tcPr>
                <w:p w14:paraId="06A8079D">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eastAsia" w:ascii="Times New Roman" w:hAnsi="Times New Roman" w:eastAsia="宋体" w:cs="Times New Roman"/>
                      <w:b w:val="0"/>
                      <w:bCs/>
                      <w:color w:val="auto"/>
                      <w:sz w:val="21"/>
                      <w:u w:val="none"/>
                      <w:vertAlign w:val="baseline"/>
                      <w:lang w:val="en-US" w:eastAsia="zh-CN"/>
                    </w:rPr>
                    <w:t>雨水</w:t>
                  </w:r>
                </w:p>
              </w:tc>
              <w:tc>
                <w:tcPr>
                  <w:tcW w:w="915" w:type="pct"/>
                  <w:tcBorders>
                    <w:tl2br w:val="nil"/>
                    <w:tr2bl w:val="nil"/>
                  </w:tcBorders>
                  <w:vAlign w:val="center"/>
                </w:tcPr>
                <w:p w14:paraId="3293D0F2">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eastAsia" w:ascii="Times New Roman" w:hAnsi="Times New Roman" w:eastAsia="宋体" w:cs="Times New Roman"/>
                      <w:b w:val="0"/>
                      <w:bCs/>
                      <w:color w:val="auto"/>
                      <w:sz w:val="21"/>
                      <w:u w:val="none"/>
                      <w:vertAlign w:val="baseline"/>
                      <w:lang w:val="en-US" w:eastAsia="zh-CN"/>
                    </w:rPr>
                    <w:t>初期雨水</w:t>
                  </w:r>
                </w:p>
              </w:tc>
              <w:tc>
                <w:tcPr>
                  <w:tcW w:w="1204" w:type="pct"/>
                  <w:tcBorders>
                    <w:tl2br w:val="nil"/>
                    <w:tr2bl w:val="nil"/>
                  </w:tcBorders>
                  <w:vAlign w:val="center"/>
                </w:tcPr>
                <w:p w14:paraId="7539DB08">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pacing w:val="11"/>
                      <w:sz w:val="21"/>
                      <w:u w:val="none"/>
                      <w:vertAlign w:val="baseline"/>
                      <w:lang w:val="en-US" w:eastAsia="zh-CN"/>
                    </w:rPr>
                  </w:pPr>
                  <w:r>
                    <w:rPr>
                      <w:rFonts w:hint="default" w:ascii="Times New Roman" w:hAnsi="Times New Roman" w:eastAsia="宋体" w:cs="Times New Roman"/>
                      <w:b w:val="0"/>
                      <w:bCs/>
                      <w:color w:val="auto"/>
                      <w:spacing w:val="11"/>
                      <w:sz w:val="21"/>
                      <w:u w:val="none"/>
                      <w:vertAlign w:val="baseline"/>
                      <w:lang w:val="en-US" w:eastAsia="zh-CN"/>
                    </w:rPr>
                    <w:t>SS</w:t>
                  </w:r>
                </w:p>
              </w:tc>
              <w:tc>
                <w:tcPr>
                  <w:tcW w:w="1784" w:type="pct"/>
                  <w:tcBorders>
                    <w:tl2br w:val="nil"/>
                    <w:tr2bl w:val="nil"/>
                  </w:tcBorders>
                  <w:vAlign w:val="center"/>
                </w:tcPr>
                <w:p w14:paraId="5A21CDCB">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eastAsia" w:ascii="Times New Roman" w:hAnsi="Times New Roman" w:eastAsia="宋体" w:cs="Times New Roman"/>
                      <w:b w:val="0"/>
                      <w:bCs/>
                      <w:color w:val="auto"/>
                      <w:sz w:val="21"/>
                      <w:u w:val="none"/>
                      <w:vertAlign w:val="baseline"/>
                      <w:lang w:val="en-US" w:eastAsia="zh-CN"/>
                    </w:rPr>
                    <w:t>雨水收集池</w:t>
                  </w:r>
                </w:p>
              </w:tc>
            </w:tr>
            <w:tr w14:paraId="3DBD5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restart"/>
                  <w:tcBorders>
                    <w:tl2br w:val="nil"/>
                    <w:tr2bl w:val="nil"/>
                  </w:tcBorders>
                  <w:vAlign w:val="center"/>
                </w:tcPr>
                <w:p w14:paraId="02B97239">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固废</w:t>
                  </w:r>
                </w:p>
              </w:tc>
              <w:tc>
                <w:tcPr>
                  <w:tcW w:w="601" w:type="pct"/>
                  <w:vMerge w:val="restart"/>
                  <w:tcBorders>
                    <w:tl2br w:val="nil"/>
                    <w:tr2bl w:val="nil"/>
                  </w:tcBorders>
                  <w:vAlign w:val="center"/>
                </w:tcPr>
                <w:p w14:paraId="74CAE330">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员工生活</w:t>
                  </w:r>
                </w:p>
              </w:tc>
              <w:tc>
                <w:tcPr>
                  <w:tcW w:w="915" w:type="pct"/>
                  <w:tcBorders>
                    <w:tl2br w:val="nil"/>
                    <w:tr2bl w:val="nil"/>
                  </w:tcBorders>
                  <w:vAlign w:val="center"/>
                </w:tcPr>
                <w:p w14:paraId="41C8CA7E">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生活垃圾</w:t>
                  </w:r>
                </w:p>
              </w:tc>
              <w:tc>
                <w:tcPr>
                  <w:tcW w:w="1204" w:type="pct"/>
                  <w:tcBorders>
                    <w:tl2br w:val="nil"/>
                    <w:tr2bl w:val="nil"/>
                  </w:tcBorders>
                  <w:vAlign w:val="center"/>
                </w:tcPr>
                <w:p w14:paraId="13F6CA6D">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w:t>
                  </w:r>
                </w:p>
              </w:tc>
              <w:tc>
                <w:tcPr>
                  <w:tcW w:w="1784" w:type="pct"/>
                  <w:tcBorders>
                    <w:tl2br w:val="nil"/>
                    <w:tr2bl w:val="nil"/>
                  </w:tcBorders>
                  <w:vAlign w:val="center"/>
                </w:tcPr>
                <w:p w14:paraId="3121B31E">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收集后委托环卫部门定期清运</w:t>
                  </w:r>
                </w:p>
              </w:tc>
            </w:tr>
            <w:tr w14:paraId="47B50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continue"/>
                  <w:tcBorders>
                    <w:tl2br w:val="nil"/>
                    <w:tr2bl w:val="nil"/>
                  </w:tcBorders>
                  <w:vAlign w:val="center"/>
                </w:tcPr>
                <w:p w14:paraId="2D3F8408">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p>
              </w:tc>
              <w:tc>
                <w:tcPr>
                  <w:tcW w:w="601" w:type="pct"/>
                  <w:vMerge w:val="continue"/>
                  <w:tcBorders>
                    <w:tl2br w:val="nil"/>
                    <w:tr2bl w:val="nil"/>
                  </w:tcBorders>
                  <w:vAlign w:val="center"/>
                </w:tcPr>
                <w:p w14:paraId="062A4CF2">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pacing w:val="10"/>
                      <w:kern w:val="0"/>
                      <w:sz w:val="21"/>
                      <w:szCs w:val="20"/>
                      <w:u w:val="none"/>
                      <w:vertAlign w:val="baseline"/>
                      <w:lang w:val="en-US" w:eastAsia="zh-CN" w:bidi="ar-SA"/>
                    </w:rPr>
                  </w:pPr>
                </w:p>
              </w:tc>
              <w:tc>
                <w:tcPr>
                  <w:tcW w:w="915" w:type="pct"/>
                  <w:tcBorders>
                    <w:tl2br w:val="nil"/>
                    <w:tr2bl w:val="nil"/>
                  </w:tcBorders>
                  <w:vAlign w:val="center"/>
                </w:tcPr>
                <w:p w14:paraId="031DCD6A">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一般固废</w:t>
                  </w:r>
                </w:p>
              </w:tc>
              <w:tc>
                <w:tcPr>
                  <w:tcW w:w="1204" w:type="pct"/>
                  <w:tcBorders>
                    <w:tl2br w:val="nil"/>
                    <w:tr2bl w:val="nil"/>
                  </w:tcBorders>
                  <w:vAlign w:val="center"/>
                </w:tcPr>
                <w:p w14:paraId="09F8E141">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pacing w:val="10"/>
                      <w:kern w:val="0"/>
                      <w:sz w:val="21"/>
                      <w:szCs w:val="20"/>
                      <w:u w:val="none"/>
                      <w:vertAlign w:val="baseline"/>
                      <w:lang w:val="en-US" w:eastAsia="zh-CN" w:bidi="ar-SA"/>
                    </w:rPr>
                  </w:pPr>
                  <w:r>
                    <w:rPr>
                      <w:rFonts w:hint="eastAsia" w:ascii="Times New Roman" w:hAnsi="Times New Roman" w:eastAsia="宋体" w:cs="Times New Roman"/>
                      <w:b w:val="0"/>
                      <w:bCs/>
                      <w:color w:val="auto"/>
                      <w:sz w:val="21"/>
                      <w:u w:val="none"/>
                      <w:vertAlign w:val="baseline"/>
                      <w:lang w:val="en-US" w:eastAsia="zh-CN"/>
                    </w:rPr>
                    <w:t>污水处理站、</w:t>
                  </w:r>
                  <w:r>
                    <w:rPr>
                      <w:rFonts w:hint="default" w:ascii="Times New Roman" w:hAnsi="Times New Roman" w:eastAsia="宋体" w:cs="Times New Roman"/>
                      <w:b w:val="0"/>
                      <w:bCs/>
                      <w:color w:val="auto"/>
                      <w:sz w:val="21"/>
                      <w:u w:val="none"/>
                      <w:vertAlign w:val="baseline"/>
                      <w:lang w:val="en-US" w:eastAsia="zh-CN"/>
                    </w:rPr>
                    <w:t>化粪池污泥</w:t>
                  </w:r>
                </w:p>
              </w:tc>
              <w:tc>
                <w:tcPr>
                  <w:tcW w:w="1784" w:type="pct"/>
                  <w:tcBorders>
                    <w:tl2br w:val="nil"/>
                    <w:tr2bl w:val="nil"/>
                  </w:tcBorders>
                  <w:vAlign w:val="center"/>
                </w:tcPr>
                <w:p w14:paraId="6A354AE4">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eastAsia" w:ascii="Times New Roman" w:hAnsi="Times New Roman" w:eastAsia="宋体" w:cs="Times New Roman"/>
                      <w:b w:val="0"/>
                      <w:bCs/>
                      <w:color w:val="auto"/>
                      <w:sz w:val="21"/>
                      <w:u w:val="none"/>
                      <w:vertAlign w:val="baseline"/>
                      <w:lang w:val="en-US" w:eastAsia="zh-CN"/>
                    </w:rPr>
                    <w:t>委托当地环卫部门清运处置</w:t>
                  </w:r>
                </w:p>
              </w:tc>
            </w:tr>
            <w:tr w14:paraId="4C6E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continue"/>
                  <w:tcBorders>
                    <w:tl2br w:val="nil"/>
                    <w:tr2bl w:val="nil"/>
                  </w:tcBorders>
                  <w:vAlign w:val="center"/>
                </w:tcPr>
                <w:p w14:paraId="0301A408">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color w:val="auto"/>
                      <w:sz w:val="21"/>
                      <w:u w:val="none"/>
                      <w:vertAlign w:val="baseline"/>
                      <w:lang w:val="en-US" w:eastAsia="zh-CN"/>
                    </w:rPr>
                  </w:pPr>
                </w:p>
              </w:tc>
              <w:tc>
                <w:tcPr>
                  <w:tcW w:w="601" w:type="pct"/>
                  <w:tcBorders>
                    <w:tl2br w:val="nil"/>
                    <w:tr2bl w:val="nil"/>
                  </w:tcBorders>
                  <w:vAlign w:val="center"/>
                </w:tcPr>
                <w:p w14:paraId="5213D998">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eastAsia" w:ascii="Times New Roman" w:hAnsi="Times New Roman" w:eastAsia="宋体" w:cs="Times New Roman"/>
                      <w:b w:val="0"/>
                      <w:bCs/>
                      <w:color w:val="auto"/>
                      <w:sz w:val="21"/>
                      <w:u w:val="none"/>
                      <w:vertAlign w:val="baseline"/>
                      <w:lang w:val="en-US" w:eastAsia="zh-CN"/>
                    </w:rPr>
                    <w:t>废水处理</w:t>
                  </w:r>
                </w:p>
              </w:tc>
              <w:tc>
                <w:tcPr>
                  <w:tcW w:w="915" w:type="pct"/>
                  <w:tcBorders>
                    <w:tl2br w:val="nil"/>
                    <w:tr2bl w:val="nil"/>
                  </w:tcBorders>
                  <w:vAlign w:val="center"/>
                </w:tcPr>
                <w:p w14:paraId="420CACEA">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一般固废</w:t>
                  </w:r>
                </w:p>
              </w:tc>
              <w:tc>
                <w:tcPr>
                  <w:tcW w:w="1204" w:type="pct"/>
                  <w:tcBorders>
                    <w:tl2br w:val="nil"/>
                    <w:tr2bl w:val="nil"/>
                  </w:tcBorders>
                  <w:vAlign w:val="center"/>
                </w:tcPr>
                <w:p w14:paraId="0D8B3C4C">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eastAsia" w:ascii="Times New Roman" w:hAnsi="Times New Roman" w:eastAsia="宋体" w:cs="Times New Roman"/>
                      <w:b w:val="0"/>
                      <w:bCs/>
                      <w:color w:val="auto"/>
                      <w:sz w:val="21"/>
                      <w:u w:val="none"/>
                      <w:vertAlign w:val="baseline"/>
                      <w:lang w:val="en-US" w:eastAsia="zh-CN"/>
                    </w:rPr>
                    <w:t>雨水收集池、</w:t>
                  </w:r>
                  <w:r>
                    <w:rPr>
                      <w:rFonts w:hint="default" w:ascii="Times New Roman" w:hAnsi="Times New Roman" w:eastAsia="宋体" w:cs="Times New Roman"/>
                      <w:b w:val="0"/>
                      <w:bCs/>
                      <w:color w:val="auto"/>
                      <w:sz w:val="21"/>
                      <w:u w:val="none"/>
                      <w:vertAlign w:val="baseline"/>
                      <w:lang w:val="en-US" w:eastAsia="zh-CN"/>
                    </w:rPr>
                    <w:t>沉淀池沉渣</w:t>
                  </w:r>
                </w:p>
              </w:tc>
              <w:tc>
                <w:tcPr>
                  <w:tcW w:w="1784" w:type="pct"/>
                  <w:tcBorders>
                    <w:tl2br w:val="nil"/>
                    <w:tr2bl w:val="nil"/>
                  </w:tcBorders>
                  <w:vAlign w:val="center"/>
                </w:tcPr>
                <w:p w14:paraId="3DE0507F">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定期清掏并运送至附近的一般工业固废消纳场进行处置</w:t>
                  </w:r>
                </w:p>
              </w:tc>
            </w:tr>
            <w:tr w14:paraId="7312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continue"/>
                  <w:tcBorders>
                    <w:tl2br w:val="nil"/>
                    <w:tr2bl w:val="nil"/>
                  </w:tcBorders>
                  <w:vAlign w:val="center"/>
                </w:tcPr>
                <w:p w14:paraId="0955324F">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color w:val="auto"/>
                      <w:sz w:val="21"/>
                      <w:u w:val="none"/>
                      <w:vertAlign w:val="baseline"/>
                      <w:lang w:val="en-US" w:eastAsia="zh-CN"/>
                    </w:rPr>
                  </w:pPr>
                </w:p>
              </w:tc>
              <w:tc>
                <w:tcPr>
                  <w:tcW w:w="601" w:type="pct"/>
                  <w:tcBorders>
                    <w:tl2br w:val="nil"/>
                    <w:tr2bl w:val="nil"/>
                  </w:tcBorders>
                  <w:vAlign w:val="center"/>
                </w:tcPr>
                <w:p w14:paraId="334E10EB">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设备维修保养</w:t>
                  </w:r>
                </w:p>
              </w:tc>
              <w:tc>
                <w:tcPr>
                  <w:tcW w:w="915" w:type="pct"/>
                  <w:tcBorders>
                    <w:tl2br w:val="nil"/>
                    <w:tr2bl w:val="nil"/>
                  </w:tcBorders>
                  <w:vAlign w:val="center"/>
                </w:tcPr>
                <w:p w14:paraId="090E1FE1">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危险废物</w:t>
                  </w:r>
                </w:p>
              </w:tc>
              <w:tc>
                <w:tcPr>
                  <w:tcW w:w="1204" w:type="pct"/>
                  <w:tcBorders>
                    <w:tl2br w:val="nil"/>
                    <w:tr2bl w:val="nil"/>
                  </w:tcBorders>
                  <w:vAlign w:val="center"/>
                </w:tcPr>
                <w:p w14:paraId="229E4EC1">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废机油</w:t>
                  </w:r>
                </w:p>
              </w:tc>
              <w:tc>
                <w:tcPr>
                  <w:tcW w:w="1784" w:type="pct"/>
                  <w:tcBorders>
                    <w:tl2br w:val="nil"/>
                    <w:tr2bl w:val="nil"/>
                  </w:tcBorders>
                  <w:vAlign w:val="center"/>
                </w:tcPr>
                <w:p w14:paraId="088D04DC">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暂存于危废暂存间，定期委托有资质单位</w:t>
                  </w:r>
                  <w:r>
                    <w:rPr>
                      <w:rFonts w:hint="eastAsia" w:ascii="Times New Roman" w:hAnsi="Times New Roman" w:eastAsia="宋体" w:cs="Times New Roman"/>
                      <w:b w:val="0"/>
                      <w:bCs/>
                      <w:color w:val="auto"/>
                      <w:sz w:val="21"/>
                      <w:u w:val="none"/>
                      <w:vertAlign w:val="baseline"/>
                      <w:lang w:val="en-US" w:eastAsia="zh-CN"/>
                    </w:rPr>
                    <w:t>清运</w:t>
                  </w:r>
                  <w:r>
                    <w:rPr>
                      <w:rFonts w:hint="default" w:ascii="Times New Roman" w:hAnsi="Times New Roman" w:eastAsia="宋体" w:cs="Times New Roman"/>
                      <w:b w:val="0"/>
                      <w:bCs/>
                      <w:color w:val="auto"/>
                      <w:sz w:val="21"/>
                      <w:u w:val="none"/>
                      <w:vertAlign w:val="baseline"/>
                      <w:lang w:val="en-US" w:eastAsia="zh-CN"/>
                    </w:rPr>
                    <w:t>处置</w:t>
                  </w:r>
                </w:p>
              </w:tc>
            </w:tr>
          </w:tbl>
          <w:p w14:paraId="563C4151">
            <w:pPr>
              <w:pStyle w:val="12"/>
              <w:rPr>
                <w:rFonts w:hint="default" w:ascii="Times New Roman" w:hAnsi="Times New Roman" w:cs="Times New Roman"/>
                <w:color w:val="auto"/>
                <w:u w:val="none"/>
                <w:lang w:val="en-US" w:eastAsia="zh-CN"/>
              </w:rPr>
            </w:pPr>
          </w:p>
        </w:tc>
      </w:tr>
      <w:tr w14:paraId="7EA91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14:paraId="53133468">
            <w:pPr>
              <w:pStyle w:val="33"/>
              <w:bidi w:val="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与项目有关的原有环境污染问题</w:t>
            </w:r>
          </w:p>
        </w:tc>
        <w:tc>
          <w:tcPr>
            <w:tcW w:w="7687" w:type="dxa"/>
          </w:tcPr>
          <w:p w14:paraId="74989394">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lang w:val="en-US" w:eastAsia="zh-CN"/>
              </w:rPr>
            </w:pPr>
            <w:r>
              <w:rPr>
                <w:rFonts w:hint="default" w:ascii="Times New Roman" w:hAnsi="Times New Roman" w:eastAsia="宋体" w:cs="Times New Roman"/>
                <w:color w:val="auto"/>
                <w:sz w:val="24"/>
                <w:u w:val="none"/>
              </w:rPr>
              <w:t>本项目</w:t>
            </w:r>
            <w:r>
              <w:rPr>
                <w:rFonts w:hint="eastAsia" w:ascii="Times New Roman" w:hAnsi="Times New Roman" w:cs="Times New Roman"/>
                <w:color w:val="auto"/>
                <w:sz w:val="24"/>
                <w:u w:val="none"/>
                <w:lang w:val="en-US" w:eastAsia="zh-CN"/>
              </w:rPr>
              <w:t>租用</w:t>
            </w:r>
            <w:r>
              <w:rPr>
                <w:rFonts w:hint="eastAsia" w:ascii="Times New Roman" w:hAnsi="Times New Roman" w:cs="Times New Roman"/>
                <w:color w:val="auto"/>
                <w:u w:val="none"/>
                <w:lang w:val="en-US" w:eastAsia="zh-CN"/>
              </w:rPr>
              <w:t>云南昆明亦标水泥有限公司现有用地进行建设，项目入场之前，该用地由云南锦垚源煤炭商贸有限公司用作堆煤场地。由于云南锦垚源煤炭商贸有限公司发展区域改变，需到其他地方经营发展，但场地租赁合同未到期，</w:t>
            </w:r>
            <w:r>
              <w:rPr>
                <w:rFonts w:hint="eastAsia" w:ascii="Times New Roman" w:hAnsi="Times New Roman" w:cs="Times New Roman"/>
                <w:color w:val="0000FF"/>
                <w:u w:val="none"/>
                <w:lang w:val="en-US" w:eastAsia="zh-CN"/>
              </w:rPr>
              <w:t>便将部分场地转租给本项目，</w:t>
            </w:r>
            <w:r>
              <w:rPr>
                <w:rFonts w:hint="eastAsia" w:ascii="Times New Roman" w:hAnsi="Times New Roman" w:cs="Times New Roman"/>
                <w:color w:val="auto"/>
                <w:u w:val="none"/>
                <w:lang w:val="en-US" w:eastAsia="zh-CN"/>
              </w:rPr>
              <w:t>作为</w:t>
            </w:r>
            <w:r>
              <w:rPr>
                <w:rFonts w:hint="default" w:ascii="Times New Roman" w:hAnsi="Times New Roman" w:cs="Times New Roman"/>
                <w:lang w:val="en-US" w:eastAsia="zh-CN"/>
              </w:rPr>
              <w:t>寻甸锦晟源商贸有限公司年处理10万吨褐煤提质项目</w:t>
            </w:r>
            <w:r>
              <w:rPr>
                <w:rFonts w:hint="eastAsia" w:ascii="Times New Roman" w:hAnsi="Times New Roman" w:cs="Times New Roman"/>
                <w:lang w:val="en-US" w:eastAsia="zh-CN"/>
              </w:rPr>
              <w:t>用地。</w:t>
            </w:r>
          </w:p>
          <w:p w14:paraId="2CF7A310">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根据现场踏勘，项目场地目前仅有办公楼一栋（2层建筑），1个卫生间（含化粪池），2座堆煤厂房均空置；原</w:t>
            </w:r>
            <w:r>
              <w:rPr>
                <w:rFonts w:hint="eastAsia" w:ascii="Times New Roman" w:hAnsi="Times New Roman" w:cs="Times New Roman"/>
                <w:color w:val="auto"/>
                <w:u w:val="none"/>
                <w:lang w:val="en-US" w:eastAsia="zh-CN"/>
              </w:rPr>
              <w:t>云南锦垚源煤炭商贸有限公司堆存的褐煤已全部清运，无生产、运输设备，无遗留原有的环境污染问题。</w:t>
            </w:r>
          </w:p>
        </w:tc>
      </w:tr>
    </w:tbl>
    <w:p w14:paraId="11CC0DC7">
      <w:pPr>
        <w:bidi w:val="0"/>
        <w:ind w:left="0" w:leftChars="0" w:firstLine="0" w:firstLineChars="0"/>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BA333E8">
      <w:pPr>
        <w:pStyle w:val="2"/>
        <w:bidi w:val="0"/>
        <w:rPr>
          <w:rFonts w:hint="eastAsia"/>
          <w:lang w:val="en-US" w:eastAsia="zh-CN"/>
        </w:rPr>
      </w:pPr>
      <w:bookmarkStart w:id="7" w:name="_Toc14025"/>
      <w:r>
        <w:rPr>
          <w:rFonts w:hint="eastAsia"/>
          <w:lang w:val="en-US" w:eastAsia="zh-CN"/>
        </w:rPr>
        <w:t>三、区域环境质量现状、环境保护目标及评价标准</w:t>
      </w:r>
      <w:bookmarkEnd w:id="7"/>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7687"/>
      </w:tblGrid>
      <w:tr w14:paraId="0B397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14:paraId="44D260F4">
            <w:pPr>
              <w:pStyle w:val="33"/>
              <w:bidi w:val="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区域</w:t>
            </w:r>
          </w:p>
          <w:p w14:paraId="08715B83">
            <w:pPr>
              <w:pStyle w:val="33"/>
              <w:bidi w:val="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环境</w:t>
            </w:r>
          </w:p>
          <w:p w14:paraId="73877420">
            <w:pPr>
              <w:pStyle w:val="33"/>
              <w:bidi w:val="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质量</w:t>
            </w:r>
          </w:p>
          <w:p w14:paraId="41C48572">
            <w:pPr>
              <w:pStyle w:val="33"/>
              <w:bidi w:val="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现状</w:t>
            </w:r>
          </w:p>
        </w:tc>
        <w:tc>
          <w:tcPr>
            <w:tcW w:w="7687" w:type="dxa"/>
          </w:tcPr>
          <w:p w14:paraId="36121CA3">
            <w:pPr>
              <w:keepNext w:val="0"/>
              <w:keepLines w:val="0"/>
              <w:pageBreakBefore w:val="0"/>
              <w:widowControl w:val="0"/>
              <w:numPr>
                <w:ilvl w:val="0"/>
                <w:numId w:val="0"/>
              </w:numPr>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kern w:val="2"/>
                <w:sz w:val="24"/>
                <w:szCs w:val="24"/>
                <w:lang w:val="en-US" w:eastAsia="zh-CN" w:bidi="ar-SA"/>
              </w:rPr>
              <w:t>1、</w:t>
            </w:r>
            <w:r>
              <w:rPr>
                <w:rFonts w:hint="default" w:ascii="Times New Roman" w:hAnsi="Times New Roman" w:eastAsia="宋体" w:cs="Times New Roman"/>
                <w:b/>
                <w:bCs/>
                <w:sz w:val="24"/>
                <w:lang w:val="en-US" w:eastAsia="zh-CN"/>
              </w:rPr>
              <w:t>环境空气质量现状</w:t>
            </w:r>
          </w:p>
          <w:p w14:paraId="4A5D058E">
            <w:pPr>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（1）达标判定</w:t>
            </w:r>
          </w:p>
          <w:p w14:paraId="1B01CC9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lang w:eastAsia="zh-CN"/>
              </w:rPr>
            </w:pPr>
            <w:r>
              <w:rPr>
                <w:rFonts w:hint="default" w:ascii="Times New Roman" w:hAnsi="Times New Roman" w:eastAsia="宋体" w:cs="Times New Roman"/>
                <w:sz w:val="24"/>
              </w:rPr>
              <w:t>项目</w:t>
            </w:r>
            <w:r>
              <w:rPr>
                <w:rFonts w:hint="default" w:ascii="Times New Roman" w:hAnsi="Times New Roman" w:eastAsia="宋体" w:cs="Times New Roman"/>
                <w:sz w:val="24"/>
                <w:lang w:val="en-US" w:eastAsia="zh-CN"/>
              </w:rPr>
              <w:t>位于</w:t>
            </w:r>
            <w:r>
              <w:rPr>
                <w:rFonts w:hint="default" w:ascii="Times New Roman" w:hAnsi="Times New Roman" w:cs="Times New Roman"/>
                <w:sz w:val="24"/>
                <w:lang w:val="en-US" w:eastAsia="zh-CN"/>
              </w:rPr>
              <w:t>云南省昆明市寻甸县金所街道三月三路中段</w:t>
            </w:r>
            <w:r>
              <w:rPr>
                <w:rFonts w:hint="default" w:ascii="Times New Roman" w:hAnsi="Times New Roman" w:eastAsia="宋体" w:cs="Times New Roman"/>
                <w:sz w:val="24"/>
                <w:lang w:val="en-US" w:eastAsia="zh-CN"/>
              </w:rPr>
              <w:t>，该</w:t>
            </w:r>
            <w:r>
              <w:rPr>
                <w:rFonts w:hint="default" w:ascii="Times New Roman" w:hAnsi="Times New Roman" w:eastAsia="宋体" w:cs="Times New Roman"/>
                <w:sz w:val="24"/>
              </w:rPr>
              <w:t>区域</w:t>
            </w:r>
            <w:r>
              <w:rPr>
                <w:rFonts w:hint="default" w:ascii="Times New Roman" w:hAnsi="Times New Roman" w:eastAsia="宋体" w:cs="Times New Roman"/>
                <w:sz w:val="24"/>
                <w:lang w:val="en-US" w:eastAsia="zh-CN"/>
              </w:rPr>
              <w:t>为环境空气功能区二类区，</w:t>
            </w:r>
            <w:r>
              <w:rPr>
                <w:rFonts w:hint="default" w:ascii="Times New Roman" w:hAnsi="Times New Roman" w:eastAsia="宋体" w:cs="Times New Roman"/>
                <w:sz w:val="24"/>
              </w:rPr>
              <w:t>环境质量空气执行《环境空气质量标准》（GB3095-2012）中二级标准</w:t>
            </w:r>
            <w:r>
              <w:rPr>
                <w:rFonts w:hint="default" w:ascii="Times New Roman" w:hAnsi="Times New Roman" w:cs="Times New Roman"/>
                <w:color w:val="auto"/>
                <w:lang w:eastAsia="zh-CN"/>
              </w:rPr>
              <w:t>。</w:t>
            </w:r>
          </w:p>
          <w:p w14:paraId="43109C98">
            <w:pPr>
              <w:ind w:firstLine="480"/>
              <w:rPr>
                <w:rFonts w:hint="default" w:ascii="Times New Roman" w:hAnsi="Times New Roman" w:eastAsia="宋体" w:cs="Times New Roman"/>
                <w:color w:val="auto"/>
                <w:kern w:val="2"/>
                <w:sz w:val="24"/>
                <w:szCs w:val="22"/>
                <w:highlight w:val="none"/>
                <w:u w:val="none"/>
                <w:lang w:val="en-US" w:eastAsia="zh-CN" w:bidi="ar"/>
              </w:rPr>
            </w:pPr>
            <w:r>
              <w:rPr>
                <w:rFonts w:hint="default" w:ascii="Times New Roman" w:hAnsi="Times New Roman" w:eastAsia="宋体" w:cs="Times New Roman"/>
                <w:color w:val="auto"/>
                <w:sz w:val="24"/>
                <w:szCs w:val="24"/>
                <w:highlight w:val="none"/>
                <w:lang w:val="zh-CN"/>
              </w:rPr>
              <w:t>根据昆明市生态环境局发布的《20</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年度</w:t>
            </w:r>
            <w:r>
              <w:rPr>
                <w:rFonts w:hint="default" w:ascii="Times New Roman" w:hAnsi="Times New Roman" w:eastAsia="宋体" w:cs="Times New Roman"/>
                <w:color w:val="auto"/>
                <w:sz w:val="24"/>
                <w:szCs w:val="24"/>
                <w:highlight w:val="none"/>
                <w:lang w:val="zh-CN"/>
              </w:rPr>
              <w:t>昆明市生态环境状况公报》</w:t>
            </w:r>
            <w:r>
              <w:rPr>
                <w:rFonts w:hint="default" w:ascii="Times New Roman" w:hAnsi="Times New Roman" w:eastAsia="宋体" w:cs="Times New Roman"/>
                <w:color w:val="auto"/>
                <w:sz w:val="24"/>
                <w:szCs w:val="24"/>
                <w:highlight w:val="none"/>
                <w:lang w:val="en-US" w:eastAsia="zh-CN"/>
              </w:rPr>
              <w:t>，2024年昆明市主城区外所辖的8个县</w:t>
            </w:r>
            <w:r>
              <w:rPr>
                <w:rFonts w:hint="default" w:ascii="Times New Roman" w:hAnsi="Times New Roman" w:cs="Times New Roman"/>
                <w:color w:val="auto"/>
                <w:sz w:val="24"/>
                <w:szCs w:val="24"/>
                <w:highlight w:val="none"/>
                <w:lang w:val="en-US" w:eastAsia="zh-CN"/>
              </w:rPr>
              <w:t>（市）</w:t>
            </w:r>
            <w:r>
              <w:rPr>
                <w:rFonts w:hint="default" w:ascii="Times New Roman" w:hAnsi="Times New Roman" w:eastAsia="宋体" w:cs="Times New Roman"/>
                <w:color w:val="auto"/>
                <w:sz w:val="24"/>
                <w:szCs w:val="24"/>
                <w:highlight w:val="none"/>
                <w:lang w:val="en-US" w:eastAsia="zh-CN"/>
              </w:rPr>
              <w:t>、区环境空气质量总体保持良好，各项污染物平均浓度均达到《环境空气质量标准》</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GB3095-2012</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二级标准</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空气优良天数比例范围为97.50%~100%，与2023年相比，石林县、富民县、宜良县、东川区、寻甸县、</w:t>
            </w:r>
            <w:r>
              <w:rPr>
                <w:rFonts w:hint="default" w:ascii="Times New Roman" w:hAnsi="Times New Roman" w:cs="Times New Roman"/>
                <w:color w:val="auto"/>
                <w:sz w:val="24"/>
                <w:szCs w:val="24"/>
                <w:highlight w:val="none"/>
                <w:lang w:val="en-US" w:eastAsia="zh-CN"/>
              </w:rPr>
              <w:t>嵩</w:t>
            </w:r>
            <w:r>
              <w:rPr>
                <w:rFonts w:hint="default" w:ascii="Times New Roman" w:hAnsi="Times New Roman" w:eastAsia="宋体" w:cs="Times New Roman"/>
                <w:color w:val="auto"/>
                <w:sz w:val="24"/>
                <w:szCs w:val="24"/>
                <w:highlight w:val="none"/>
                <w:lang w:val="en-US" w:eastAsia="zh-CN"/>
              </w:rPr>
              <w:t>明县、劝县空气优良天数比例均有提高。</w:t>
            </w:r>
            <w:r>
              <w:rPr>
                <w:rFonts w:hint="default" w:ascii="Times New Roman" w:hAnsi="Times New Roman" w:cs="Times New Roman"/>
                <w:color w:val="auto"/>
                <w:u w:val="none"/>
              </w:rPr>
              <w:t>综上，本项目所在区域环境空气质量常规污染物均达到《环境空气质量标准》（GB3095-2012）二级标准要求</w:t>
            </w:r>
            <w:r>
              <w:rPr>
                <w:rFonts w:hint="default" w:ascii="Times New Roman" w:hAnsi="Times New Roman" w:cs="Times New Roman"/>
                <w:color w:val="auto"/>
                <w:u w:val="none"/>
                <w:lang w:eastAsia="zh-CN"/>
              </w:rPr>
              <w:t>，</w:t>
            </w:r>
            <w:r>
              <w:rPr>
                <w:rFonts w:hint="default" w:ascii="Times New Roman" w:hAnsi="Times New Roman" w:eastAsia="宋体" w:cs="Times New Roman"/>
                <w:color w:val="auto"/>
                <w:kern w:val="0"/>
                <w:sz w:val="24"/>
                <w:szCs w:val="24"/>
                <w:highlight w:val="none"/>
                <w:lang w:val="zh-CN"/>
              </w:rPr>
              <w:t>属于达标区。</w:t>
            </w:r>
          </w:p>
          <w:p w14:paraId="44A15021">
            <w:pPr>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（2）特征污染物现状监测</w:t>
            </w:r>
          </w:p>
          <w:p w14:paraId="3296C2BA">
            <w:pPr>
              <w:keepNext w:val="0"/>
              <w:keepLines w:val="0"/>
              <w:pageBreakBefore w:val="0"/>
              <w:widowControl w:val="0"/>
              <w:kinsoku/>
              <w:wordWrap/>
              <w:overflowPunct/>
              <w:topLinePunct w:val="0"/>
              <w:autoSpaceDE/>
              <w:autoSpaceDN/>
              <w:bidi w:val="0"/>
              <w:adjustRightInd/>
              <w:snapToGrid/>
              <w:spacing w:afterLines="0" w:line="360" w:lineRule="auto"/>
              <w:ind w:firstLine="480" w:firstLineChars="200"/>
              <w:textAlignment w:val="auto"/>
              <w:rPr>
                <w:rFonts w:hint="default" w:ascii="Times New Roman" w:hAnsi="Times New Roman" w:cs="Times New Roman"/>
                <w:color w:val="0000FF"/>
                <w:highlight w:val="none"/>
                <w:lang w:val="en-US" w:eastAsia="zh-CN"/>
              </w:rPr>
            </w:pPr>
            <w:r>
              <w:rPr>
                <w:rFonts w:hint="default" w:ascii="Times New Roman" w:hAnsi="Times New Roman" w:cs="Times New Roman"/>
                <w:color w:val="auto"/>
                <w:highlight w:val="none"/>
                <w:lang w:val="en-US" w:eastAsia="zh-CN"/>
              </w:rPr>
              <w:t>本项目特征污染物为TSP。根据《建设项目环境影响报告编制技术指南（污染影响类）》（试行）中“1、大气环境-排放国家、地方环境空气质量标准中有标准限值要求的特征污染物时，引用建设项目周边5千米范围内</w:t>
            </w:r>
            <w:r>
              <w:rPr>
                <w:rFonts w:hint="default" w:ascii="Times New Roman" w:hAnsi="Times New Roman" w:cs="Times New Roman"/>
                <w:lang w:val="en-US" w:eastAsia="zh-CN"/>
              </w:rPr>
              <w:t>近</w:t>
            </w:r>
            <w:r>
              <w:rPr>
                <w:rFonts w:hint="default" w:ascii="Times New Roman" w:hAnsi="Times New Roman" w:cs="Times New Roman"/>
                <w:color w:val="auto"/>
                <w:highlight w:val="none"/>
                <w:lang w:val="en-US" w:eastAsia="zh-CN"/>
              </w:rPr>
              <w:t>3年的现有监测数据”，</w:t>
            </w:r>
            <w:r>
              <w:rPr>
                <w:rFonts w:hint="default" w:ascii="Times New Roman" w:hAnsi="Times New Roman" w:cs="Times New Roman"/>
                <w:color w:val="0000FF"/>
                <w:highlight w:val="none"/>
                <w:lang w:val="en-US" w:eastAsia="zh-CN"/>
              </w:rPr>
              <w:t>本次评价</w:t>
            </w:r>
            <w:r>
              <w:rPr>
                <w:rFonts w:hint="eastAsia" w:cs="Times New Roman"/>
                <w:color w:val="0000FF"/>
                <w:highlight w:val="none"/>
                <w:lang w:val="en-US" w:eastAsia="zh-CN"/>
              </w:rPr>
              <w:t>委托云南鼎祺检测有限公司对项目区下风向位置进行了特征污染物现状监测</w:t>
            </w:r>
            <w:r>
              <w:rPr>
                <w:rFonts w:hint="default" w:ascii="Times New Roman" w:hAnsi="Times New Roman" w:cs="Times New Roman"/>
                <w:color w:val="0000FF"/>
                <w:highlight w:val="none"/>
                <w:lang w:val="en-US" w:eastAsia="zh-CN"/>
              </w:rPr>
              <w:t>。</w:t>
            </w:r>
            <w:r>
              <w:rPr>
                <w:rFonts w:hint="eastAsia" w:cs="Times New Roman"/>
                <w:color w:val="0000FF"/>
                <w:highlight w:val="none"/>
                <w:lang w:val="en-US" w:eastAsia="zh-CN"/>
              </w:rPr>
              <w:t>监测日期为2025年7月5日-8日。</w:t>
            </w:r>
            <w:r>
              <w:rPr>
                <w:rFonts w:hint="default" w:ascii="Times New Roman" w:hAnsi="Times New Roman" w:cs="Times New Roman"/>
                <w:color w:val="0000FF"/>
                <w:highlight w:val="none"/>
                <w:lang w:val="en-US" w:eastAsia="zh-CN"/>
              </w:rPr>
              <w:t>具体监测结果详见表3-1。</w:t>
            </w:r>
          </w:p>
          <w:p w14:paraId="471B4109">
            <w:pPr>
              <w:pStyle w:val="29"/>
              <w:bidi w:val="0"/>
              <w:rPr>
                <w:rFonts w:hint="default" w:ascii="Times New Roman" w:hAnsi="Times New Roman" w:cs="Times New Roman"/>
                <w:color w:val="0000FF"/>
              </w:rPr>
            </w:pPr>
            <w:r>
              <w:rPr>
                <w:rFonts w:hint="default" w:ascii="Times New Roman" w:hAnsi="Times New Roman" w:eastAsia="宋体" w:cs="Times New Roman"/>
                <w:b/>
                <w:bCs/>
                <w:color w:val="0000FF"/>
              </w:rPr>
              <w:t>表</w:t>
            </w:r>
            <w:r>
              <w:rPr>
                <w:rFonts w:hint="default" w:ascii="Times New Roman" w:hAnsi="Times New Roman" w:eastAsia="宋体" w:cs="Times New Roman"/>
                <w:b/>
                <w:bCs/>
                <w:color w:val="0000FF"/>
                <w:lang w:val="en-US" w:eastAsia="zh-CN"/>
              </w:rPr>
              <w:t>3</w:t>
            </w:r>
            <w:r>
              <w:rPr>
                <w:rFonts w:hint="default" w:ascii="Times New Roman" w:hAnsi="Times New Roman" w:eastAsia="宋体" w:cs="Times New Roman"/>
                <w:b/>
                <w:bCs/>
                <w:color w:val="0000FF"/>
              </w:rPr>
              <w:t>-</w:t>
            </w:r>
            <w:r>
              <w:rPr>
                <w:rFonts w:hint="default" w:ascii="Times New Roman" w:hAnsi="Times New Roman" w:eastAsia="宋体" w:cs="Times New Roman"/>
                <w:b/>
                <w:bCs/>
                <w:color w:val="0000FF"/>
                <w:lang w:val="en-US" w:eastAsia="zh-CN"/>
              </w:rPr>
              <w:t>1</w:t>
            </w:r>
            <w:r>
              <w:rPr>
                <w:rFonts w:hint="default" w:ascii="Times New Roman" w:hAnsi="Times New Roman" w:eastAsia="宋体" w:cs="Times New Roman"/>
                <w:b/>
                <w:bCs/>
                <w:color w:val="0000FF"/>
              </w:rPr>
              <w:t xml:space="preserve">  </w:t>
            </w:r>
            <w:r>
              <w:rPr>
                <w:rFonts w:hint="default" w:ascii="Times New Roman" w:hAnsi="Times New Roman" w:eastAsia="宋体" w:cs="Times New Roman"/>
                <w:b/>
                <w:bCs/>
                <w:color w:val="0000FF"/>
                <w:lang w:val="en-US" w:eastAsia="zh-CN"/>
              </w:rPr>
              <w:t>特征污染物监测结果</w:t>
            </w:r>
            <w:r>
              <w:rPr>
                <w:rFonts w:hint="default" w:ascii="Times New Roman" w:hAnsi="Times New Roman" w:eastAsia="宋体" w:cs="Times New Roman"/>
                <w:b/>
                <w:bCs/>
                <w:color w:val="0000FF"/>
              </w:rPr>
              <w:t>（</w:t>
            </w:r>
            <w:r>
              <w:rPr>
                <w:rFonts w:hint="default" w:ascii="Times New Roman" w:hAnsi="Times New Roman" w:eastAsia="宋体" w:cs="Times New Roman"/>
                <w:b/>
                <w:bCs/>
                <w:color w:val="0000FF"/>
                <w:lang w:val="en-US" w:eastAsia="zh-CN"/>
              </w:rPr>
              <w:t>mg</w:t>
            </w:r>
            <w:r>
              <w:rPr>
                <w:rFonts w:hint="default" w:ascii="Times New Roman" w:hAnsi="Times New Roman" w:eastAsia="宋体" w:cs="Times New Roman"/>
                <w:b/>
                <w:bCs/>
                <w:color w:val="0000FF"/>
              </w:rPr>
              <w:t>/m³）</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640"/>
              <w:gridCol w:w="2159"/>
              <w:gridCol w:w="973"/>
              <w:gridCol w:w="1094"/>
              <w:gridCol w:w="1061"/>
            </w:tblGrid>
            <w:tr w14:paraId="3E653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025" w:type="pct"/>
                  <w:tcBorders>
                    <w:tl2br w:val="nil"/>
                    <w:tr2bl w:val="nil"/>
                  </w:tcBorders>
                  <w:vAlign w:val="center"/>
                </w:tcPr>
                <w:p w14:paraId="183EA0CD">
                  <w:pPr>
                    <w:pStyle w:val="33"/>
                    <w:bidi w:val="0"/>
                    <w:rPr>
                      <w:rFonts w:hint="default" w:ascii="Times New Roman" w:hAnsi="Times New Roman" w:cs="Times New Roman"/>
                      <w:b/>
                      <w:bCs/>
                      <w:color w:val="0000FF"/>
                      <w:lang w:val="en-US" w:eastAsia="zh-CN"/>
                    </w:rPr>
                  </w:pPr>
                  <w:r>
                    <w:rPr>
                      <w:rFonts w:hint="default" w:ascii="Times New Roman" w:hAnsi="Times New Roman" w:cs="Times New Roman"/>
                      <w:b/>
                      <w:bCs/>
                      <w:color w:val="0000FF"/>
                      <w:lang w:val="en-US" w:eastAsia="zh-CN"/>
                    </w:rPr>
                    <w:t>监测点位</w:t>
                  </w:r>
                </w:p>
              </w:tc>
              <w:tc>
                <w:tcPr>
                  <w:tcW w:w="429" w:type="pct"/>
                  <w:tcBorders>
                    <w:tl2br w:val="nil"/>
                    <w:tr2bl w:val="nil"/>
                  </w:tcBorders>
                  <w:vAlign w:val="center"/>
                </w:tcPr>
                <w:p w14:paraId="20B34767">
                  <w:pPr>
                    <w:pStyle w:val="33"/>
                    <w:bidi w:val="0"/>
                    <w:rPr>
                      <w:rFonts w:hint="default" w:ascii="Times New Roman" w:hAnsi="Times New Roman" w:eastAsia="宋体" w:cs="Times New Roman"/>
                      <w:b/>
                      <w:bCs/>
                      <w:color w:val="0000FF"/>
                      <w:lang w:val="en-US" w:eastAsia="zh-CN"/>
                    </w:rPr>
                  </w:pPr>
                  <w:r>
                    <w:rPr>
                      <w:rFonts w:hint="default" w:ascii="Times New Roman" w:hAnsi="Times New Roman" w:cs="Times New Roman"/>
                      <w:b/>
                      <w:bCs/>
                      <w:color w:val="0000FF"/>
                      <w:lang w:val="en-US" w:eastAsia="zh-CN"/>
                    </w:rPr>
                    <w:t>监测项目</w:t>
                  </w:r>
                </w:p>
              </w:tc>
              <w:tc>
                <w:tcPr>
                  <w:tcW w:w="1447" w:type="pct"/>
                  <w:tcBorders>
                    <w:tl2br w:val="nil"/>
                    <w:tr2bl w:val="nil"/>
                  </w:tcBorders>
                  <w:vAlign w:val="center"/>
                </w:tcPr>
                <w:p w14:paraId="3E645F32">
                  <w:pPr>
                    <w:pStyle w:val="33"/>
                    <w:bidi w:val="0"/>
                    <w:rPr>
                      <w:rFonts w:hint="default" w:ascii="Times New Roman" w:hAnsi="Times New Roman" w:eastAsia="宋体" w:cs="Times New Roman"/>
                      <w:b/>
                      <w:bCs/>
                      <w:color w:val="0000FF"/>
                      <w:lang w:val="en-US" w:eastAsia="zh-CN"/>
                    </w:rPr>
                  </w:pPr>
                  <w:r>
                    <w:rPr>
                      <w:rFonts w:hint="default" w:ascii="Times New Roman" w:hAnsi="Times New Roman" w:cs="Times New Roman"/>
                      <w:b/>
                      <w:bCs/>
                      <w:color w:val="0000FF"/>
                      <w:lang w:val="en-US" w:eastAsia="zh-CN"/>
                    </w:rPr>
                    <w:t>采样日期</w:t>
                  </w:r>
                </w:p>
              </w:tc>
              <w:tc>
                <w:tcPr>
                  <w:tcW w:w="652" w:type="pct"/>
                  <w:tcBorders>
                    <w:tl2br w:val="nil"/>
                    <w:tr2bl w:val="nil"/>
                  </w:tcBorders>
                  <w:vAlign w:val="center"/>
                </w:tcPr>
                <w:p w14:paraId="00C1D57A">
                  <w:pPr>
                    <w:pStyle w:val="33"/>
                    <w:bidi w:val="0"/>
                    <w:rPr>
                      <w:rFonts w:hint="default" w:ascii="Times New Roman" w:hAnsi="Times New Roman" w:eastAsia="宋体" w:cs="Times New Roman"/>
                      <w:b/>
                      <w:bCs/>
                      <w:color w:val="0000FF"/>
                      <w:lang w:val="en-US" w:eastAsia="zh-CN"/>
                    </w:rPr>
                  </w:pPr>
                  <w:r>
                    <w:rPr>
                      <w:rFonts w:hint="default" w:ascii="Times New Roman" w:hAnsi="Times New Roman" w:cs="Times New Roman"/>
                      <w:b/>
                      <w:bCs/>
                      <w:color w:val="0000FF"/>
                      <w:lang w:val="en-US" w:eastAsia="zh-CN"/>
                    </w:rPr>
                    <w:t>监测结果</w:t>
                  </w:r>
                </w:p>
              </w:tc>
              <w:tc>
                <w:tcPr>
                  <w:tcW w:w="733" w:type="pct"/>
                  <w:tcBorders>
                    <w:tl2br w:val="nil"/>
                    <w:tr2bl w:val="nil"/>
                  </w:tcBorders>
                  <w:vAlign w:val="center"/>
                </w:tcPr>
                <w:p w14:paraId="54BACCD5">
                  <w:pPr>
                    <w:pStyle w:val="33"/>
                    <w:bidi w:val="0"/>
                    <w:rPr>
                      <w:rFonts w:hint="default" w:ascii="Times New Roman" w:hAnsi="Times New Roman" w:eastAsia="宋体" w:cs="Times New Roman"/>
                      <w:b/>
                      <w:bCs/>
                      <w:color w:val="0000FF"/>
                      <w:lang w:val="en-US" w:eastAsia="zh-CN"/>
                    </w:rPr>
                  </w:pPr>
                  <w:r>
                    <w:rPr>
                      <w:rFonts w:hint="default" w:ascii="Times New Roman" w:hAnsi="Times New Roman" w:cs="Times New Roman"/>
                      <w:b/>
                      <w:bCs/>
                      <w:color w:val="0000FF"/>
                      <w:lang w:val="en-US" w:eastAsia="zh-CN"/>
                    </w:rPr>
                    <w:t>标准限值</w:t>
                  </w:r>
                </w:p>
              </w:tc>
              <w:tc>
                <w:tcPr>
                  <w:tcW w:w="711" w:type="pct"/>
                  <w:tcBorders>
                    <w:tl2br w:val="nil"/>
                    <w:tr2bl w:val="nil"/>
                  </w:tcBorders>
                  <w:vAlign w:val="center"/>
                </w:tcPr>
                <w:p w14:paraId="3ED5563E">
                  <w:pPr>
                    <w:pStyle w:val="33"/>
                    <w:bidi w:val="0"/>
                    <w:rPr>
                      <w:rFonts w:hint="default" w:ascii="Times New Roman" w:hAnsi="Times New Roman" w:eastAsia="宋体" w:cs="Times New Roman"/>
                      <w:b/>
                      <w:bCs/>
                      <w:color w:val="0000FF"/>
                      <w:lang w:val="en-US" w:eastAsia="zh-CN"/>
                    </w:rPr>
                  </w:pPr>
                  <w:r>
                    <w:rPr>
                      <w:rFonts w:hint="default" w:ascii="Times New Roman" w:hAnsi="Times New Roman" w:cs="Times New Roman"/>
                      <w:b/>
                      <w:bCs/>
                      <w:color w:val="0000FF"/>
                      <w:lang w:val="en-US" w:eastAsia="zh-CN"/>
                    </w:rPr>
                    <w:t>达标情况</w:t>
                  </w:r>
                </w:p>
              </w:tc>
            </w:tr>
            <w:tr w14:paraId="7304F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025" w:type="pct"/>
                  <w:vMerge w:val="restart"/>
                  <w:tcBorders>
                    <w:tl2br w:val="nil"/>
                    <w:tr2bl w:val="nil"/>
                  </w:tcBorders>
                  <w:vAlign w:val="center"/>
                </w:tcPr>
                <w:p w14:paraId="7D897E72">
                  <w:pPr>
                    <w:pStyle w:val="33"/>
                    <w:bidi w:val="0"/>
                    <w:rPr>
                      <w:rFonts w:hint="default" w:ascii="Times New Roman" w:hAnsi="Times New Roman" w:eastAsia="宋体" w:cs="Times New Roman"/>
                      <w:color w:val="0000FF"/>
                      <w:lang w:val="en-US" w:eastAsia="zh-CN"/>
                    </w:rPr>
                  </w:pPr>
                  <w:r>
                    <w:rPr>
                      <w:rFonts w:hint="eastAsia" w:cs="Times New Roman"/>
                      <w:color w:val="0000FF"/>
                      <w:szCs w:val="21"/>
                      <w:lang w:val="en-US" w:eastAsia="zh-CN"/>
                    </w:rPr>
                    <w:t>项目区内下风向位置</w:t>
                  </w:r>
                </w:p>
              </w:tc>
              <w:tc>
                <w:tcPr>
                  <w:tcW w:w="429" w:type="pct"/>
                  <w:vMerge w:val="restart"/>
                  <w:tcBorders>
                    <w:tl2br w:val="nil"/>
                    <w:tr2bl w:val="nil"/>
                  </w:tcBorders>
                  <w:vAlign w:val="center"/>
                </w:tcPr>
                <w:p w14:paraId="255E976D">
                  <w:pPr>
                    <w:pStyle w:val="33"/>
                    <w:bidi w:val="0"/>
                    <w:rPr>
                      <w:rFonts w:hint="default" w:ascii="Times New Roman" w:hAnsi="Times New Roman" w:eastAsia="宋体" w:cs="Times New Roman"/>
                      <w:color w:val="0000FF"/>
                      <w:lang w:val="en-US" w:eastAsia="zh-CN"/>
                    </w:rPr>
                  </w:pPr>
                  <w:r>
                    <w:rPr>
                      <w:rFonts w:hint="default" w:ascii="Times New Roman" w:hAnsi="Times New Roman" w:cs="Times New Roman"/>
                      <w:color w:val="0000FF"/>
                      <w:lang w:val="en-US" w:eastAsia="zh-CN"/>
                    </w:rPr>
                    <w:t>TSP</w:t>
                  </w:r>
                </w:p>
              </w:tc>
              <w:tc>
                <w:tcPr>
                  <w:tcW w:w="1447" w:type="pct"/>
                  <w:tcBorders>
                    <w:tl2br w:val="nil"/>
                    <w:tr2bl w:val="nil"/>
                  </w:tcBorders>
                  <w:vAlign w:val="center"/>
                </w:tcPr>
                <w:p w14:paraId="029ADA81">
                  <w:pPr>
                    <w:pStyle w:val="33"/>
                    <w:bidi w:val="0"/>
                    <w:rPr>
                      <w:rFonts w:hint="default" w:ascii="Times New Roman" w:hAnsi="Times New Roman" w:eastAsia="宋体" w:cs="Times New Roman"/>
                      <w:color w:val="0000FF"/>
                      <w:lang w:val="en-US" w:eastAsia="zh-CN"/>
                    </w:rPr>
                  </w:pPr>
                  <w:r>
                    <w:rPr>
                      <w:rFonts w:hint="default" w:ascii="Times New Roman" w:hAnsi="Times New Roman" w:cs="Times New Roman"/>
                      <w:color w:val="0000FF"/>
                      <w:lang w:val="en-US" w:eastAsia="zh-CN"/>
                    </w:rPr>
                    <w:t>202</w:t>
                  </w:r>
                  <w:r>
                    <w:rPr>
                      <w:rFonts w:hint="eastAsia" w:cs="Times New Roman"/>
                      <w:color w:val="0000FF"/>
                      <w:lang w:val="en-US" w:eastAsia="zh-CN"/>
                    </w:rPr>
                    <w:t>5</w:t>
                  </w:r>
                  <w:r>
                    <w:rPr>
                      <w:rFonts w:hint="default" w:ascii="Times New Roman" w:hAnsi="Times New Roman" w:cs="Times New Roman"/>
                      <w:color w:val="0000FF"/>
                      <w:lang w:val="en-US" w:eastAsia="zh-CN"/>
                    </w:rPr>
                    <w:t>年</w:t>
                  </w:r>
                  <w:r>
                    <w:rPr>
                      <w:rFonts w:hint="eastAsia" w:cs="Times New Roman"/>
                      <w:color w:val="0000FF"/>
                      <w:lang w:val="en-US" w:eastAsia="zh-CN"/>
                    </w:rPr>
                    <w:t>7</w:t>
                  </w:r>
                  <w:r>
                    <w:rPr>
                      <w:rFonts w:hint="default" w:ascii="Times New Roman" w:hAnsi="Times New Roman" w:cs="Times New Roman"/>
                      <w:color w:val="0000FF"/>
                      <w:lang w:val="en-US" w:eastAsia="zh-CN"/>
                    </w:rPr>
                    <w:t>月</w:t>
                  </w:r>
                  <w:r>
                    <w:rPr>
                      <w:rFonts w:hint="eastAsia" w:cs="Times New Roman"/>
                      <w:color w:val="0000FF"/>
                      <w:lang w:val="en-US" w:eastAsia="zh-CN"/>
                    </w:rPr>
                    <w:t>5</w:t>
                  </w:r>
                  <w:r>
                    <w:rPr>
                      <w:rFonts w:hint="default" w:ascii="Times New Roman" w:hAnsi="Times New Roman" w:cs="Times New Roman"/>
                      <w:color w:val="0000FF"/>
                      <w:lang w:val="en-US" w:eastAsia="zh-CN"/>
                    </w:rPr>
                    <w:t>日</w:t>
                  </w:r>
                  <w:r>
                    <w:rPr>
                      <w:rFonts w:hint="eastAsia" w:cs="Times New Roman"/>
                      <w:color w:val="0000FF"/>
                      <w:lang w:val="en-US" w:eastAsia="zh-CN"/>
                    </w:rPr>
                    <w:t>-6日</w:t>
                  </w:r>
                </w:p>
              </w:tc>
              <w:tc>
                <w:tcPr>
                  <w:tcW w:w="652" w:type="pct"/>
                  <w:tcBorders>
                    <w:tl2br w:val="nil"/>
                    <w:tr2bl w:val="nil"/>
                  </w:tcBorders>
                  <w:vAlign w:val="center"/>
                </w:tcPr>
                <w:p w14:paraId="10178C58">
                  <w:pPr>
                    <w:pStyle w:val="33"/>
                    <w:bidi w:val="0"/>
                    <w:rPr>
                      <w:rFonts w:hint="default" w:ascii="Times New Roman" w:hAnsi="Times New Roman" w:eastAsia="宋体" w:cs="Times New Roman"/>
                      <w:color w:val="0000FF"/>
                      <w:lang w:val="en-US" w:eastAsia="zh-CN"/>
                    </w:rPr>
                  </w:pPr>
                  <w:r>
                    <w:rPr>
                      <w:rFonts w:hint="eastAsia" w:cs="Times New Roman"/>
                      <w:color w:val="0000FF"/>
                      <w:lang w:val="en-US" w:eastAsia="zh-CN"/>
                    </w:rPr>
                    <w:t>0.170</w:t>
                  </w:r>
                </w:p>
              </w:tc>
              <w:tc>
                <w:tcPr>
                  <w:tcW w:w="733" w:type="pct"/>
                  <w:vMerge w:val="restart"/>
                  <w:tcBorders>
                    <w:tl2br w:val="nil"/>
                    <w:tr2bl w:val="nil"/>
                  </w:tcBorders>
                  <w:vAlign w:val="center"/>
                </w:tcPr>
                <w:p w14:paraId="4B34368D">
                  <w:pPr>
                    <w:pStyle w:val="33"/>
                    <w:bidi w:val="0"/>
                    <w:rPr>
                      <w:rFonts w:hint="default" w:ascii="Times New Roman" w:hAnsi="Times New Roman" w:eastAsia="宋体" w:cs="Times New Roman"/>
                      <w:color w:val="0000FF"/>
                      <w:lang w:val="en-US" w:eastAsia="zh-CN"/>
                    </w:rPr>
                  </w:pPr>
                  <w:r>
                    <w:rPr>
                      <w:rFonts w:hint="default" w:ascii="Times New Roman" w:hAnsi="Times New Roman" w:cs="Times New Roman"/>
                      <w:color w:val="0000FF"/>
                      <w:lang w:val="en-US" w:eastAsia="zh-CN"/>
                    </w:rPr>
                    <w:t>0.3</w:t>
                  </w:r>
                </w:p>
              </w:tc>
              <w:tc>
                <w:tcPr>
                  <w:tcW w:w="711" w:type="pct"/>
                  <w:tcBorders>
                    <w:tl2br w:val="nil"/>
                    <w:tr2bl w:val="nil"/>
                  </w:tcBorders>
                  <w:vAlign w:val="center"/>
                </w:tcPr>
                <w:p w14:paraId="6ACEC414">
                  <w:pPr>
                    <w:pStyle w:val="33"/>
                    <w:bidi w:val="0"/>
                    <w:rPr>
                      <w:rFonts w:hint="default" w:ascii="Times New Roman" w:hAnsi="Times New Roman" w:eastAsia="宋体" w:cs="Times New Roman"/>
                      <w:color w:val="0000FF"/>
                      <w:lang w:val="en-US" w:eastAsia="zh-CN"/>
                    </w:rPr>
                  </w:pPr>
                  <w:r>
                    <w:rPr>
                      <w:rFonts w:hint="default" w:ascii="Times New Roman" w:hAnsi="Times New Roman" w:cs="Times New Roman"/>
                      <w:color w:val="0000FF"/>
                      <w:lang w:val="en-US" w:eastAsia="zh-CN"/>
                    </w:rPr>
                    <w:t>达标</w:t>
                  </w:r>
                </w:p>
              </w:tc>
            </w:tr>
            <w:tr w14:paraId="0ADA6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025" w:type="pct"/>
                  <w:vMerge w:val="continue"/>
                  <w:tcBorders>
                    <w:tl2br w:val="nil"/>
                    <w:tr2bl w:val="nil"/>
                  </w:tcBorders>
                  <w:vAlign w:val="center"/>
                </w:tcPr>
                <w:p w14:paraId="352F60C0">
                  <w:pPr>
                    <w:pStyle w:val="33"/>
                    <w:bidi w:val="0"/>
                    <w:rPr>
                      <w:rFonts w:hint="default" w:ascii="Times New Roman" w:hAnsi="Times New Roman" w:cs="Times New Roman"/>
                      <w:color w:val="0000FF"/>
                    </w:rPr>
                  </w:pPr>
                </w:p>
              </w:tc>
              <w:tc>
                <w:tcPr>
                  <w:tcW w:w="429" w:type="pct"/>
                  <w:vMerge w:val="continue"/>
                  <w:tcBorders>
                    <w:tl2br w:val="nil"/>
                    <w:tr2bl w:val="nil"/>
                  </w:tcBorders>
                  <w:vAlign w:val="center"/>
                </w:tcPr>
                <w:p w14:paraId="0B2CB3EA">
                  <w:pPr>
                    <w:pStyle w:val="33"/>
                    <w:bidi w:val="0"/>
                    <w:rPr>
                      <w:rFonts w:hint="default" w:ascii="Times New Roman" w:hAnsi="Times New Roman" w:cs="Times New Roman"/>
                      <w:color w:val="0000FF"/>
                    </w:rPr>
                  </w:pPr>
                </w:p>
              </w:tc>
              <w:tc>
                <w:tcPr>
                  <w:tcW w:w="1447" w:type="pct"/>
                  <w:tcBorders>
                    <w:tl2br w:val="nil"/>
                    <w:tr2bl w:val="nil"/>
                  </w:tcBorders>
                  <w:vAlign w:val="center"/>
                </w:tcPr>
                <w:p w14:paraId="7000916E">
                  <w:pPr>
                    <w:pStyle w:val="33"/>
                    <w:bidi w:val="0"/>
                    <w:rPr>
                      <w:rFonts w:hint="default" w:ascii="Times New Roman" w:hAnsi="Times New Roman" w:cs="Times New Roman"/>
                      <w:color w:val="0000FF"/>
                    </w:rPr>
                  </w:pPr>
                  <w:r>
                    <w:rPr>
                      <w:rFonts w:hint="default" w:ascii="Times New Roman" w:hAnsi="Times New Roman" w:cs="Times New Roman"/>
                      <w:color w:val="0000FF"/>
                      <w:lang w:val="en-US" w:eastAsia="zh-CN"/>
                    </w:rPr>
                    <w:t>202</w:t>
                  </w:r>
                  <w:r>
                    <w:rPr>
                      <w:rFonts w:hint="eastAsia" w:cs="Times New Roman"/>
                      <w:color w:val="0000FF"/>
                      <w:lang w:val="en-US" w:eastAsia="zh-CN"/>
                    </w:rPr>
                    <w:t>5</w:t>
                  </w:r>
                  <w:r>
                    <w:rPr>
                      <w:rFonts w:hint="default" w:ascii="Times New Roman" w:hAnsi="Times New Roman" w:cs="Times New Roman"/>
                      <w:color w:val="0000FF"/>
                      <w:lang w:val="en-US" w:eastAsia="zh-CN"/>
                    </w:rPr>
                    <w:t>年</w:t>
                  </w:r>
                  <w:r>
                    <w:rPr>
                      <w:rFonts w:hint="eastAsia" w:cs="Times New Roman"/>
                      <w:color w:val="0000FF"/>
                      <w:lang w:val="en-US" w:eastAsia="zh-CN"/>
                    </w:rPr>
                    <w:t>7</w:t>
                  </w:r>
                  <w:r>
                    <w:rPr>
                      <w:rFonts w:hint="default" w:ascii="Times New Roman" w:hAnsi="Times New Roman" w:cs="Times New Roman"/>
                      <w:color w:val="0000FF"/>
                      <w:lang w:val="en-US" w:eastAsia="zh-CN"/>
                    </w:rPr>
                    <w:t>月</w:t>
                  </w:r>
                  <w:r>
                    <w:rPr>
                      <w:rFonts w:hint="eastAsia" w:cs="Times New Roman"/>
                      <w:color w:val="0000FF"/>
                      <w:lang w:val="en-US" w:eastAsia="zh-CN"/>
                    </w:rPr>
                    <w:t>6</w:t>
                  </w:r>
                  <w:r>
                    <w:rPr>
                      <w:rFonts w:hint="default" w:ascii="Times New Roman" w:hAnsi="Times New Roman" w:cs="Times New Roman"/>
                      <w:color w:val="0000FF"/>
                      <w:lang w:val="en-US" w:eastAsia="zh-CN"/>
                    </w:rPr>
                    <w:t>日</w:t>
                  </w:r>
                  <w:r>
                    <w:rPr>
                      <w:rFonts w:hint="eastAsia" w:cs="Times New Roman"/>
                      <w:color w:val="0000FF"/>
                      <w:lang w:val="en-US" w:eastAsia="zh-CN"/>
                    </w:rPr>
                    <w:t>-7日</w:t>
                  </w:r>
                </w:p>
              </w:tc>
              <w:tc>
                <w:tcPr>
                  <w:tcW w:w="652" w:type="pct"/>
                  <w:tcBorders>
                    <w:tl2br w:val="nil"/>
                    <w:tr2bl w:val="nil"/>
                  </w:tcBorders>
                  <w:vAlign w:val="center"/>
                </w:tcPr>
                <w:p w14:paraId="3032A341">
                  <w:pPr>
                    <w:pStyle w:val="33"/>
                    <w:bidi w:val="0"/>
                    <w:rPr>
                      <w:rFonts w:hint="default" w:ascii="Times New Roman" w:hAnsi="Times New Roman" w:eastAsia="宋体" w:cs="Times New Roman"/>
                      <w:color w:val="0000FF"/>
                      <w:lang w:val="en-US" w:eastAsia="zh-CN"/>
                    </w:rPr>
                  </w:pPr>
                  <w:r>
                    <w:rPr>
                      <w:rFonts w:hint="eastAsia" w:cs="Times New Roman"/>
                      <w:color w:val="0000FF"/>
                      <w:lang w:val="en-US" w:eastAsia="zh-CN"/>
                    </w:rPr>
                    <w:t>0.184</w:t>
                  </w:r>
                </w:p>
              </w:tc>
              <w:tc>
                <w:tcPr>
                  <w:tcW w:w="733" w:type="pct"/>
                  <w:vMerge w:val="continue"/>
                  <w:tcBorders>
                    <w:tl2br w:val="nil"/>
                    <w:tr2bl w:val="nil"/>
                  </w:tcBorders>
                  <w:vAlign w:val="center"/>
                </w:tcPr>
                <w:p w14:paraId="2C2BD650">
                  <w:pPr>
                    <w:pStyle w:val="33"/>
                    <w:bidi w:val="0"/>
                    <w:rPr>
                      <w:rFonts w:hint="default" w:ascii="Times New Roman" w:hAnsi="Times New Roman" w:cs="Times New Roman"/>
                      <w:color w:val="0000FF"/>
                    </w:rPr>
                  </w:pPr>
                </w:p>
              </w:tc>
              <w:tc>
                <w:tcPr>
                  <w:tcW w:w="711" w:type="pct"/>
                  <w:tcBorders>
                    <w:tl2br w:val="nil"/>
                    <w:tr2bl w:val="nil"/>
                  </w:tcBorders>
                  <w:vAlign w:val="center"/>
                </w:tcPr>
                <w:p w14:paraId="5172BC9B">
                  <w:pPr>
                    <w:pStyle w:val="33"/>
                    <w:bidi w:val="0"/>
                    <w:rPr>
                      <w:rFonts w:hint="default" w:ascii="Times New Roman" w:hAnsi="Times New Roman" w:eastAsia="宋体" w:cs="Times New Roman"/>
                      <w:color w:val="0000FF"/>
                      <w:lang w:val="en-US" w:eastAsia="zh-CN"/>
                    </w:rPr>
                  </w:pPr>
                  <w:r>
                    <w:rPr>
                      <w:rFonts w:hint="default" w:ascii="Times New Roman" w:hAnsi="Times New Roman" w:cs="Times New Roman"/>
                      <w:color w:val="0000FF"/>
                      <w:lang w:val="en-US" w:eastAsia="zh-CN"/>
                    </w:rPr>
                    <w:t>达标</w:t>
                  </w:r>
                </w:p>
              </w:tc>
            </w:tr>
            <w:tr w14:paraId="0C91E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025" w:type="pct"/>
                  <w:vMerge w:val="continue"/>
                  <w:tcBorders>
                    <w:tl2br w:val="nil"/>
                    <w:tr2bl w:val="nil"/>
                  </w:tcBorders>
                  <w:vAlign w:val="center"/>
                </w:tcPr>
                <w:p w14:paraId="7794BFF6">
                  <w:pPr>
                    <w:pStyle w:val="33"/>
                    <w:bidi w:val="0"/>
                    <w:rPr>
                      <w:rFonts w:hint="default" w:ascii="Times New Roman" w:hAnsi="Times New Roman" w:cs="Times New Roman"/>
                      <w:color w:val="0000FF"/>
                    </w:rPr>
                  </w:pPr>
                </w:p>
              </w:tc>
              <w:tc>
                <w:tcPr>
                  <w:tcW w:w="429" w:type="pct"/>
                  <w:vMerge w:val="continue"/>
                  <w:tcBorders>
                    <w:tl2br w:val="nil"/>
                    <w:tr2bl w:val="nil"/>
                  </w:tcBorders>
                  <w:vAlign w:val="center"/>
                </w:tcPr>
                <w:p w14:paraId="74BF37C9">
                  <w:pPr>
                    <w:pStyle w:val="33"/>
                    <w:bidi w:val="0"/>
                    <w:rPr>
                      <w:rFonts w:hint="default" w:ascii="Times New Roman" w:hAnsi="Times New Roman" w:cs="Times New Roman"/>
                      <w:color w:val="0000FF"/>
                    </w:rPr>
                  </w:pPr>
                </w:p>
              </w:tc>
              <w:tc>
                <w:tcPr>
                  <w:tcW w:w="1447" w:type="pct"/>
                  <w:tcBorders>
                    <w:tl2br w:val="nil"/>
                    <w:tr2bl w:val="nil"/>
                  </w:tcBorders>
                  <w:vAlign w:val="center"/>
                </w:tcPr>
                <w:p w14:paraId="79F39599">
                  <w:pPr>
                    <w:pStyle w:val="33"/>
                    <w:bidi w:val="0"/>
                    <w:rPr>
                      <w:rFonts w:hint="default" w:ascii="Times New Roman" w:hAnsi="Times New Roman" w:cs="Times New Roman"/>
                      <w:color w:val="0000FF"/>
                    </w:rPr>
                  </w:pPr>
                  <w:r>
                    <w:rPr>
                      <w:rFonts w:hint="default" w:ascii="Times New Roman" w:hAnsi="Times New Roman" w:cs="Times New Roman"/>
                      <w:color w:val="0000FF"/>
                      <w:lang w:val="en-US" w:eastAsia="zh-CN"/>
                    </w:rPr>
                    <w:t>202</w:t>
                  </w:r>
                  <w:r>
                    <w:rPr>
                      <w:rFonts w:hint="eastAsia" w:cs="Times New Roman"/>
                      <w:color w:val="0000FF"/>
                      <w:lang w:val="en-US" w:eastAsia="zh-CN"/>
                    </w:rPr>
                    <w:t>5</w:t>
                  </w:r>
                  <w:r>
                    <w:rPr>
                      <w:rFonts w:hint="default" w:ascii="Times New Roman" w:hAnsi="Times New Roman" w:cs="Times New Roman"/>
                      <w:color w:val="0000FF"/>
                      <w:lang w:val="en-US" w:eastAsia="zh-CN"/>
                    </w:rPr>
                    <w:t>年</w:t>
                  </w:r>
                  <w:r>
                    <w:rPr>
                      <w:rFonts w:hint="eastAsia" w:cs="Times New Roman"/>
                      <w:color w:val="0000FF"/>
                      <w:lang w:val="en-US" w:eastAsia="zh-CN"/>
                    </w:rPr>
                    <w:t>7</w:t>
                  </w:r>
                  <w:r>
                    <w:rPr>
                      <w:rFonts w:hint="default" w:ascii="Times New Roman" w:hAnsi="Times New Roman" w:cs="Times New Roman"/>
                      <w:color w:val="0000FF"/>
                      <w:lang w:val="en-US" w:eastAsia="zh-CN"/>
                    </w:rPr>
                    <w:t>月</w:t>
                  </w:r>
                  <w:r>
                    <w:rPr>
                      <w:rFonts w:hint="eastAsia" w:cs="Times New Roman"/>
                      <w:color w:val="0000FF"/>
                      <w:lang w:val="en-US" w:eastAsia="zh-CN"/>
                    </w:rPr>
                    <w:t>7</w:t>
                  </w:r>
                  <w:r>
                    <w:rPr>
                      <w:rFonts w:hint="default" w:ascii="Times New Roman" w:hAnsi="Times New Roman" w:cs="Times New Roman"/>
                      <w:color w:val="0000FF"/>
                      <w:lang w:val="en-US" w:eastAsia="zh-CN"/>
                    </w:rPr>
                    <w:t>日</w:t>
                  </w:r>
                  <w:r>
                    <w:rPr>
                      <w:rFonts w:hint="eastAsia" w:cs="Times New Roman"/>
                      <w:color w:val="0000FF"/>
                      <w:lang w:val="en-US" w:eastAsia="zh-CN"/>
                    </w:rPr>
                    <w:t>-8日</w:t>
                  </w:r>
                </w:p>
              </w:tc>
              <w:tc>
                <w:tcPr>
                  <w:tcW w:w="652" w:type="pct"/>
                  <w:tcBorders>
                    <w:tl2br w:val="nil"/>
                    <w:tr2bl w:val="nil"/>
                  </w:tcBorders>
                  <w:vAlign w:val="center"/>
                </w:tcPr>
                <w:p w14:paraId="4BE910A2">
                  <w:pPr>
                    <w:pStyle w:val="33"/>
                    <w:bidi w:val="0"/>
                    <w:rPr>
                      <w:rFonts w:hint="default" w:ascii="Times New Roman" w:hAnsi="Times New Roman" w:eastAsia="宋体" w:cs="Times New Roman"/>
                      <w:color w:val="0000FF"/>
                      <w:lang w:val="en-US" w:eastAsia="zh-CN"/>
                    </w:rPr>
                  </w:pPr>
                  <w:r>
                    <w:rPr>
                      <w:rFonts w:hint="eastAsia" w:cs="Times New Roman"/>
                      <w:color w:val="0000FF"/>
                      <w:lang w:val="en-US" w:eastAsia="zh-CN"/>
                    </w:rPr>
                    <w:t>0.176</w:t>
                  </w:r>
                </w:p>
              </w:tc>
              <w:tc>
                <w:tcPr>
                  <w:tcW w:w="733" w:type="pct"/>
                  <w:vMerge w:val="continue"/>
                  <w:tcBorders>
                    <w:tl2br w:val="nil"/>
                    <w:tr2bl w:val="nil"/>
                  </w:tcBorders>
                  <w:vAlign w:val="center"/>
                </w:tcPr>
                <w:p w14:paraId="115AED49">
                  <w:pPr>
                    <w:pStyle w:val="33"/>
                    <w:bidi w:val="0"/>
                    <w:rPr>
                      <w:rFonts w:hint="default" w:ascii="Times New Roman" w:hAnsi="Times New Roman" w:cs="Times New Roman"/>
                      <w:color w:val="0000FF"/>
                    </w:rPr>
                  </w:pPr>
                </w:p>
              </w:tc>
              <w:tc>
                <w:tcPr>
                  <w:tcW w:w="711" w:type="pct"/>
                  <w:tcBorders>
                    <w:tl2br w:val="nil"/>
                    <w:tr2bl w:val="nil"/>
                  </w:tcBorders>
                  <w:vAlign w:val="center"/>
                </w:tcPr>
                <w:p w14:paraId="318AF384">
                  <w:pPr>
                    <w:pStyle w:val="33"/>
                    <w:bidi w:val="0"/>
                    <w:rPr>
                      <w:rFonts w:hint="default" w:ascii="Times New Roman" w:hAnsi="Times New Roman" w:eastAsia="宋体" w:cs="Times New Roman"/>
                      <w:color w:val="0000FF"/>
                      <w:lang w:val="en-US" w:eastAsia="zh-CN"/>
                    </w:rPr>
                  </w:pPr>
                  <w:r>
                    <w:rPr>
                      <w:rFonts w:hint="default" w:ascii="Times New Roman" w:hAnsi="Times New Roman" w:cs="Times New Roman"/>
                      <w:color w:val="0000FF"/>
                      <w:lang w:val="en-US" w:eastAsia="zh-CN"/>
                    </w:rPr>
                    <w:t>达标</w:t>
                  </w:r>
                </w:p>
              </w:tc>
            </w:tr>
          </w:tbl>
          <w:p w14:paraId="417A3DD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b/>
                <w:bCs/>
                <w:color w:val="0000FF"/>
                <w:sz w:val="24"/>
                <w:highlight w:val="none"/>
                <w:u w:val="none"/>
                <w:lang w:val="en-US" w:eastAsia="zh-CN"/>
              </w:rPr>
            </w:pPr>
            <w:r>
              <w:rPr>
                <w:rFonts w:hint="default" w:ascii="Times New Roman" w:hAnsi="Times New Roman" w:cs="Times New Roman"/>
                <w:color w:val="0000FF"/>
                <w:highlight w:val="none"/>
                <w:lang w:val="en-US" w:eastAsia="zh-CN"/>
              </w:rPr>
              <w:t>根据</w:t>
            </w:r>
            <w:r>
              <w:rPr>
                <w:rFonts w:hint="eastAsia" w:cs="Times New Roman"/>
                <w:color w:val="0000FF"/>
                <w:highlight w:val="none"/>
                <w:lang w:val="en-US" w:eastAsia="zh-CN"/>
              </w:rPr>
              <w:t>监测</w:t>
            </w:r>
            <w:r>
              <w:rPr>
                <w:rFonts w:hint="default" w:ascii="Times New Roman" w:hAnsi="Times New Roman" w:cs="Times New Roman"/>
                <w:color w:val="0000FF"/>
                <w:highlight w:val="none"/>
                <w:lang w:val="en-US" w:eastAsia="zh-CN"/>
              </w:rPr>
              <w:t>数据，项目所在区域内TSP可达</w:t>
            </w:r>
            <w:r>
              <w:rPr>
                <w:rFonts w:hint="default" w:ascii="Times New Roman" w:hAnsi="Times New Roman" w:eastAsia="宋体" w:cs="Times New Roman"/>
                <w:color w:val="0000FF"/>
                <w:sz w:val="24"/>
              </w:rPr>
              <w:t>《环境空气质量标准》（GB3095-2012）中二级标准</w:t>
            </w:r>
            <w:r>
              <w:rPr>
                <w:rFonts w:hint="default" w:ascii="Times New Roman" w:hAnsi="Times New Roman" w:eastAsia="宋体" w:cs="Times New Roman"/>
                <w:color w:val="0000FF"/>
                <w:sz w:val="24"/>
                <w:lang w:eastAsia="zh-CN"/>
              </w:rPr>
              <w:t>。</w:t>
            </w:r>
          </w:p>
          <w:p w14:paraId="6084AA7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综上所述，项目所在区域的环境空气质量能达到《环境空气质量标准》（GB3095-2012）二级标准及其修改单，项目区域环境空气质量良好。</w:t>
            </w:r>
          </w:p>
          <w:p w14:paraId="2C48763A">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2、地表水环境质量现状</w:t>
            </w:r>
          </w:p>
          <w:p w14:paraId="31997900">
            <w:pPr>
              <w:ind w:firstLine="480"/>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根据项目区域水系图可知，本项目距离最近的地表水体为项目东南方向17</w:t>
            </w:r>
            <w:r>
              <w:rPr>
                <w:rFonts w:hint="eastAsia" w:cs="Times New Roman"/>
                <w:color w:val="auto"/>
                <w:highlight w:val="none"/>
                <w:u w:val="none"/>
                <w:lang w:val="en-US" w:eastAsia="zh-CN"/>
              </w:rPr>
              <w:t>42</w:t>
            </w:r>
            <w:r>
              <w:rPr>
                <w:rFonts w:hint="default" w:ascii="Times New Roman" w:hAnsi="Times New Roman" w:eastAsia="宋体" w:cs="Times New Roman"/>
                <w:color w:val="auto"/>
                <w:highlight w:val="none"/>
                <w:u w:val="none"/>
                <w:lang w:val="en-US" w:eastAsia="zh-CN"/>
              </w:rPr>
              <w:t>m处的三月三水库，三月三水库</w:t>
            </w:r>
            <w:r>
              <w:rPr>
                <w:rFonts w:hint="eastAsia" w:cs="Times New Roman"/>
                <w:color w:val="auto"/>
                <w:highlight w:val="none"/>
                <w:u w:val="none"/>
                <w:lang w:val="en-US" w:eastAsia="zh-CN"/>
              </w:rPr>
              <w:t>水流</w:t>
            </w:r>
            <w:r>
              <w:rPr>
                <w:rFonts w:hint="default" w:ascii="Times New Roman" w:hAnsi="Times New Roman" w:eastAsia="宋体" w:cs="Times New Roman"/>
                <w:color w:val="auto"/>
                <w:highlight w:val="none"/>
                <w:u w:val="none"/>
                <w:lang w:val="en-US" w:eastAsia="zh-CN"/>
              </w:rPr>
              <w:t>出库后</w:t>
            </w:r>
            <w:r>
              <w:rPr>
                <w:rFonts w:hint="eastAsia" w:cs="Times New Roman"/>
                <w:color w:val="auto"/>
                <w:highlight w:val="none"/>
                <w:u w:val="none"/>
                <w:lang w:val="en-US" w:eastAsia="zh-CN"/>
              </w:rPr>
              <w:t>汇入前进河</w:t>
            </w:r>
            <w:r>
              <w:rPr>
                <w:rFonts w:hint="default" w:ascii="Times New Roman" w:hAnsi="Times New Roman" w:eastAsia="宋体" w:cs="Times New Roman"/>
                <w:color w:val="auto"/>
                <w:highlight w:val="none"/>
                <w:u w:val="none"/>
                <w:lang w:val="en-US" w:eastAsia="zh-CN"/>
              </w:rPr>
              <w:t>，经县城东南边蜿延流向仁德坝子北面，于仁德街道办事处我戛村汇入牛栏江。</w:t>
            </w:r>
          </w:p>
          <w:p w14:paraId="1303F31C">
            <w:pPr>
              <w:ind w:firstLine="48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根据《昆明市和滇中产业新区水功能区划》（2011-2030年），项目区属于前进河寻甸开发利用区，于三月三水库起始至入牛栏江汇口，河长10.7km，现状水质为Ⅳ类，规划水平年水质保护目标按水功能二级区划执行，2030规划水平年水质保护目标为Ⅲ类。按照支流服从干流的原则，</w:t>
            </w:r>
            <w:r>
              <w:rPr>
                <w:rFonts w:hint="eastAsia" w:cs="Times New Roman"/>
                <w:color w:val="auto"/>
                <w:u w:val="none"/>
                <w:lang w:val="en-US" w:eastAsia="zh-CN"/>
              </w:rPr>
              <w:t>三月三水库</w:t>
            </w:r>
            <w:r>
              <w:rPr>
                <w:rFonts w:hint="default" w:ascii="Times New Roman" w:hAnsi="Times New Roman" w:eastAsia="宋体" w:cs="Times New Roman"/>
                <w:color w:val="auto"/>
                <w:u w:val="none"/>
                <w:lang w:val="en-US" w:eastAsia="zh-CN"/>
              </w:rPr>
              <w:t>水质执行《地表水环境质量标准》（GB3838-2002）中Ⅲ类水质标准。</w:t>
            </w:r>
          </w:p>
          <w:p w14:paraId="274A835B">
            <w:pPr>
              <w:ind w:firstLine="480"/>
              <w:rPr>
                <w:rFonts w:hint="default" w:ascii="Times New Roman" w:hAnsi="Times New Roman" w:eastAsia="宋体" w:cs="Times New Roman"/>
                <w:color w:val="0000FF"/>
                <w:u w:val="none"/>
                <w:lang w:val="en-US" w:eastAsia="zh-CN"/>
              </w:rPr>
            </w:pPr>
            <w:r>
              <w:rPr>
                <w:rFonts w:hint="eastAsia" w:ascii="Times New Roman" w:hAnsi="Times New Roman" w:eastAsia="宋体" w:cs="Times New Roman"/>
                <w:bCs/>
                <w:color w:val="0000FF"/>
                <w:kern w:val="2"/>
                <w:sz w:val="24"/>
                <w:szCs w:val="24"/>
                <w:highlight w:val="none"/>
                <w:lang w:val="zh-CN" w:eastAsia="zh-CN" w:bidi="ar-SA"/>
              </w:rPr>
              <w:t>根据《202</w:t>
            </w:r>
            <w:r>
              <w:rPr>
                <w:rFonts w:hint="eastAsia" w:ascii="Times New Roman" w:hAnsi="Times New Roman" w:eastAsia="宋体" w:cs="Times New Roman"/>
                <w:bCs/>
                <w:color w:val="0000FF"/>
                <w:kern w:val="2"/>
                <w:sz w:val="24"/>
                <w:szCs w:val="24"/>
                <w:highlight w:val="none"/>
                <w:lang w:val="en-US" w:eastAsia="zh-CN" w:bidi="ar-SA"/>
              </w:rPr>
              <w:t>4</w:t>
            </w:r>
            <w:r>
              <w:rPr>
                <w:rFonts w:hint="eastAsia" w:ascii="Times New Roman" w:hAnsi="Times New Roman" w:eastAsia="宋体" w:cs="Times New Roman"/>
                <w:bCs/>
                <w:color w:val="0000FF"/>
                <w:kern w:val="2"/>
                <w:sz w:val="24"/>
                <w:szCs w:val="24"/>
                <w:highlight w:val="none"/>
                <w:lang w:val="zh-CN" w:eastAsia="zh-CN" w:bidi="ar-SA"/>
              </w:rPr>
              <w:t>年度昆明市生态环境状况公报》可知，</w:t>
            </w:r>
            <w:r>
              <w:rPr>
                <w:rFonts w:hint="default" w:ascii="Times New Roman" w:hAnsi="Times New Roman" w:eastAsia="宋体" w:cs="Times New Roman"/>
                <w:color w:val="0000FF"/>
                <w:u w:val="none"/>
                <w:lang w:val="en-US" w:eastAsia="zh-CN"/>
              </w:rPr>
              <w:t>牛栏江与2023年相比，牛栏江干流段的四营水文站、崔家庄、七星水文站断面水质类别保持Ⅲ类不变，河口断面水质类别保持Ⅱ类不变。</w:t>
            </w:r>
            <w:r>
              <w:rPr>
                <w:rFonts w:hint="eastAsia" w:cs="Times New Roman"/>
                <w:color w:val="0000FF"/>
                <w:u w:val="none"/>
                <w:lang w:val="en-US" w:eastAsia="zh-CN"/>
              </w:rPr>
              <w:t>项目区域周边水系能满足</w:t>
            </w:r>
            <w:r>
              <w:rPr>
                <w:rFonts w:hint="default" w:ascii="Times New Roman" w:hAnsi="Times New Roman" w:eastAsia="宋体" w:cs="Times New Roman"/>
                <w:color w:val="0000FF"/>
                <w:u w:val="none"/>
                <w:lang w:val="en-US" w:eastAsia="zh-CN"/>
              </w:rPr>
              <w:t>《地表水环境质量标准》（GB3838-2002）III类标准。</w:t>
            </w:r>
          </w:p>
          <w:p w14:paraId="6DCB9BAB">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b/>
                <w:bCs/>
                <w:color w:val="auto"/>
                <w:sz w:val="24"/>
                <w:u w:val="none"/>
                <w:lang w:val="en-US" w:eastAsia="zh-CN"/>
              </w:rPr>
              <w:t>3、声环境质量现状</w:t>
            </w:r>
          </w:p>
          <w:p w14:paraId="3A3FC62F">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0000FF"/>
                <w:kern w:val="2"/>
                <w:sz w:val="24"/>
                <w:szCs w:val="24"/>
                <w:highlight w:val="none"/>
                <w:lang w:val="en-US" w:eastAsia="zh-CN" w:bidi="ar-SA"/>
              </w:rPr>
            </w:pPr>
            <w:r>
              <w:rPr>
                <w:rFonts w:hint="default" w:ascii="Times New Roman" w:hAnsi="Times New Roman" w:eastAsia="宋体" w:cs="Times New Roman"/>
                <w:bCs/>
                <w:color w:val="0000FF"/>
                <w:kern w:val="2"/>
                <w:sz w:val="24"/>
                <w:szCs w:val="24"/>
                <w:highlight w:val="none"/>
                <w:lang w:val="en-US" w:eastAsia="zh-CN" w:bidi="ar-SA"/>
              </w:rPr>
              <w:t>本项目位于云南省昆明市寻甸县金所街道三月三路中段，</w:t>
            </w:r>
            <w:r>
              <w:rPr>
                <w:rFonts w:hint="eastAsia" w:cs="Times New Roman"/>
                <w:bCs/>
                <w:color w:val="0000FF"/>
                <w:kern w:val="2"/>
                <w:sz w:val="24"/>
                <w:szCs w:val="24"/>
                <w:highlight w:val="none"/>
                <w:lang w:val="en-US" w:eastAsia="zh-CN" w:bidi="ar-SA"/>
              </w:rPr>
              <w:t>项目北侧距离三月三路中心红</w:t>
            </w:r>
            <w:r>
              <w:rPr>
                <w:rFonts w:hint="eastAsia" w:ascii="Times New Roman" w:hAnsi="Times New Roman" w:eastAsia="宋体" w:cs="Times New Roman"/>
                <w:color w:val="0000FF"/>
                <w:u w:val="none"/>
                <w:lang w:val="en-US" w:eastAsia="zh-CN"/>
              </w:rPr>
              <w:t>线±35m</w:t>
            </w:r>
            <w:r>
              <w:rPr>
                <w:rFonts w:hint="eastAsia" w:cs="Times New Roman"/>
                <w:color w:val="0000FF"/>
                <w:u w:val="none"/>
                <w:lang w:val="en-US" w:eastAsia="zh-CN"/>
              </w:rPr>
              <w:t>范围内</w:t>
            </w:r>
            <w:r>
              <w:rPr>
                <w:rFonts w:hint="eastAsia" w:ascii="Times New Roman" w:hAnsi="Times New Roman" w:eastAsia="宋体" w:cs="Times New Roman"/>
                <w:color w:val="0000FF"/>
                <w:u w:val="none"/>
                <w:lang w:val="en-US" w:eastAsia="zh-CN"/>
              </w:rPr>
              <w:t>为</w:t>
            </w:r>
            <w:r>
              <w:rPr>
                <w:rFonts w:hint="default" w:ascii="Times New Roman" w:hAnsi="Times New Roman" w:eastAsia="宋体" w:cs="Times New Roman"/>
                <w:bCs/>
                <w:color w:val="0000FF"/>
                <w:kern w:val="2"/>
                <w:sz w:val="24"/>
                <w:szCs w:val="24"/>
                <w:highlight w:val="none"/>
                <w:lang w:val="en-US" w:eastAsia="zh-CN" w:bidi="ar-SA"/>
              </w:rPr>
              <w:t>《声环</w:t>
            </w:r>
            <w:r>
              <w:rPr>
                <w:rFonts w:hint="eastAsia" w:ascii="Times New Roman" w:hAnsi="Times New Roman" w:eastAsia="宋体" w:cs="Times New Roman"/>
                <w:bCs/>
                <w:color w:val="0000FF"/>
                <w:kern w:val="2"/>
                <w:sz w:val="24"/>
                <w:szCs w:val="24"/>
                <w:highlight w:val="none"/>
                <w:lang w:val="en-US" w:eastAsia="zh-CN" w:bidi="ar-SA"/>
              </w:rPr>
              <w:t>境质量标准》（GB3096-2008）</w:t>
            </w:r>
            <w:r>
              <w:rPr>
                <w:rFonts w:hint="eastAsia" w:cs="Times New Roman"/>
                <w:bCs/>
                <w:color w:val="0000FF"/>
                <w:kern w:val="2"/>
                <w:sz w:val="24"/>
                <w:szCs w:val="24"/>
                <w:highlight w:val="none"/>
                <w:lang w:val="en-US" w:eastAsia="zh-CN" w:bidi="ar-SA"/>
              </w:rPr>
              <w:t>4a类区，其他区域为</w:t>
            </w:r>
            <w:r>
              <w:rPr>
                <w:rFonts w:hint="eastAsia" w:ascii="Times New Roman" w:hAnsi="Times New Roman" w:eastAsia="宋体" w:cs="Times New Roman"/>
                <w:bCs/>
                <w:color w:val="0000FF"/>
                <w:kern w:val="2"/>
                <w:sz w:val="24"/>
                <w:szCs w:val="24"/>
                <w:highlight w:val="none"/>
                <w:lang w:val="en-US" w:eastAsia="zh-CN" w:bidi="ar-SA"/>
              </w:rPr>
              <w:t>2类区，</w:t>
            </w:r>
            <w:r>
              <w:rPr>
                <w:rFonts w:hint="eastAsia" w:cs="Times New Roman"/>
                <w:bCs/>
                <w:color w:val="0000FF"/>
                <w:kern w:val="2"/>
                <w:sz w:val="24"/>
                <w:szCs w:val="24"/>
                <w:highlight w:val="none"/>
                <w:lang w:val="en-US" w:eastAsia="zh-CN" w:bidi="ar-SA"/>
              </w:rPr>
              <w:t>项目北侧距离三月三路中心红</w:t>
            </w:r>
            <w:r>
              <w:rPr>
                <w:rFonts w:hint="eastAsia" w:ascii="Times New Roman" w:hAnsi="Times New Roman" w:eastAsia="宋体" w:cs="Times New Roman"/>
                <w:color w:val="0000FF"/>
                <w:u w:val="none"/>
                <w:lang w:val="en-US" w:eastAsia="zh-CN"/>
              </w:rPr>
              <w:t>线±35m</w:t>
            </w:r>
            <w:r>
              <w:rPr>
                <w:rFonts w:hint="eastAsia" w:cs="Times New Roman"/>
                <w:color w:val="0000FF"/>
                <w:u w:val="none"/>
                <w:lang w:val="en-US" w:eastAsia="zh-CN"/>
              </w:rPr>
              <w:t>范围</w:t>
            </w:r>
            <w:r>
              <w:rPr>
                <w:rFonts w:hint="eastAsia" w:ascii="Times New Roman" w:hAnsi="Times New Roman" w:eastAsia="宋体" w:cs="Times New Roman"/>
                <w:bCs/>
                <w:color w:val="0000FF"/>
                <w:kern w:val="2"/>
                <w:sz w:val="24"/>
                <w:szCs w:val="24"/>
                <w:highlight w:val="none"/>
                <w:lang w:val="en-US" w:eastAsia="zh-CN" w:bidi="ar-SA"/>
              </w:rPr>
              <w:t>执行《声环境质量标准》（GB3096-2008）</w:t>
            </w:r>
            <w:r>
              <w:rPr>
                <w:rFonts w:hint="eastAsia" w:cs="Times New Roman"/>
                <w:bCs/>
                <w:color w:val="0000FF"/>
                <w:kern w:val="2"/>
                <w:sz w:val="24"/>
                <w:szCs w:val="24"/>
                <w:highlight w:val="none"/>
                <w:lang w:val="en-US" w:eastAsia="zh-CN" w:bidi="ar-SA"/>
              </w:rPr>
              <w:t>4a类标准，其他区域执行</w:t>
            </w:r>
            <w:r>
              <w:rPr>
                <w:rFonts w:hint="eastAsia" w:ascii="Times New Roman" w:hAnsi="Times New Roman" w:eastAsia="宋体" w:cs="Times New Roman"/>
                <w:bCs/>
                <w:color w:val="0000FF"/>
                <w:kern w:val="2"/>
                <w:sz w:val="24"/>
                <w:szCs w:val="24"/>
                <w:highlight w:val="none"/>
                <w:lang w:val="en-US" w:eastAsia="zh-CN" w:bidi="ar-SA"/>
              </w:rPr>
              <w:t>2类标准，</w:t>
            </w:r>
            <w:r>
              <w:rPr>
                <w:rFonts w:hint="default" w:ascii="Times New Roman" w:hAnsi="Times New Roman" w:eastAsia="宋体" w:cs="Times New Roman"/>
                <w:bCs/>
                <w:color w:val="0000FF"/>
                <w:kern w:val="2"/>
                <w:sz w:val="24"/>
                <w:szCs w:val="24"/>
                <w:highlight w:val="none"/>
                <w:lang w:val="en-US" w:eastAsia="zh-CN" w:bidi="ar-SA"/>
              </w:rPr>
              <w:t>本项目50m范围内无声环境保护目标。</w:t>
            </w:r>
          </w:p>
          <w:p w14:paraId="35B2BEF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zh-CN" w:eastAsia="zh-CN" w:bidi="ar-SA"/>
              </w:rPr>
              <w:t>根据《202</w:t>
            </w:r>
            <w:r>
              <w:rPr>
                <w:rFonts w:hint="eastAsia" w:ascii="Times New Roman" w:hAnsi="Times New Roman" w:eastAsia="宋体" w:cs="Times New Roman"/>
                <w:bCs/>
                <w:color w:val="auto"/>
                <w:kern w:val="2"/>
                <w:sz w:val="24"/>
                <w:szCs w:val="24"/>
                <w:highlight w:val="none"/>
                <w:lang w:val="en-US" w:eastAsia="zh-CN" w:bidi="ar-SA"/>
              </w:rPr>
              <w:t>4</w:t>
            </w:r>
            <w:r>
              <w:rPr>
                <w:rFonts w:hint="eastAsia" w:ascii="Times New Roman" w:hAnsi="Times New Roman" w:eastAsia="宋体" w:cs="Times New Roman"/>
                <w:bCs/>
                <w:color w:val="auto"/>
                <w:kern w:val="2"/>
                <w:sz w:val="24"/>
                <w:szCs w:val="24"/>
                <w:highlight w:val="none"/>
                <w:lang w:val="zh-CN" w:eastAsia="zh-CN" w:bidi="ar-SA"/>
              </w:rPr>
              <w:t>年度昆明市生态环境状况公报》可知，</w:t>
            </w:r>
            <w:r>
              <w:rPr>
                <w:rFonts w:hint="default" w:ascii="Times New Roman" w:hAnsi="Times New Roman" w:eastAsia="宋体" w:cs="Times New Roman"/>
                <w:bCs/>
                <w:color w:val="auto"/>
                <w:kern w:val="2"/>
                <w:sz w:val="24"/>
                <w:szCs w:val="24"/>
                <w:highlight w:val="none"/>
                <w:lang w:val="en-US" w:eastAsia="zh-CN" w:bidi="ar-SA"/>
              </w:rPr>
              <w:t>202</w:t>
            </w:r>
            <w:r>
              <w:rPr>
                <w:rFonts w:hint="eastAsia" w:ascii="Times New Roman" w:hAnsi="Times New Roman" w:eastAsia="宋体" w:cs="Times New Roman"/>
                <w:bCs/>
                <w:color w:val="auto"/>
                <w:kern w:val="2"/>
                <w:sz w:val="24"/>
                <w:szCs w:val="24"/>
                <w:highlight w:val="none"/>
                <w:lang w:val="en-US" w:eastAsia="zh-CN" w:bidi="ar-SA"/>
              </w:rPr>
              <w:t>4</w:t>
            </w:r>
            <w:r>
              <w:rPr>
                <w:rFonts w:hint="default" w:ascii="Times New Roman" w:hAnsi="Times New Roman" w:eastAsia="宋体" w:cs="Times New Roman"/>
                <w:bCs/>
                <w:color w:val="auto"/>
                <w:kern w:val="2"/>
                <w:sz w:val="24"/>
                <w:szCs w:val="24"/>
                <w:highlight w:val="none"/>
                <w:lang w:val="en-US" w:eastAsia="zh-CN" w:bidi="ar-SA"/>
              </w:rPr>
              <w:t>年，</w:t>
            </w:r>
            <w:r>
              <w:rPr>
                <w:rFonts w:hint="eastAsia" w:ascii="Times New Roman" w:hAnsi="Times New Roman" w:eastAsia="宋体" w:cs="Times New Roman"/>
                <w:bCs/>
                <w:color w:val="auto"/>
                <w:kern w:val="2"/>
                <w:sz w:val="24"/>
                <w:szCs w:val="24"/>
                <w:highlight w:val="none"/>
                <w:lang w:val="en-US" w:eastAsia="zh-CN" w:bidi="ar-SA"/>
              </w:rPr>
              <w:t>寻甸县</w:t>
            </w:r>
            <w:r>
              <w:rPr>
                <w:rFonts w:hint="default" w:ascii="Times New Roman" w:hAnsi="Times New Roman" w:eastAsia="宋体" w:cs="Times New Roman"/>
                <w:bCs/>
                <w:color w:val="auto"/>
                <w:kern w:val="2"/>
                <w:sz w:val="24"/>
                <w:szCs w:val="24"/>
                <w:highlight w:val="none"/>
                <w:lang w:val="en-US" w:eastAsia="zh-CN" w:bidi="ar-SA"/>
              </w:rPr>
              <w:t>区域环境昼间等效声级平均值为46.</w:t>
            </w:r>
            <w:r>
              <w:rPr>
                <w:rFonts w:hint="eastAsia" w:ascii="Times New Roman" w:hAnsi="Times New Roman" w:eastAsia="宋体" w:cs="Times New Roman"/>
                <w:bCs/>
                <w:color w:val="auto"/>
                <w:kern w:val="2"/>
                <w:sz w:val="24"/>
                <w:szCs w:val="24"/>
                <w:highlight w:val="none"/>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分贝</w:t>
            </w:r>
            <w:r>
              <w:rPr>
                <w:rFonts w:hint="eastAsia" w:ascii="Times New Roman" w:hAnsi="Times New Roman" w:eastAsia="宋体" w:cs="Times New Roman"/>
                <w:bCs/>
                <w:color w:val="auto"/>
                <w:kern w:val="2"/>
                <w:sz w:val="24"/>
                <w:szCs w:val="24"/>
                <w:highlight w:val="none"/>
                <w:lang w:val="en-US" w:eastAsia="zh-CN" w:bidi="ar-SA"/>
              </w:rPr>
              <w:t>，</w:t>
            </w:r>
            <w:r>
              <w:rPr>
                <w:rFonts w:hint="default" w:ascii="Times New Roman" w:hAnsi="Times New Roman" w:eastAsia="宋体" w:cs="Times New Roman"/>
                <w:bCs/>
                <w:color w:val="auto"/>
                <w:kern w:val="2"/>
                <w:sz w:val="24"/>
                <w:szCs w:val="24"/>
                <w:highlight w:val="none"/>
                <w:lang w:val="en-US" w:eastAsia="zh-CN" w:bidi="ar-SA"/>
              </w:rPr>
              <w:t>寻甸县区域昼间环境噪声总体水平评价为一级（好）。项目区声环境质量可满足《声环境质量标准》（GB3096-2008）</w:t>
            </w:r>
            <w:r>
              <w:rPr>
                <w:rFonts w:hint="eastAsia" w:ascii="Times New Roman" w:hAnsi="Times New Roman" w:eastAsia="宋体" w:cs="Times New Roman"/>
                <w:bCs/>
                <w:color w:val="auto"/>
                <w:kern w:val="2"/>
                <w:sz w:val="24"/>
                <w:szCs w:val="24"/>
                <w:highlight w:val="none"/>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类区标准要求。</w:t>
            </w:r>
          </w:p>
          <w:p w14:paraId="7B75DBBC">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4、生态环境</w:t>
            </w:r>
          </w:p>
          <w:p w14:paraId="42487D49">
            <w:pPr>
              <w:pStyle w:val="34"/>
              <w:keepNext w:val="0"/>
              <w:keepLines w:val="0"/>
              <w:pageBreakBefore w:val="0"/>
              <w:widowControl w:val="0"/>
              <w:kinsoku/>
              <w:wordWrap/>
              <w:overflowPunct/>
              <w:topLinePunct w:val="0"/>
              <w:autoSpaceDE/>
              <w:autoSpaceDN/>
              <w:bidi w:val="0"/>
              <w:ind w:firstLine="480"/>
              <w:textAlignment w:val="auto"/>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rPr>
              <w:t>本项目位于</w:t>
            </w:r>
            <w:r>
              <w:rPr>
                <w:rFonts w:hint="default" w:ascii="Times New Roman" w:hAnsi="Times New Roman" w:eastAsia="宋体" w:cs="Times New Roman"/>
                <w:color w:val="auto"/>
                <w:sz w:val="24"/>
                <w:u w:val="none"/>
                <w:lang w:val="en-US" w:eastAsia="zh-CN"/>
              </w:rPr>
              <w:t>云南省昆明市寻甸县金所街道三月三路中段</w:t>
            </w:r>
            <w:r>
              <w:rPr>
                <w:rFonts w:hint="default" w:ascii="Times New Roman" w:hAnsi="Times New Roman" w:eastAsia="宋体" w:cs="Times New Roman"/>
                <w:color w:val="auto"/>
                <w:sz w:val="24"/>
                <w:u w:val="none"/>
              </w:rPr>
              <w:t>，</w:t>
            </w:r>
            <w:r>
              <w:rPr>
                <w:rFonts w:hint="eastAsia" w:ascii="Times New Roman" w:hAnsi="Times New Roman" w:eastAsia="宋体" w:cs="Times New Roman"/>
                <w:color w:val="auto"/>
                <w:sz w:val="24"/>
                <w:u w:val="none"/>
                <w:lang w:val="en-US" w:eastAsia="zh-CN"/>
              </w:rPr>
              <w:t>项目租用</w:t>
            </w:r>
            <w:r>
              <w:rPr>
                <w:rFonts w:hint="eastAsia" w:cs="Times New Roman"/>
                <w:color w:val="auto"/>
                <w:sz w:val="24"/>
                <w:u w:val="none"/>
                <w:lang w:val="en-US" w:eastAsia="zh-CN"/>
              </w:rPr>
              <w:t>云南昆明亦标水泥有限公司</w:t>
            </w:r>
            <w:r>
              <w:rPr>
                <w:rFonts w:hint="eastAsia" w:ascii="Times New Roman" w:hAnsi="Times New Roman" w:eastAsia="宋体" w:cs="Times New Roman"/>
                <w:color w:val="auto"/>
                <w:sz w:val="24"/>
                <w:u w:val="none"/>
                <w:lang w:val="en-US" w:eastAsia="zh-CN"/>
              </w:rPr>
              <w:t>现有用地进行建设，</w:t>
            </w:r>
            <w:r>
              <w:rPr>
                <w:rFonts w:hint="default" w:ascii="Times New Roman" w:hAnsi="Times New Roman" w:eastAsia="宋体" w:cs="Times New Roman"/>
                <w:color w:val="auto"/>
                <w:sz w:val="24"/>
                <w:u w:val="none"/>
                <w:lang w:val="en-US" w:eastAsia="zh-CN"/>
              </w:rPr>
              <w:t>项目用地范围内已不存在原生植被</w:t>
            </w:r>
            <w:r>
              <w:rPr>
                <w:rFonts w:hint="eastAsia" w:ascii="Times New Roman" w:hAnsi="Times New Roman" w:eastAsia="宋体" w:cs="Times New Roman"/>
                <w:color w:val="auto"/>
                <w:sz w:val="24"/>
                <w:u w:val="none"/>
                <w:lang w:val="en-US" w:eastAsia="zh-CN"/>
              </w:rPr>
              <w:t>。</w:t>
            </w:r>
            <w:r>
              <w:rPr>
                <w:rFonts w:hint="default" w:ascii="Times New Roman" w:hAnsi="Times New Roman" w:eastAsia="宋体" w:cs="Times New Roman"/>
                <w:color w:val="auto"/>
                <w:sz w:val="24"/>
                <w:u w:val="none"/>
                <w:lang w:val="en-US" w:eastAsia="zh-CN"/>
              </w:rPr>
              <w:t>项目所在区域植物多为人工种植。无国家级及省级保护的珍稀动、植物，不涉及风景名胜区、自然保护区、世界文化和自然遗产地、饮用水源保护区等环境敏感的区域。</w:t>
            </w:r>
          </w:p>
          <w:p w14:paraId="16096764">
            <w:pPr>
              <w:pStyle w:val="34"/>
              <w:keepNext w:val="0"/>
              <w:keepLines w:val="0"/>
              <w:pageBreakBefore w:val="0"/>
              <w:widowControl w:val="0"/>
              <w:kinsoku/>
              <w:wordWrap/>
              <w:overflowPunct/>
              <w:topLinePunct w:val="0"/>
              <w:autoSpaceDE/>
              <w:autoSpaceDN/>
              <w:bidi w:val="0"/>
              <w:ind w:firstLine="480"/>
              <w:textAlignment w:val="auto"/>
              <w:rPr>
                <w:rFonts w:hint="default" w:ascii="Times New Roman" w:hAnsi="Times New Roman" w:eastAsia="宋体" w:cs="Times New Roman"/>
                <w:b/>
                <w:bCs/>
                <w:color w:val="auto"/>
                <w:sz w:val="24"/>
                <w:u w:val="none"/>
              </w:rPr>
            </w:pPr>
            <w:r>
              <w:rPr>
                <w:rFonts w:hint="default" w:ascii="Times New Roman" w:hAnsi="Times New Roman" w:eastAsia="宋体" w:cs="Times New Roman"/>
                <w:b/>
                <w:bCs/>
                <w:color w:val="auto"/>
                <w:sz w:val="24"/>
                <w:u w:val="none"/>
              </w:rPr>
              <w:t>5、土壤环境质量现状</w:t>
            </w:r>
          </w:p>
          <w:p w14:paraId="6BFD787E">
            <w:pPr>
              <w:pStyle w:val="34"/>
              <w:keepNext w:val="0"/>
              <w:keepLines w:val="0"/>
              <w:pageBreakBefore w:val="0"/>
              <w:widowControl w:val="0"/>
              <w:kinsoku/>
              <w:wordWrap/>
              <w:overflowPunct/>
              <w:topLinePunct w:val="0"/>
              <w:autoSpaceDE/>
              <w:autoSpaceDN/>
              <w:bidi w:val="0"/>
              <w:ind w:firstLine="480"/>
              <w:textAlignment w:val="auto"/>
              <w:rPr>
                <w:rFonts w:hint="eastAsia"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rPr>
              <w:t>根据《建设项目环境影响报告表编制技术指南（污染影响类）》，“原则上不开展</w:t>
            </w:r>
            <w:r>
              <w:rPr>
                <w:rFonts w:hint="eastAsia" w:ascii="Times New Roman" w:hAnsi="Times New Roman" w:eastAsia="宋体" w:cs="Times New Roman"/>
                <w:color w:val="auto"/>
                <w:sz w:val="24"/>
                <w:u w:val="none"/>
              </w:rPr>
              <w:t>土壤</w:t>
            </w:r>
            <w:r>
              <w:rPr>
                <w:rFonts w:hint="default" w:ascii="Times New Roman" w:hAnsi="Times New Roman" w:eastAsia="宋体" w:cs="Times New Roman"/>
                <w:color w:val="auto"/>
                <w:sz w:val="24"/>
                <w:u w:val="none"/>
              </w:rPr>
              <w:t>环境质量现状调查，建设项目存在</w:t>
            </w:r>
            <w:r>
              <w:rPr>
                <w:rFonts w:hint="eastAsia" w:ascii="Times New Roman" w:hAnsi="Times New Roman" w:eastAsia="宋体" w:cs="Times New Roman"/>
                <w:color w:val="auto"/>
                <w:sz w:val="24"/>
                <w:u w:val="none"/>
              </w:rPr>
              <w:t>土壤</w:t>
            </w:r>
            <w:r>
              <w:rPr>
                <w:rFonts w:hint="default" w:ascii="Times New Roman" w:hAnsi="Times New Roman" w:eastAsia="宋体" w:cs="Times New Roman"/>
                <w:color w:val="auto"/>
                <w:sz w:val="24"/>
                <w:u w:val="none"/>
              </w:rPr>
              <w:t>污染途径的，应结合污染源、保护目标分布情况开展现状调查以保留背景值”。本项目为中转储煤项目，不进行煤矿的采掘，</w:t>
            </w:r>
            <w:r>
              <w:rPr>
                <w:rFonts w:hint="eastAsia" w:ascii="Times New Roman" w:hAnsi="Times New Roman" w:eastAsia="宋体" w:cs="Times New Roman"/>
                <w:color w:val="auto"/>
                <w:sz w:val="24"/>
                <w:u w:val="none"/>
                <w:lang w:val="en-US" w:eastAsia="zh-CN"/>
              </w:rPr>
              <w:t>储煤仓库</w:t>
            </w:r>
            <w:r>
              <w:rPr>
                <w:rFonts w:hint="eastAsia" w:ascii="Times New Roman" w:hAnsi="Times New Roman" w:eastAsia="宋体" w:cs="Times New Roman"/>
                <w:color w:val="auto"/>
                <w:sz w:val="24"/>
                <w:u w:val="none"/>
              </w:rPr>
              <w:t>全封闭仅保留进出口，项目废气主要为颗粒物，不含有毒有害污染物质，</w:t>
            </w:r>
            <w:r>
              <w:rPr>
                <w:rFonts w:hint="default" w:ascii="Times New Roman" w:hAnsi="Times New Roman" w:eastAsia="宋体" w:cs="Times New Roman"/>
                <w:color w:val="auto"/>
                <w:sz w:val="24"/>
                <w:u w:val="none"/>
              </w:rPr>
              <w:t>项目废水主要为生活污水</w:t>
            </w:r>
            <w:r>
              <w:rPr>
                <w:rFonts w:hint="eastAsia" w:ascii="Times New Roman" w:hAnsi="Times New Roman" w:eastAsia="宋体" w:cs="Times New Roman"/>
                <w:color w:val="auto"/>
                <w:sz w:val="24"/>
                <w:u w:val="none"/>
                <w:lang w:val="en-US" w:eastAsia="zh-CN"/>
              </w:rPr>
              <w:t>和初期雨水</w:t>
            </w:r>
            <w:r>
              <w:rPr>
                <w:rFonts w:hint="default" w:ascii="Times New Roman" w:hAnsi="Times New Roman" w:eastAsia="宋体" w:cs="Times New Roman"/>
                <w:color w:val="auto"/>
                <w:sz w:val="24"/>
                <w:u w:val="none"/>
              </w:rPr>
              <w:t>，不涉及重金属及持久性污染物，亦不涉及剧毒化学品。在做好相应措施后，项目无</w:t>
            </w:r>
            <w:r>
              <w:rPr>
                <w:rFonts w:hint="eastAsia" w:ascii="Times New Roman" w:hAnsi="Times New Roman" w:eastAsia="宋体" w:cs="Times New Roman"/>
                <w:color w:val="auto"/>
                <w:sz w:val="24"/>
                <w:u w:val="none"/>
              </w:rPr>
              <w:t>土壤</w:t>
            </w:r>
            <w:r>
              <w:rPr>
                <w:rFonts w:hint="default" w:ascii="Times New Roman" w:hAnsi="Times New Roman" w:eastAsia="宋体" w:cs="Times New Roman"/>
                <w:color w:val="auto"/>
                <w:sz w:val="24"/>
                <w:u w:val="none"/>
              </w:rPr>
              <w:t>污染途径，不会对</w:t>
            </w:r>
            <w:r>
              <w:rPr>
                <w:rFonts w:hint="eastAsia" w:ascii="Times New Roman" w:hAnsi="Times New Roman" w:eastAsia="宋体" w:cs="Times New Roman"/>
                <w:color w:val="auto"/>
                <w:sz w:val="24"/>
                <w:u w:val="none"/>
              </w:rPr>
              <w:t>土壤</w:t>
            </w:r>
            <w:r>
              <w:rPr>
                <w:rFonts w:hint="default" w:ascii="Times New Roman" w:hAnsi="Times New Roman" w:eastAsia="宋体" w:cs="Times New Roman"/>
                <w:color w:val="auto"/>
                <w:sz w:val="24"/>
                <w:u w:val="none"/>
              </w:rPr>
              <w:t>环境产生影响</w:t>
            </w:r>
            <w:r>
              <w:rPr>
                <w:rFonts w:hint="eastAsia" w:ascii="Times New Roman" w:hAnsi="Times New Roman" w:eastAsia="宋体" w:cs="Times New Roman"/>
                <w:color w:val="auto"/>
                <w:sz w:val="24"/>
                <w:u w:val="none"/>
                <w:lang w:eastAsia="zh-CN"/>
              </w:rPr>
              <w:t>，</w:t>
            </w:r>
            <w:r>
              <w:rPr>
                <w:rFonts w:hint="eastAsia" w:ascii="Times New Roman" w:hAnsi="Times New Roman" w:eastAsia="宋体" w:cs="Times New Roman"/>
                <w:color w:val="auto"/>
                <w:sz w:val="24"/>
                <w:u w:val="none"/>
                <w:lang w:val="en-US" w:eastAsia="zh-CN"/>
              </w:rPr>
              <w:t>无需进行土壤现状调查。</w:t>
            </w:r>
          </w:p>
          <w:p w14:paraId="20FB7E11">
            <w:pPr>
              <w:pStyle w:val="34"/>
              <w:keepNext w:val="0"/>
              <w:keepLines w:val="0"/>
              <w:pageBreakBefore w:val="0"/>
              <w:widowControl w:val="0"/>
              <w:kinsoku/>
              <w:wordWrap/>
              <w:overflowPunct/>
              <w:topLinePunct w:val="0"/>
              <w:autoSpaceDE/>
              <w:autoSpaceDN/>
              <w:bidi w:val="0"/>
              <w:ind w:firstLine="480"/>
              <w:textAlignment w:val="auto"/>
              <w:rPr>
                <w:rFonts w:hint="default" w:ascii="Times New Roman" w:hAnsi="Times New Roman" w:eastAsia="宋体" w:cs="Times New Roman"/>
                <w:b/>
                <w:bCs/>
                <w:color w:val="auto"/>
                <w:sz w:val="24"/>
                <w:u w:val="none"/>
              </w:rPr>
            </w:pPr>
            <w:r>
              <w:rPr>
                <w:rFonts w:hint="default" w:ascii="Times New Roman" w:hAnsi="Times New Roman" w:eastAsia="宋体" w:cs="Times New Roman"/>
                <w:b/>
                <w:bCs/>
                <w:color w:val="auto"/>
                <w:sz w:val="24"/>
                <w:u w:val="none"/>
              </w:rPr>
              <w:t>6、地下水环境质量现状</w:t>
            </w:r>
          </w:p>
          <w:p w14:paraId="6289ADC1">
            <w:pPr>
              <w:pStyle w:val="34"/>
              <w:keepNext w:val="0"/>
              <w:keepLines w:val="0"/>
              <w:pageBreakBefore w:val="0"/>
              <w:widowControl w:val="0"/>
              <w:kinsoku/>
              <w:wordWrap/>
              <w:overflowPunct/>
              <w:topLinePunct w:val="0"/>
              <w:autoSpaceDE/>
              <w:autoSpaceDN/>
              <w:bidi w:val="0"/>
              <w:ind w:firstLine="480"/>
              <w:textAlignment w:val="auto"/>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rPr>
              <w:t>根据《建设项目环境影响报告表编制技术指南（污染影响类）》，“原则上不开展地下水环境质量现状调查，建设项目存在地下水污染途径的，应结合污染源、保护目标分布情况开展现状调查以保留背景值”。本项目厂界外500m范围内无地下水集中式饮用水水源和热水、矿泉水、温泉等特殊地下水资源，且本项目为中转储煤项目，不进行煤矿的采掘，</w:t>
            </w:r>
            <w:r>
              <w:rPr>
                <w:rFonts w:hint="eastAsia" w:ascii="Times New Roman" w:hAnsi="Times New Roman" w:eastAsia="宋体" w:cs="Times New Roman"/>
                <w:color w:val="auto"/>
                <w:sz w:val="24"/>
                <w:u w:val="none"/>
                <w:lang w:val="en-US" w:eastAsia="zh-CN"/>
              </w:rPr>
              <w:t>储煤仓库</w:t>
            </w:r>
            <w:r>
              <w:rPr>
                <w:rFonts w:hint="eastAsia" w:ascii="Times New Roman" w:hAnsi="Times New Roman" w:eastAsia="宋体" w:cs="Times New Roman"/>
                <w:color w:val="auto"/>
                <w:sz w:val="24"/>
                <w:u w:val="none"/>
              </w:rPr>
              <w:t>全封闭仅保留进出口，项目废气主要为颗粒物，不含有毒有害污染物质，</w:t>
            </w:r>
            <w:r>
              <w:rPr>
                <w:rFonts w:hint="default" w:ascii="Times New Roman" w:hAnsi="Times New Roman" w:eastAsia="宋体" w:cs="Times New Roman"/>
                <w:color w:val="auto"/>
                <w:sz w:val="24"/>
                <w:u w:val="none"/>
              </w:rPr>
              <w:t>项目废水主要为生活污水</w:t>
            </w:r>
            <w:r>
              <w:rPr>
                <w:rFonts w:hint="eastAsia" w:ascii="Times New Roman" w:hAnsi="Times New Roman" w:eastAsia="宋体" w:cs="Times New Roman"/>
                <w:color w:val="auto"/>
                <w:sz w:val="24"/>
                <w:u w:val="none"/>
                <w:lang w:val="en-US" w:eastAsia="zh-CN"/>
              </w:rPr>
              <w:t>和初期雨水</w:t>
            </w:r>
            <w:r>
              <w:rPr>
                <w:rFonts w:hint="default" w:ascii="Times New Roman" w:hAnsi="Times New Roman" w:eastAsia="宋体" w:cs="Times New Roman"/>
                <w:color w:val="auto"/>
                <w:sz w:val="24"/>
                <w:u w:val="none"/>
              </w:rPr>
              <w:t>，不涉及重金属及持久性污染物，亦不涉及剧毒化学品，地下水环境不敏感。在做好相应措施后，项目无地下水污染途径，不会对地下水环境产生影响。因此，本项目不对地下水环境质量现状进行调查。</w:t>
            </w:r>
          </w:p>
        </w:tc>
      </w:tr>
      <w:tr w14:paraId="6D779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14:paraId="6F7B2589">
            <w:pPr>
              <w:pStyle w:val="33"/>
              <w:bidi w:val="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环境</w:t>
            </w:r>
          </w:p>
          <w:p w14:paraId="46DB5E95">
            <w:pPr>
              <w:pStyle w:val="33"/>
              <w:bidi w:val="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保护</w:t>
            </w:r>
          </w:p>
          <w:p w14:paraId="71EF38A7">
            <w:pPr>
              <w:pStyle w:val="33"/>
              <w:bidi w:val="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目标</w:t>
            </w:r>
          </w:p>
        </w:tc>
        <w:tc>
          <w:tcPr>
            <w:tcW w:w="7687" w:type="dxa"/>
          </w:tcPr>
          <w:p w14:paraId="685E165C">
            <w:pPr>
              <w:pStyle w:val="34"/>
              <w:ind w:firstLine="480"/>
              <w:rPr>
                <w:rFonts w:hint="default" w:ascii="Times New Roman" w:hAnsi="Times New Roman" w:cs="Times New Roman"/>
              </w:rPr>
            </w:pPr>
            <w:r>
              <w:rPr>
                <w:rFonts w:hint="default" w:ascii="Times New Roman" w:hAnsi="Times New Roman" w:cs="Times New Roman"/>
              </w:rPr>
              <w:t>本次评价环境保护目标根据《建设项目环境影响报告表编制技术指南》（污染影响类）（试行）中相关要求进行确定：</w:t>
            </w:r>
          </w:p>
          <w:p w14:paraId="02E5B93B">
            <w:pPr>
              <w:keepNext w:val="0"/>
              <w:keepLines w:val="0"/>
              <w:pageBreakBefore w:val="0"/>
              <w:widowControl w:val="0"/>
              <w:tabs>
                <w:tab w:val="left" w:pos="1290"/>
              </w:tabs>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rPr>
            </w:pPr>
            <w:r>
              <w:rPr>
                <w:rFonts w:hint="default" w:ascii="Times New Roman" w:hAnsi="Times New Roman" w:cs="Times New Roman"/>
                <w:b/>
                <w:bCs/>
              </w:rPr>
              <w:t>1、大气环境</w:t>
            </w:r>
          </w:p>
          <w:p w14:paraId="461B943C">
            <w:pPr>
              <w:pStyle w:val="34"/>
              <w:keepNext w:val="0"/>
              <w:keepLines w:val="0"/>
              <w:pageBreakBefore w:val="0"/>
              <w:kinsoku/>
              <w:wordWrap/>
              <w:overflowPunct/>
              <w:topLinePunct w:val="0"/>
              <w:autoSpaceDE/>
              <w:autoSpaceDN/>
              <w:bidi w:val="0"/>
              <w:adjustRightInd/>
              <w:snapToGrid/>
              <w:ind w:left="0" w:firstLine="480" w:firstLineChars="200"/>
              <w:textAlignment w:val="auto"/>
              <w:rPr>
                <w:rFonts w:hint="default" w:ascii="Times New Roman" w:hAnsi="Times New Roman" w:cs="Times New Roman"/>
                <w:lang w:val="en-US" w:eastAsia="zh-CN"/>
              </w:rPr>
            </w:pPr>
            <w:r>
              <w:rPr>
                <w:rFonts w:hint="default" w:ascii="Times New Roman" w:hAnsi="Times New Roman" w:cs="Times New Roman"/>
              </w:rPr>
              <w:t>根据《建设项目环境影响报告表编制技术指南（污染影响类）（试行）》，大气环境保护目标为厂界外500m范围内的自然保护区、风景名胜区、居住区等区域。</w:t>
            </w:r>
            <w:r>
              <w:rPr>
                <w:rFonts w:hint="eastAsia" w:ascii="Times New Roman" w:hAnsi="Times New Roman" w:eastAsia="宋体" w:cs="Times New Roman"/>
                <w:color w:val="auto"/>
                <w:kern w:val="2"/>
                <w:sz w:val="24"/>
                <w:szCs w:val="24"/>
                <w:lang w:val="en-US" w:eastAsia="zh-CN" w:bidi="ar-SA"/>
              </w:rPr>
              <w:t>根据现场踏勘，本项目周边500m范围内大气环境保护目标主要为</w:t>
            </w:r>
            <w:r>
              <w:rPr>
                <w:rFonts w:hint="eastAsia" w:ascii="Times New Roman" w:hAnsi="Times New Roman" w:cs="Times New Roman"/>
                <w:color w:val="auto"/>
                <w:kern w:val="2"/>
                <w:sz w:val="24"/>
                <w:szCs w:val="24"/>
                <w:lang w:val="en-US" w:eastAsia="zh-CN" w:bidi="ar-SA"/>
              </w:rPr>
              <w:t>哨上村</w:t>
            </w:r>
            <w:r>
              <w:rPr>
                <w:rFonts w:hint="eastAsia" w:ascii="Times New Roman" w:hAnsi="Times New Roman" w:eastAsia="宋体" w:cs="Times New Roman"/>
                <w:color w:val="auto"/>
                <w:kern w:val="2"/>
                <w:sz w:val="24"/>
                <w:szCs w:val="24"/>
                <w:lang w:val="en-US" w:eastAsia="zh-CN" w:bidi="ar-SA"/>
              </w:rPr>
              <w:t>。</w:t>
            </w:r>
          </w:p>
          <w:p w14:paraId="4E8729D0">
            <w:pPr>
              <w:pStyle w:val="34"/>
              <w:keepNext w:val="0"/>
              <w:keepLines w:val="0"/>
              <w:pageBreakBefore w:val="0"/>
              <w:kinsoku/>
              <w:wordWrap/>
              <w:overflowPunct/>
              <w:topLinePunct w:val="0"/>
              <w:autoSpaceDE/>
              <w:autoSpaceDN/>
              <w:bidi w:val="0"/>
              <w:adjustRightInd/>
              <w:snapToGrid/>
              <w:ind w:left="0" w:firstLine="482" w:firstLineChars="20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2、声环境</w:t>
            </w:r>
          </w:p>
          <w:p w14:paraId="4DEFB238">
            <w:pPr>
              <w:pStyle w:val="34"/>
              <w:keepNext w:val="0"/>
              <w:keepLines w:val="0"/>
              <w:pageBreakBefore w:val="0"/>
              <w:kinsoku/>
              <w:wordWrap/>
              <w:overflowPunct/>
              <w:topLinePunct w:val="0"/>
              <w:autoSpaceDE/>
              <w:autoSpaceDN/>
              <w:bidi w:val="0"/>
              <w:adjustRightInd/>
              <w:snapToGrid/>
              <w:ind w:left="0" w:firstLine="480" w:firstLineChars="200"/>
              <w:textAlignment w:val="auto"/>
              <w:rPr>
                <w:rFonts w:hint="default" w:ascii="Times New Roman" w:hAnsi="Times New Roman" w:cs="Times New Roman"/>
                <w:highlight w:val="none"/>
              </w:rPr>
            </w:pPr>
            <w:r>
              <w:rPr>
                <w:rFonts w:hint="default" w:ascii="Times New Roman" w:hAnsi="Times New Roman" w:cs="Times New Roman"/>
                <w:highlight w:val="none"/>
              </w:rPr>
              <w:t>根据《建设项目环境影响报告表编制技术指南（污染影响类）（试行）》，声环境保护目标为厂界外50m范围内居住区。</w:t>
            </w:r>
            <w:r>
              <w:rPr>
                <w:rFonts w:hint="default" w:ascii="Times New Roman" w:hAnsi="Times New Roman" w:cs="Times New Roman"/>
                <w:color w:val="auto"/>
                <w:highlight w:val="none"/>
                <w:lang w:val="en-US" w:eastAsia="zh-CN"/>
              </w:rPr>
              <w:t>项目厂界外50m范围内没有声环境保护目标。</w:t>
            </w:r>
          </w:p>
          <w:p w14:paraId="350695EC">
            <w:pPr>
              <w:pStyle w:val="34"/>
              <w:keepNext w:val="0"/>
              <w:keepLines w:val="0"/>
              <w:pageBreakBefore w:val="0"/>
              <w:numPr>
                <w:ilvl w:val="0"/>
                <w:numId w:val="0"/>
              </w:numPr>
              <w:kinsoku/>
              <w:wordWrap/>
              <w:overflowPunct/>
              <w:topLinePunct w:val="0"/>
              <w:autoSpaceDE/>
              <w:autoSpaceDN/>
              <w:bidi w:val="0"/>
              <w:adjustRightInd/>
              <w:snapToGrid/>
              <w:ind w:left="0" w:leftChars="0" w:firstLine="482" w:firstLineChars="200"/>
              <w:textAlignment w:val="auto"/>
              <w:rPr>
                <w:rFonts w:hint="default" w:ascii="Times New Roman" w:hAnsi="Times New Roman" w:cs="Times New Roman"/>
                <w:b/>
                <w:bCs/>
              </w:rPr>
            </w:pPr>
            <w:r>
              <w:rPr>
                <w:rFonts w:hint="default" w:ascii="Times New Roman" w:hAnsi="Times New Roman" w:cs="Times New Roman"/>
                <w:b/>
                <w:bCs/>
                <w:lang w:val="en-US" w:eastAsia="zh-CN"/>
              </w:rPr>
              <w:t>3、</w:t>
            </w:r>
            <w:r>
              <w:rPr>
                <w:rFonts w:hint="default" w:ascii="Times New Roman" w:hAnsi="Times New Roman" w:cs="Times New Roman"/>
                <w:b/>
                <w:bCs/>
              </w:rPr>
              <w:t>地下水环境</w:t>
            </w:r>
          </w:p>
          <w:p w14:paraId="43F96335">
            <w:pPr>
              <w:keepNext w:val="0"/>
              <w:keepLines w:val="0"/>
              <w:pageBreakBefore w:val="0"/>
              <w:widowControl/>
              <w:suppressLineNumbers w:val="0"/>
              <w:kinsoku/>
              <w:wordWrap/>
              <w:overflowPunct/>
              <w:topLinePunct w:val="0"/>
              <w:autoSpaceDE/>
              <w:autoSpaceDN/>
              <w:bidi w:val="0"/>
              <w:adjustRightInd/>
              <w:snapToGrid/>
              <w:ind w:left="0" w:firstLine="480" w:firstLineChars="200"/>
              <w:jc w:val="left"/>
              <w:textAlignment w:val="auto"/>
              <w:rPr>
                <w:rFonts w:hint="default" w:ascii="Times New Roman" w:hAnsi="Times New Roman" w:cs="Times New Roman"/>
              </w:rPr>
            </w:pPr>
            <w:r>
              <w:rPr>
                <w:rFonts w:hint="default" w:ascii="Times New Roman" w:hAnsi="Times New Roman" w:cs="Times New Roman"/>
                <w:lang w:val="en-US" w:eastAsia="zh-CN"/>
              </w:rPr>
              <w:t>本项目厂界外500m范围内无地下水集中式使用水源和热水、矿泉水、温泉等特殊地下水资源，因此本项目不设置地下水环境保护目标。</w:t>
            </w:r>
          </w:p>
          <w:p w14:paraId="11A12AD7">
            <w:pPr>
              <w:pStyle w:val="34"/>
              <w:keepNext w:val="0"/>
              <w:keepLines w:val="0"/>
              <w:pageBreakBefore w:val="0"/>
              <w:numPr>
                <w:ilvl w:val="0"/>
                <w:numId w:val="1"/>
              </w:numPr>
              <w:kinsoku/>
              <w:wordWrap/>
              <w:overflowPunct/>
              <w:topLinePunct w:val="0"/>
              <w:autoSpaceDE/>
              <w:autoSpaceDN/>
              <w:bidi w:val="0"/>
              <w:adjustRightInd/>
              <w:snapToGrid/>
              <w:ind w:left="0" w:firstLine="482" w:firstLineChars="20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地表水环境</w:t>
            </w:r>
          </w:p>
          <w:p w14:paraId="2CCFCE0E">
            <w:pPr>
              <w:keepNext w:val="0"/>
              <w:keepLines w:val="0"/>
              <w:pageBreakBefore w:val="0"/>
              <w:kinsoku/>
              <w:wordWrap/>
              <w:overflowPunct/>
              <w:topLinePunct w:val="0"/>
              <w:autoSpaceDE/>
              <w:autoSpaceDN/>
              <w:bidi w:val="0"/>
              <w:adjustRightInd/>
              <w:snapToGrid/>
              <w:ind w:left="0" w:firstLine="480" w:firstLineChars="200"/>
              <w:textAlignment w:val="auto"/>
              <w:rPr>
                <w:rFonts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u w:val="none"/>
                <w:lang w:val="en-US" w:eastAsia="zh-CN"/>
              </w:rPr>
              <w:t>地表水体为项目东南方向17</w:t>
            </w:r>
            <w:r>
              <w:rPr>
                <w:rFonts w:hint="eastAsia" w:cs="Times New Roman"/>
                <w:color w:val="auto"/>
                <w:u w:val="none"/>
                <w:lang w:val="en-US" w:eastAsia="zh-CN"/>
              </w:rPr>
              <w:t>42</w:t>
            </w:r>
            <w:r>
              <w:rPr>
                <w:rFonts w:hint="default" w:ascii="Times New Roman" w:hAnsi="Times New Roman" w:eastAsia="宋体" w:cs="Times New Roman"/>
                <w:color w:val="auto"/>
                <w:u w:val="none"/>
                <w:lang w:val="en-US" w:eastAsia="zh-CN"/>
              </w:rPr>
              <w:t>m处的三月三水库</w:t>
            </w:r>
            <w:r>
              <w:rPr>
                <w:rFonts w:hint="eastAsia" w:ascii="Times New Roman" w:hAnsi="Times New Roman" w:eastAsia="宋体" w:cs="Times New Roman"/>
                <w:color w:val="auto"/>
                <w:u w:val="none"/>
                <w:lang w:val="en-US" w:eastAsia="zh-CN"/>
              </w:rPr>
              <w:t>，</w:t>
            </w:r>
            <w:r>
              <w:rPr>
                <w:rFonts w:ascii="Times New Roman" w:hAnsi="Times New Roman" w:eastAsia="宋体" w:cs="Times New Roman"/>
                <w:color w:val="auto"/>
                <w:kern w:val="0"/>
                <w:sz w:val="24"/>
                <w:szCs w:val="24"/>
                <w:lang w:val="en-US" w:eastAsia="zh-CN" w:bidi="ar-SA"/>
              </w:rPr>
              <w:t>按照《地表水环境质量标准》（GB3838-2002）中Ⅲ类水质标准进行保护。</w:t>
            </w:r>
          </w:p>
          <w:p w14:paraId="374FAE12">
            <w:pPr>
              <w:keepNext w:val="0"/>
              <w:keepLines w:val="0"/>
              <w:pageBreakBefore w:val="0"/>
              <w:kinsoku/>
              <w:wordWrap/>
              <w:overflowPunct/>
              <w:topLinePunct w:val="0"/>
              <w:autoSpaceDE/>
              <w:autoSpaceDN/>
              <w:bidi w:val="0"/>
              <w:adjustRightInd/>
              <w:snapToGrid/>
              <w:ind w:left="0"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本项目周边主要环境保护目标详见表3-3。</w:t>
            </w:r>
          </w:p>
          <w:p w14:paraId="23954A69">
            <w:pPr>
              <w:pStyle w:val="29"/>
              <w:bidi w:val="0"/>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表3-3  项目周边主要环境保护目标一览表</w:t>
            </w:r>
          </w:p>
          <w:tbl>
            <w:tblPr>
              <w:tblStyle w:val="24"/>
              <w:tblW w:w="746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605"/>
              <w:gridCol w:w="1540"/>
              <w:gridCol w:w="1432"/>
              <w:gridCol w:w="2169"/>
              <w:gridCol w:w="407"/>
              <w:gridCol w:w="814"/>
            </w:tblGrid>
            <w:tr w14:paraId="113CE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 w:type="dxa"/>
                  <w:vMerge w:val="restart"/>
                  <w:tcBorders>
                    <w:tl2br w:val="nil"/>
                    <w:tr2bl w:val="nil"/>
                  </w:tcBorders>
                  <w:vAlign w:val="center"/>
                </w:tcPr>
                <w:p w14:paraId="176078D3">
                  <w:pPr>
                    <w:pStyle w:val="33"/>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类别</w:t>
                  </w:r>
                </w:p>
              </w:tc>
              <w:tc>
                <w:tcPr>
                  <w:tcW w:w="605" w:type="dxa"/>
                  <w:vMerge w:val="restart"/>
                  <w:tcBorders>
                    <w:tl2br w:val="nil"/>
                    <w:tr2bl w:val="nil"/>
                  </w:tcBorders>
                  <w:vAlign w:val="center"/>
                </w:tcPr>
                <w:p w14:paraId="6C4BB2BB">
                  <w:pPr>
                    <w:pStyle w:val="33"/>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保护目标</w:t>
                  </w:r>
                </w:p>
              </w:tc>
              <w:tc>
                <w:tcPr>
                  <w:tcW w:w="2972" w:type="dxa"/>
                  <w:gridSpan w:val="2"/>
                  <w:tcBorders>
                    <w:tl2br w:val="nil"/>
                    <w:tr2bl w:val="nil"/>
                  </w:tcBorders>
                  <w:vAlign w:val="center"/>
                </w:tcPr>
                <w:p w14:paraId="3DDC5B12">
                  <w:pPr>
                    <w:pStyle w:val="33"/>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坐标</w:t>
                  </w:r>
                </w:p>
              </w:tc>
              <w:tc>
                <w:tcPr>
                  <w:tcW w:w="2169" w:type="dxa"/>
                  <w:vMerge w:val="restart"/>
                  <w:tcBorders>
                    <w:tl2br w:val="nil"/>
                    <w:tr2bl w:val="nil"/>
                  </w:tcBorders>
                  <w:vAlign w:val="center"/>
                </w:tcPr>
                <w:p w14:paraId="7C9B9987">
                  <w:pPr>
                    <w:pStyle w:val="33"/>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保护类型</w:t>
                  </w:r>
                </w:p>
              </w:tc>
              <w:tc>
                <w:tcPr>
                  <w:tcW w:w="407" w:type="dxa"/>
                  <w:vMerge w:val="restart"/>
                  <w:tcBorders>
                    <w:tl2br w:val="nil"/>
                    <w:tr2bl w:val="nil"/>
                  </w:tcBorders>
                  <w:vAlign w:val="center"/>
                </w:tcPr>
                <w:p w14:paraId="32216F6C">
                  <w:pPr>
                    <w:pStyle w:val="33"/>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方位</w:t>
                  </w:r>
                </w:p>
              </w:tc>
              <w:tc>
                <w:tcPr>
                  <w:tcW w:w="814" w:type="dxa"/>
                  <w:vMerge w:val="restart"/>
                  <w:tcBorders>
                    <w:tl2br w:val="nil"/>
                    <w:tr2bl w:val="nil"/>
                  </w:tcBorders>
                  <w:vAlign w:val="center"/>
                </w:tcPr>
                <w:p w14:paraId="47C145B6">
                  <w:pPr>
                    <w:pStyle w:val="33"/>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距离（m）</w:t>
                  </w:r>
                </w:p>
              </w:tc>
            </w:tr>
            <w:tr w14:paraId="56F72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tcBorders>
                    <w:tl2br w:val="nil"/>
                    <w:tr2bl w:val="nil"/>
                  </w:tcBorders>
                  <w:vAlign w:val="center"/>
                </w:tcPr>
                <w:p w14:paraId="6435F254">
                  <w:pPr>
                    <w:pStyle w:val="33"/>
                    <w:bidi w:val="0"/>
                    <w:rPr>
                      <w:rFonts w:hint="default" w:ascii="Times New Roman" w:hAnsi="Times New Roman" w:cs="Times New Roman"/>
                      <w:lang w:val="en-US" w:eastAsia="zh-CN"/>
                    </w:rPr>
                  </w:pPr>
                </w:p>
              </w:tc>
              <w:tc>
                <w:tcPr>
                  <w:tcW w:w="605" w:type="dxa"/>
                  <w:vMerge w:val="continue"/>
                  <w:tcBorders>
                    <w:tl2br w:val="nil"/>
                    <w:tr2bl w:val="nil"/>
                  </w:tcBorders>
                  <w:vAlign w:val="center"/>
                </w:tcPr>
                <w:p w14:paraId="1DBB66E1">
                  <w:pPr>
                    <w:pStyle w:val="33"/>
                    <w:bidi w:val="0"/>
                    <w:rPr>
                      <w:rFonts w:hint="default" w:ascii="Times New Roman" w:hAnsi="Times New Roman" w:cs="Times New Roman"/>
                      <w:lang w:val="en-US" w:eastAsia="zh-CN"/>
                    </w:rPr>
                  </w:pPr>
                </w:p>
              </w:tc>
              <w:tc>
                <w:tcPr>
                  <w:tcW w:w="1540" w:type="dxa"/>
                  <w:tcBorders>
                    <w:tl2br w:val="nil"/>
                    <w:tr2bl w:val="nil"/>
                  </w:tcBorders>
                  <w:vAlign w:val="center"/>
                </w:tcPr>
                <w:p w14:paraId="35775FAC">
                  <w:pPr>
                    <w:pStyle w:val="33"/>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E</w:t>
                  </w:r>
                </w:p>
              </w:tc>
              <w:tc>
                <w:tcPr>
                  <w:tcW w:w="1432" w:type="dxa"/>
                  <w:tcBorders>
                    <w:tl2br w:val="nil"/>
                    <w:tr2bl w:val="nil"/>
                  </w:tcBorders>
                  <w:vAlign w:val="center"/>
                </w:tcPr>
                <w:p w14:paraId="1F1E2DBE">
                  <w:pPr>
                    <w:pStyle w:val="33"/>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N</w:t>
                  </w:r>
                </w:p>
              </w:tc>
              <w:tc>
                <w:tcPr>
                  <w:tcW w:w="2169" w:type="dxa"/>
                  <w:vMerge w:val="continue"/>
                  <w:tcBorders>
                    <w:tl2br w:val="nil"/>
                    <w:tr2bl w:val="nil"/>
                  </w:tcBorders>
                  <w:vAlign w:val="center"/>
                </w:tcPr>
                <w:p w14:paraId="6DB42FDF">
                  <w:pPr>
                    <w:pStyle w:val="33"/>
                    <w:bidi w:val="0"/>
                    <w:rPr>
                      <w:rFonts w:hint="default" w:ascii="Times New Roman" w:hAnsi="Times New Roman" w:cs="Times New Roman"/>
                      <w:lang w:val="en-US" w:eastAsia="zh-CN"/>
                    </w:rPr>
                  </w:pPr>
                </w:p>
              </w:tc>
              <w:tc>
                <w:tcPr>
                  <w:tcW w:w="407" w:type="dxa"/>
                  <w:vMerge w:val="continue"/>
                  <w:tcBorders>
                    <w:tl2br w:val="nil"/>
                    <w:tr2bl w:val="nil"/>
                  </w:tcBorders>
                  <w:vAlign w:val="center"/>
                </w:tcPr>
                <w:p w14:paraId="573FC17C">
                  <w:pPr>
                    <w:pStyle w:val="33"/>
                    <w:bidi w:val="0"/>
                    <w:rPr>
                      <w:rFonts w:hint="default" w:ascii="Times New Roman" w:hAnsi="Times New Roman" w:cs="Times New Roman"/>
                      <w:lang w:val="en-US" w:eastAsia="zh-CN"/>
                    </w:rPr>
                  </w:pPr>
                </w:p>
              </w:tc>
              <w:tc>
                <w:tcPr>
                  <w:tcW w:w="814" w:type="dxa"/>
                  <w:vMerge w:val="continue"/>
                  <w:tcBorders>
                    <w:tl2br w:val="nil"/>
                    <w:tr2bl w:val="nil"/>
                  </w:tcBorders>
                  <w:vAlign w:val="center"/>
                </w:tcPr>
                <w:p w14:paraId="1282B8F3">
                  <w:pPr>
                    <w:pStyle w:val="33"/>
                    <w:bidi w:val="0"/>
                    <w:rPr>
                      <w:rFonts w:hint="default" w:ascii="Times New Roman" w:hAnsi="Times New Roman" w:cs="Times New Roman"/>
                      <w:lang w:val="en-US" w:eastAsia="zh-CN"/>
                    </w:rPr>
                  </w:pPr>
                </w:p>
              </w:tc>
            </w:tr>
            <w:tr w14:paraId="5976F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00" w:type="dxa"/>
                  <w:tcBorders>
                    <w:tl2br w:val="nil"/>
                    <w:tr2bl w:val="nil"/>
                  </w:tcBorders>
                  <w:vAlign w:val="center"/>
                </w:tcPr>
                <w:p w14:paraId="68C883E2">
                  <w:pPr>
                    <w:pStyle w:val="33"/>
                    <w:bidi w:val="0"/>
                    <w:rPr>
                      <w:rFonts w:hint="default" w:ascii="Times New Roman" w:hAnsi="Times New Roman" w:cs="Times New Roman"/>
                      <w:lang w:val="en-US" w:eastAsia="zh-CN"/>
                    </w:rPr>
                  </w:pPr>
                  <w:r>
                    <w:rPr>
                      <w:rFonts w:hint="default" w:ascii="Times New Roman" w:hAnsi="Times New Roman" w:cs="Times New Roman"/>
                      <w:lang w:val="en-US" w:eastAsia="zh-CN"/>
                    </w:rPr>
                    <w:t>大气环境</w:t>
                  </w:r>
                </w:p>
              </w:tc>
              <w:tc>
                <w:tcPr>
                  <w:tcW w:w="605" w:type="dxa"/>
                  <w:tcBorders>
                    <w:tl2br w:val="nil"/>
                    <w:tr2bl w:val="nil"/>
                  </w:tcBorders>
                  <w:vAlign w:val="center"/>
                </w:tcPr>
                <w:p w14:paraId="06323DCB">
                  <w:pPr>
                    <w:pStyle w:val="33"/>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哨上村</w:t>
                  </w:r>
                </w:p>
              </w:tc>
              <w:tc>
                <w:tcPr>
                  <w:tcW w:w="1540" w:type="dxa"/>
                  <w:tcBorders>
                    <w:tl2br w:val="nil"/>
                    <w:tr2bl w:val="nil"/>
                  </w:tcBorders>
                  <w:vAlign w:val="center"/>
                </w:tcPr>
                <w:p w14:paraId="0089EB7A">
                  <w:pPr>
                    <w:pStyle w:val="33"/>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103°13′11.257″</w:t>
                  </w:r>
                </w:p>
              </w:tc>
              <w:tc>
                <w:tcPr>
                  <w:tcW w:w="1432" w:type="dxa"/>
                  <w:tcBorders>
                    <w:tl2br w:val="nil"/>
                    <w:tr2bl w:val="nil"/>
                  </w:tcBorders>
                  <w:vAlign w:val="center"/>
                </w:tcPr>
                <w:p w14:paraId="18852C19">
                  <w:pPr>
                    <w:pStyle w:val="33"/>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25°32′49.394″</w:t>
                  </w:r>
                </w:p>
              </w:tc>
              <w:tc>
                <w:tcPr>
                  <w:tcW w:w="2169" w:type="dxa"/>
                  <w:tcBorders>
                    <w:tl2br w:val="nil"/>
                    <w:tr2bl w:val="nil"/>
                  </w:tcBorders>
                  <w:vAlign w:val="center"/>
                </w:tcPr>
                <w:p w14:paraId="350F8DB6">
                  <w:pPr>
                    <w:pStyle w:val="33"/>
                    <w:bidi w:val="0"/>
                    <w:ind w:firstLine="0" w:firstLineChars="0"/>
                    <w:rPr>
                      <w:rFonts w:hint="default" w:ascii="Times New Roman" w:hAnsi="Times New Roman" w:cs="Times New Roman"/>
                      <w:lang w:val="en-US" w:eastAsia="zh-CN"/>
                    </w:rPr>
                  </w:pPr>
                  <w:r>
                    <w:rPr>
                      <w:rFonts w:hint="eastAsia" w:cs="Times New Roman"/>
                      <w:lang w:val="en-US" w:eastAsia="zh-CN"/>
                    </w:rPr>
                    <w:t>环境空气，</w:t>
                  </w:r>
                  <w:r>
                    <w:rPr>
                      <w:rFonts w:hint="default" w:ascii="Times New Roman" w:hAnsi="Times New Roman" w:eastAsia="宋体" w:cs="Times New Roman"/>
                      <w:sz w:val="24"/>
                    </w:rPr>
                    <w:t>《环境空气质量标准》（GB3095-2012）</w:t>
                  </w:r>
                  <w:r>
                    <w:rPr>
                      <w:rFonts w:hint="eastAsia" w:cs="Times New Roman"/>
                      <w:sz w:val="24"/>
                      <w:lang w:val="en-US" w:eastAsia="zh-CN"/>
                    </w:rPr>
                    <w:t>二</w:t>
                  </w:r>
                  <w:r>
                    <w:rPr>
                      <w:rFonts w:hint="default" w:ascii="Times New Roman" w:hAnsi="Times New Roman" w:eastAsia="宋体" w:cs="Times New Roman"/>
                      <w:sz w:val="24"/>
                    </w:rPr>
                    <w:t>级标准</w:t>
                  </w:r>
                </w:p>
              </w:tc>
              <w:tc>
                <w:tcPr>
                  <w:tcW w:w="407" w:type="dxa"/>
                  <w:tcBorders>
                    <w:tl2br w:val="nil"/>
                    <w:tr2bl w:val="nil"/>
                  </w:tcBorders>
                  <w:vAlign w:val="center"/>
                </w:tcPr>
                <w:p w14:paraId="4BEE313D">
                  <w:pPr>
                    <w:pStyle w:val="33"/>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西北</w:t>
                  </w:r>
                </w:p>
              </w:tc>
              <w:tc>
                <w:tcPr>
                  <w:tcW w:w="814" w:type="dxa"/>
                  <w:tcBorders>
                    <w:tl2br w:val="nil"/>
                    <w:tr2bl w:val="nil"/>
                  </w:tcBorders>
                  <w:vAlign w:val="center"/>
                </w:tcPr>
                <w:p w14:paraId="56DE11B3">
                  <w:pPr>
                    <w:pStyle w:val="33"/>
                    <w:bidi w:val="0"/>
                    <w:ind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217</w:t>
                  </w:r>
                </w:p>
              </w:tc>
            </w:tr>
            <w:tr w14:paraId="5301C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tcBorders>
                    <w:tl2br w:val="nil"/>
                    <w:tr2bl w:val="nil"/>
                  </w:tcBorders>
                  <w:vAlign w:val="center"/>
                </w:tcPr>
                <w:p w14:paraId="7724BE1D">
                  <w:pPr>
                    <w:pStyle w:val="33"/>
                    <w:bidi w:val="0"/>
                    <w:rPr>
                      <w:rFonts w:hint="default" w:ascii="Times New Roman" w:hAnsi="Times New Roman" w:cs="Times New Roman"/>
                      <w:lang w:val="en-US" w:eastAsia="zh-CN"/>
                    </w:rPr>
                  </w:pPr>
                  <w:r>
                    <w:rPr>
                      <w:rFonts w:hint="eastAsia" w:cs="Times New Roman"/>
                      <w:lang w:val="en-US" w:eastAsia="zh-CN"/>
                    </w:rPr>
                    <w:t>地表水环境</w:t>
                  </w:r>
                </w:p>
              </w:tc>
              <w:tc>
                <w:tcPr>
                  <w:tcW w:w="605" w:type="dxa"/>
                  <w:tcBorders>
                    <w:tl2br w:val="nil"/>
                    <w:tr2bl w:val="nil"/>
                  </w:tcBorders>
                  <w:vAlign w:val="center"/>
                </w:tcPr>
                <w:p w14:paraId="79DAA833">
                  <w:pPr>
                    <w:pStyle w:val="33"/>
                    <w:bidi w:val="0"/>
                    <w:rPr>
                      <w:rFonts w:hint="default" w:ascii="Times New Roman" w:hAnsi="Times New Roman" w:cs="Times New Roman"/>
                      <w:lang w:val="en-US" w:eastAsia="zh-CN"/>
                    </w:rPr>
                  </w:pPr>
                  <w:r>
                    <w:rPr>
                      <w:rFonts w:hint="eastAsia" w:cs="Times New Roman"/>
                      <w:lang w:val="en-US" w:eastAsia="zh-CN"/>
                    </w:rPr>
                    <w:t>三月三水库</w:t>
                  </w:r>
                </w:p>
              </w:tc>
              <w:tc>
                <w:tcPr>
                  <w:tcW w:w="1540" w:type="dxa"/>
                  <w:tcBorders>
                    <w:tl2br w:val="nil"/>
                    <w:tr2bl w:val="nil"/>
                  </w:tcBorders>
                  <w:vAlign w:val="center"/>
                </w:tcPr>
                <w:p w14:paraId="59028DB3">
                  <w:pPr>
                    <w:pStyle w:val="33"/>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103°1</w:t>
                  </w:r>
                  <w:r>
                    <w:rPr>
                      <w:rFonts w:hint="eastAsia" w:ascii="Times New Roman" w:hAnsi="Times New Roman" w:cs="Times New Roman"/>
                      <w:lang w:val="en-US" w:eastAsia="zh-CN"/>
                    </w:rPr>
                    <w:t>4</w:t>
                  </w:r>
                  <w:r>
                    <w:rPr>
                      <w:rFonts w:hint="default" w:ascii="Times New Roman" w:hAnsi="Times New Roman" w:cs="Times New Roman"/>
                      <w:lang w:val="en-US" w:eastAsia="zh-CN"/>
                    </w:rPr>
                    <w:t>′</w:t>
                  </w:r>
                  <w:r>
                    <w:rPr>
                      <w:rFonts w:hint="eastAsia" w:ascii="Times New Roman" w:hAnsi="Times New Roman" w:cs="Times New Roman"/>
                      <w:lang w:val="en-US" w:eastAsia="zh-CN"/>
                    </w:rPr>
                    <w:t>36.922</w:t>
                  </w:r>
                  <w:r>
                    <w:rPr>
                      <w:rFonts w:hint="default" w:ascii="Times New Roman" w:hAnsi="Times New Roman" w:cs="Times New Roman"/>
                      <w:lang w:val="en-US" w:eastAsia="zh-CN"/>
                    </w:rPr>
                    <w:t>″</w:t>
                  </w:r>
                </w:p>
              </w:tc>
              <w:tc>
                <w:tcPr>
                  <w:tcW w:w="1432" w:type="dxa"/>
                  <w:tcBorders>
                    <w:tl2br w:val="nil"/>
                    <w:tr2bl w:val="nil"/>
                  </w:tcBorders>
                  <w:vAlign w:val="center"/>
                </w:tcPr>
                <w:p w14:paraId="73B78C13">
                  <w:pPr>
                    <w:pStyle w:val="33"/>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25°32′</w:t>
                  </w:r>
                  <w:r>
                    <w:rPr>
                      <w:rFonts w:hint="eastAsia" w:ascii="Times New Roman" w:hAnsi="Times New Roman" w:cs="Times New Roman"/>
                      <w:lang w:val="en-US" w:eastAsia="zh-CN"/>
                    </w:rPr>
                    <w:t>32.929</w:t>
                  </w:r>
                  <w:r>
                    <w:rPr>
                      <w:rFonts w:hint="default" w:ascii="Times New Roman" w:hAnsi="Times New Roman" w:cs="Times New Roman"/>
                      <w:lang w:val="en-US" w:eastAsia="zh-CN"/>
                    </w:rPr>
                    <w:t>″</w:t>
                  </w:r>
                </w:p>
              </w:tc>
              <w:tc>
                <w:tcPr>
                  <w:tcW w:w="2169" w:type="dxa"/>
                  <w:tcBorders>
                    <w:tl2br w:val="nil"/>
                    <w:tr2bl w:val="nil"/>
                  </w:tcBorders>
                  <w:vAlign w:val="center"/>
                </w:tcPr>
                <w:p w14:paraId="2FD92BF8">
                  <w:pPr>
                    <w:pStyle w:val="33"/>
                    <w:bidi w:val="0"/>
                    <w:rPr>
                      <w:rFonts w:hint="default" w:ascii="Times New Roman" w:hAnsi="Times New Roman" w:cs="Times New Roman"/>
                      <w:lang w:val="en-US" w:eastAsia="zh-CN"/>
                    </w:rPr>
                  </w:pPr>
                  <w:r>
                    <w:rPr>
                      <w:rFonts w:hint="eastAsia" w:cs="Times New Roman"/>
                      <w:color w:val="0000FF"/>
                      <w:lang w:val="en-US" w:eastAsia="zh-CN"/>
                    </w:rPr>
                    <w:t>地表水环境，</w:t>
                  </w:r>
                  <w:r>
                    <w:rPr>
                      <w:rFonts w:hint="default" w:ascii="Times New Roman" w:hAnsi="Times New Roman" w:eastAsia="宋体" w:cs="Times New Roman"/>
                      <w:color w:val="0000FF"/>
                      <w:u w:val="none"/>
                      <w:lang w:val="en-US" w:eastAsia="zh-CN"/>
                    </w:rPr>
                    <w:t>《地表水环境质量标准》（GB3838-2002）III类标准</w:t>
                  </w:r>
                </w:p>
              </w:tc>
              <w:tc>
                <w:tcPr>
                  <w:tcW w:w="407" w:type="dxa"/>
                  <w:tcBorders>
                    <w:tl2br w:val="nil"/>
                    <w:tr2bl w:val="nil"/>
                  </w:tcBorders>
                  <w:vAlign w:val="center"/>
                </w:tcPr>
                <w:p w14:paraId="59334C50">
                  <w:pPr>
                    <w:pStyle w:val="33"/>
                    <w:bidi w:val="0"/>
                    <w:rPr>
                      <w:rFonts w:hint="default" w:ascii="Times New Roman" w:hAnsi="Times New Roman" w:cs="Times New Roman"/>
                      <w:lang w:val="en-US" w:eastAsia="zh-CN"/>
                    </w:rPr>
                  </w:pPr>
                  <w:r>
                    <w:rPr>
                      <w:rFonts w:hint="eastAsia" w:cs="Times New Roman"/>
                      <w:lang w:val="en-US" w:eastAsia="zh-CN"/>
                    </w:rPr>
                    <w:t>东南</w:t>
                  </w:r>
                </w:p>
              </w:tc>
              <w:tc>
                <w:tcPr>
                  <w:tcW w:w="814" w:type="dxa"/>
                  <w:tcBorders>
                    <w:tl2br w:val="nil"/>
                    <w:tr2bl w:val="nil"/>
                  </w:tcBorders>
                  <w:vAlign w:val="center"/>
                </w:tcPr>
                <w:p w14:paraId="772CE96E">
                  <w:pPr>
                    <w:pStyle w:val="33"/>
                    <w:bidi w:val="0"/>
                    <w:rPr>
                      <w:rFonts w:hint="default" w:ascii="Times New Roman" w:hAnsi="Times New Roman" w:cs="Times New Roman"/>
                      <w:highlight w:val="none"/>
                      <w:lang w:val="en-US" w:eastAsia="zh-CN"/>
                    </w:rPr>
                  </w:pPr>
                  <w:r>
                    <w:rPr>
                      <w:rFonts w:hint="eastAsia" w:cs="Times New Roman"/>
                      <w:highlight w:val="none"/>
                      <w:lang w:val="en-US" w:eastAsia="zh-CN"/>
                    </w:rPr>
                    <w:t>1742</w:t>
                  </w:r>
                </w:p>
              </w:tc>
            </w:tr>
          </w:tbl>
          <w:p w14:paraId="031311F3">
            <w:pPr>
              <w:bidi w:val="0"/>
              <w:rPr>
                <w:rFonts w:hint="default" w:ascii="Times New Roman" w:hAnsi="Times New Roman" w:cs="Times New Roman"/>
                <w:sz w:val="24"/>
                <w:lang w:val="en-US" w:eastAsia="zh-CN"/>
              </w:rPr>
            </w:pPr>
          </w:p>
        </w:tc>
      </w:tr>
      <w:tr w14:paraId="65B99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14:paraId="5E121DD0">
            <w:pPr>
              <w:pStyle w:val="33"/>
              <w:bidi w:val="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污染</w:t>
            </w:r>
          </w:p>
          <w:p w14:paraId="0B162C86">
            <w:pPr>
              <w:pStyle w:val="33"/>
              <w:bidi w:val="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物排</w:t>
            </w:r>
          </w:p>
          <w:p w14:paraId="7F02B88B">
            <w:pPr>
              <w:pStyle w:val="33"/>
              <w:bidi w:val="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放控</w:t>
            </w:r>
          </w:p>
          <w:p w14:paraId="1C036792">
            <w:pPr>
              <w:pStyle w:val="33"/>
              <w:bidi w:val="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制标</w:t>
            </w:r>
          </w:p>
          <w:p w14:paraId="57C17240">
            <w:pPr>
              <w:pStyle w:val="33"/>
              <w:bidi w:val="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准</w:t>
            </w:r>
          </w:p>
        </w:tc>
        <w:tc>
          <w:tcPr>
            <w:tcW w:w="7687" w:type="dxa"/>
          </w:tcPr>
          <w:p w14:paraId="35112FB5">
            <w:pPr>
              <w:pStyle w:val="34"/>
              <w:ind w:firstLine="48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1、废气</w:t>
            </w:r>
          </w:p>
          <w:p w14:paraId="707A8B97">
            <w:pPr>
              <w:pStyle w:val="34"/>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（1）施工期</w:t>
            </w:r>
          </w:p>
          <w:p w14:paraId="264447F0">
            <w:pPr>
              <w:spacing w:line="360" w:lineRule="auto"/>
              <w:ind w:firstLine="482"/>
              <w:rPr>
                <w:rFonts w:hint="default" w:ascii="Times New Roman" w:hAnsi="Times New Roman" w:cs="Times New Roman"/>
                <w:color w:val="auto"/>
                <w:kern w:val="0"/>
                <w:sz w:val="24"/>
                <w:lang w:val="en-US"/>
              </w:rPr>
            </w:pPr>
            <w:r>
              <w:rPr>
                <w:rFonts w:hint="default" w:ascii="Times New Roman" w:hAnsi="Times New Roman" w:cs="Times New Roman"/>
                <w:color w:val="auto"/>
                <w:kern w:val="0"/>
                <w:sz w:val="24"/>
                <w:lang w:eastAsia="zh-CN"/>
              </w:rPr>
              <w:t>本</w:t>
            </w:r>
            <w:r>
              <w:rPr>
                <w:rFonts w:hint="default" w:ascii="Times New Roman" w:hAnsi="Times New Roman" w:cs="Times New Roman"/>
                <w:color w:val="auto"/>
                <w:kern w:val="0"/>
                <w:sz w:val="24"/>
              </w:rPr>
              <w:t>项目施工期</w:t>
            </w:r>
            <w:r>
              <w:rPr>
                <w:rFonts w:hint="default" w:ascii="Times New Roman" w:hAnsi="Times New Roman" w:cs="Times New Roman"/>
                <w:color w:val="auto"/>
                <w:kern w:val="0"/>
                <w:sz w:val="24"/>
                <w:lang w:eastAsia="zh-CN"/>
              </w:rPr>
              <w:t>产生的</w:t>
            </w:r>
            <w:r>
              <w:rPr>
                <w:rFonts w:hint="default" w:ascii="Times New Roman" w:hAnsi="Times New Roman" w:cs="Times New Roman"/>
                <w:color w:val="auto"/>
                <w:kern w:val="0"/>
                <w:sz w:val="24"/>
              </w:rPr>
              <w:t>大气污染物</w:t>
            </w:r>
            <w:r>
              <w:rPr>
                <w:rFonts w:hint="default" w:ascii="Times New Roman" w:hAnsi="Times New Roman" w:cs="Times New Roman"/>
                <w:color w:val="auto"/>
                <w:kern w:val="0"/>
                <w:sz w:val="24"/>
                <w:lang w:eastAsia="zh-CN"/>
              </w:rPr>
              <w:t>主要为</w:t>
            </w:r>
            <w:r>
              <w:rPr>
                <w:rFonts w:hint="default" w:ascii="Times New Roman" w:hAnsi="Times New Roman" w:eastAsia="宋体" w:cs="Times New Roman"/>
                <w:color w:val="auto"/>
                <w:sz w:val="24"/>
                <w:szCs w:val="24"/>
                <w:highlight w:val="none"/>
              </w:rPr>
              <w:t>无组织排放</w:t>
            </w:r>
            <w:r>
              <w:rPr>
                <w:rFonts w:hint="default" w:ascii="Times New Roman" w:hAnsi="Times New Roman" w:eastAsia="宋体" w:cs="Times New Roman"/>
                <w:color w:val="auto"/>
                <w:sz w:val="24"/>
                <w:szCs w:val="24"/>
                <w:highlight w:val="none"/>
                <w:lang w:eastAsia="zh-CN"/>
              </w:rPr>
              <w:t>的</w:t>
            </w:r>
            <w:r>
              <w:rPr>
                <w:rFonts w:hint="default" w:ascii="Times New Roman" w:hAnsi="Times New Roman" w:cs="Times New Roman"/>
                <w:color w:val="auto"/>
                <w:kern w:val="0"/>
                <w:sz w:val="24"/>
                <w:lang w:eastAsia="zh-CN"/>
              </w:rPr>
              <w:t>粉尘，</w:t>
            </w:r>
            <w:r>
              <w:rPr>
                <w:rFonts w:hint="default" w:ascii="Times New Roman" w:hAnsi="Times New Roman" w:cs="Times New Roman"/>
                <w:color w:val="auto"/>
                <w:kern w:val="0"/>
                <w:sz w:val="24"/>
              </w:rPr>
              <w:t>执行《大气污染物综合排放标准》（GB16297-1996）表2</w:t>
            </w:r>
            <w:r>
              <w:rPr>
                <w:rFonts w:hint="default" w:ascii="Times New Roman" w:hAnsi="Times New Roman" w:cs="Times New Roman"/>
                <w:color w:val="auto"/>
                <w:sz w:val="24"/>
              </w:rPr>
              <w:t>，详见表</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w:t>
            </w:r>
          </w:p>
          <w:p w14:paraId="66E3CC7F">
            <w:pPr>
              <w:pStyle w:val="29"/>
              <w:bidi w:val="0"/>
              <w:rPr>
                <w:rFonts w:hint="default" w:ascii="Times New Roman" w:hAnsi="Times New Roman" w:eastAsia="宋体" w:cs="Times New Roman"/>
                <w:b/>
                <w:bCs/>
              </w:rPr>
            </w:pPr>
            <w:r>
              <w:rPr>
                <w:rFonts w:hint="default" w:ascii="Times New Roman" w:hAnsi="Times New Roman" w:eastAsia="宋体" w:cs="Times New Roman"/>
                <w:b/>
                <w:bCs/>
              </w:rPr>
              <w:t>表</w:t>
            </w:r>
            <w:r>
              <w:rPr>
                <w:rFonts w:hint="default" w:ascii="Times New Roman" w:hAnsi="Times New Roman" w:eastAsia="宋体" w:cs="Times New Roman"/>
                <w:b/>
                <w:bCs/>
                <w:lang w:val="en-US" w:eastAsia="zh-CN"/>
              </w:rPr>
              <w:t>3</w:t>
            </w:r>
            <w:r>
              <w:rPr>
                <w:rFonts w:hint="default" w:ascii="Times New Roman" w:hAnsi="Times New Roman" w:eastAsia="宋体" w:cs="Times New Roman"/>
                <w:b/>
                <w:bCs/>
              </w:rPr>
              <w:t>-</w:t>
            </w:r>
            <w:r>
              <w:rPr>
                <w:rFonts w:hint="default" w:ascii="Times New Roman" w:hAnsi="Times New Roman" w:eastAsia="宋体" w:cs="Times New Roman"/>
                <w:b/>
                <w:bCs/>
                <w:lang w:val="en-US" w:eastAsia="zh-CN"/>
              </w:rPr>
              <w:t>4</w:t>
            </w:r>
            <w:r>
              <w:rPr>
                <w:rFonts w:hint="default" w:ascii="Times New Roman" w:hAnsi="Times New Roman" w:eastAsia="宋体" w:cs="Times New Roman"/>
                <w:b/>
                <w:bCs/>
              </w:rPr>
              <w:t xml:space="preserve">  大气污染物综合排放标准（mg/m³）</w:t>
            </w:r>
          </w:p>
          <w:tbl>
            <w:tblPr>
              <w:tblStyle w:val="23"/>
              <w:tblW w:w="7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5"/>
              <w:gridCol w:w="3735"/>
            </w:tblGrid>
            <w:tr w14:paraId="2C953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735" w:type="dxa"/>
                  <w:tcBorders>
                    <w:tl2br w:val="nil"/>
                    <w:tr2bl w:val="nil"/>
                  </w:tcBorders>
                  <w:vAlign w:val="center"/>
                </w:tcPr>
                <w:p w14:paraId="146B4D9B">
                  <w:pPr>
                    <w:pStyle w:val="33"/>
                    <w:bidi w:val="0"/>
                    <w:rPr>
                      <w:rFonts w:hint="default" w:ascii="Times New Roman" w:hAnsi="Times New Roman" w:cs="Times New Roman"/>
                      <w:b/>
                      <w:bCs/>
                    </w:rPr>
                  </w:pPr>
                  <w:r>
                    <w:rPr>
                      <w:rFonts w:hint="default" w:ascii="Times New Roman" w:hAnsi="Times New Roman" w:cs="Times New Roman"/>
                      <w:b/>
                      <w:bCs/>
                    </w:rPr>
                    <w:t>污染物</w:t>
                  </w:r>
                </w:p>
              </w:tc>
              <w:tc>
                <w:tcPr>
                  <w:tcW w:w="3735" w:type="dxa"/>
                  <w:tcBorders>
                    <w:tl2br w:val="nil"/>
                    <w:tr2bl w:val="nil"/>
                  </w:tcBorders>
                  <w:vAlign w:val="center"/>
                </w:tcPr>
                <w:p w14:paraId="7787A8A1">
                  <w:pPr>
                    <w:pStyle w:val="33"/>
                    <w:bidi w:val="0"/>
                    <w:rPr>
                      <w:rFonts w:hint="default" w:ascii="Times New Roman" w:hAnsi="Times New Roman" w:cs="Times New Roman"/>
                      <w:b/>
                      <w:bCs/>
                    </w:rPr>
                  </w:pPr>
                  <w:r>
                    <w:rPr>
                      <w:rFonts w:hint="default" w:ascii="Times New Roman" w:hAnsi="Times New Roman" w:cs="Times New Roman"/>
                      <w:b/>
                      <w:bCs/>
                    </w:rPr>
                    <w:t>无组织排放监控浓度限值</w:t>
                  </w:r>
                </w:p>
              </w:tc>
            </w:tr>
            <w:tr w14:paraId="383A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735" w:type="dxa"/>
                  <w:tcBorders>
                    <w:tl2br w:val="nil"/>
                    <w:tr2bl w:val="nil"/>
                  </w:tcBorders>
                  <w:vAlign w:val="center"/>
                </w:tcPr>
                <w:p w14:paraId="03FD28E4">
                  <w:pPr>
                    <w:pStyle w:val="33"/>
                    <w:bidi w:val="0"/>
                    <w:rPr>
                      <w:rFonts w:hint="default" w:ascii="Times New Roman" w:hAnsi="Times New Roman" w:cs="Times New Roman"/>
                    </w:rPr>
                  </w:pPr>
                  <w:r>
                    <w:rPr>
                      <w:rFonts w:hint="default" w:ascii="Times New Roman" w:hAnsi="Times New Roman" w:cs="Times New Roman"/>
                    </w:rPr>
                    <w:t>颗粒物</w:t>
                  </w:r>
                </w:p>
              </w:tc>
              <w:tc>
                <w:tcPr>
                  <w:tcW w:w="3735" w:type="dxa"/>
                  <w:tcBorders>
                    <w:tl2br w:val="nil"/>
                    <w:tr2bl w:val="nil"/>
                  </w:tcBorders>
                  <w:vAlign w:val="center"/>
                </w:tcPr>
                <w:p w14:paraId="749B9593">
                  <w:pPr>
                    <w:pStyle w:val="33"/>
                    <w:bidi w:val="0"/>
                    <w:rPr>
                      <w:rFonts w:hint="default" w:ascii="Times New Roman" w:hAnsi="Times New Roman" w:cs="Times New Roman"/>
                    </w:rPr>
                  </w:pPr>
                  <w:r>
                    <w:rPr>
                      <w:rFonts w:hint="default" w:ascii="Times New Roman" w:hAnsi="Times New Roman" w:cs="Times New Roman"/>
                    </w:rPr>
                    <w:t>1.0</w:t>
                  </w:r>
                </w:p>
              </w:tc>
            </w:tr>
          </w:tbl>
          <w:p w14:paraId="7BD561E4">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（2）运营期</w:t>
            </w:r>
          </w:p>
          <w:p w14:paraId="750316F3">
            <w:pPr>
              <w:bidi w:val="0"/>
              <w:rPr>
                <w:rFonts w:hint="default" w:ascii="Times New Roman" w:hAnsi="Times New Roman" w:cs="Times New Roman"/>
                <w:sz w:val="24"/>
                <w:vertAlign w:val="baseline"/>
                <w:lang w:val="en-US" w:eastAsia="zh-CN"/>
              </w:rPr>
            </w:pPr>
            <w:r>
              <w:rPr>
                <w:rFonts w:hint="default" w:ascii="Times New Roman" w:hAnsi="Times New Roman" w:cs="Times New Roman"/>
                <w:sz w:val="24"/>
                <w:lang w:val="en-US" w:eastAsia="zh-CN"/>
              </w:rPr>
              <w:t>项目运营期无组织颗粒物排放执行《煤炭工业污染物排放标准》（GB20426-2006）表5标准限值，标准值见表3-</w:t>
            </w:r>
            <w:r>
              <w:rPr>
                <w:rFonts w:hint="eastAsia" w:cs="Times New Roman"/>
                <w:sz w:val="24"/>
                <w:lang w:val="en-US" w:eastAsia="zh-CN"/>
              </w:rPr>
              <w:t>5。</w:t>
            </w:r>
          </w:p>
          <w:p w14:paraId="35F9384C">
            <w:pPr>
              <w:pStyle w:val="29"/>
              <w:bidi w:val="0"/>
              <w:rPr>
                <w:rFonts w:hint="default" w:ascii="Times New Roman" w:hAnsi="Times New Roman" w:eastAsia="宋体" w:cs="Times New Roman"/>
                <w:b/>
                <w:bCs/>
              </w:rPr>
            </w:pPr>
            <w:r>
              <w:rPr>
                <w:rFonts w:hint="default" w:ascii="Times New Roman" w:hAnsi="Times New Roman" w:eastAsia="宋体" w:cs="Times New Roman"/>
                <w:b/>
                <w:bCs/>
              </w:rPr>
              <w:t>表</w:t>
            </w:r>
            <w:r>
              <w:rPr>
                <w:rFonts w:hint="default" w:ascii="Times New Roman" w:hAnsi="Times New Roman" w:eastAsia="宋体" w:cs="Times New Roman"/>
                <w:b/>
                <w:bCs/>
                <w:lang w:val="en-US" w:eastAsia="zh-CN"/>
              </w:rPr>
              <w:t>3</w:t>
            </w:r>
            <w:r>
              <w:rPr>
                <w:rFonts w:hint="default" w:ascii="Times New Roman" w:hAnsi="Times New Roman" w:eastAsia="宋体" w:cs="Times New Roman"/>
                <w:b/>
                <w:bCs/>
              </w:rPr>
              <w:t>-</w:t>
            </w:r>
            <w:r>
              <w:rPr>
                <w:rFonts w:hint="default" w:ascii="Times New Roman" w:hAnsi="Times New Roman" w:eastAsia="宋体" w:cs="Times New Roman"/>
                <w:b/>
                <w:bCs/>
                <w:lang w:val="en-US" w:eastAsia="zh-CN"/>
              </w:rPr>
              <w:t>5</w:t>
            </w:r>
            <w:r>
              <w:rPr>
                <w:rFonts w:hint="default" w:ascii="Times New Roman" w:hAnsi="Times New Roman" w:eastAsia="宋体" w:cs="Times New Roman"/>
                <w:b/>
                <w:bCs/>
              </w:rPr>
              <w:t xml:space="preserve"> </w:t>
            </w:r>
            <w:r>
              <w:rPr>
                <w:rFonts w:hint="default" w:ascii="Times New Roman" w:hAnsi="Times New Roman" w:eastAsia="宋体" w:cs="Times New Roman"/>
                <w:b/>
                <w:bCs/>
                <w:lang w:val="en-US" w:eastAsia="zh-CN"/>
              </w:rPr>
              <w:t>煤炭工业污染物无组织颗粒物</w:t>
            </w:r>
            <w:r>
              <w:rPr>
                <w:rFonts w:hint="default" w:ascii="Times New Roman" w:hAnsi="Times New Roman" w:eastAsia="宋体" w:cs="Times New Roman"/>
                <w:b/>
                <w:bCs/>
              </w:rPr>
              <w:t>排放标准（mg/m³）</w:t>
            </w:r>
          </w:p>
          <w:tbl>
            <w:tblPr>
              <w:tblStyle w:val="23"/>
              <w:tblW w:w="7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99"/>
              <w:gridCol w:w="2887"/>
              <w:gridCol w:w="2731"/>
            </w:tblGrid>
            <w:tr w14:paraId="785D3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50" w:type="dxa"/>
                  <w:vMerge w:val="restart"/>
                  <w:tcBorders>
                    <w:tl2br w:val="nil"/>
                    <w:tr2bl w:val="nil"/>
                  </w:tcBorders>
                  <w:vAlign w:val="center"/>
                </w:tcPr>
                <w:p w14:paraId="440590CF">
                  <w:pPr>
                    <w:pStyle w:val="33"/>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sz w:val="21"/>
                    </w:rPr>
                  </w:pPr>
                  <w:r>
                    <w:rPr>
                      <w:rFonts w:hint="default" w:ascii="Times New Roman" w:hAnsi="Times New Roman" w:eastAsia="宋体" w:cs="Times New Roman"/>
                      <w:b/>
                      <w:bCs/>
                      <w:sz w:val="21"/>
                    </w:rPr>
                    <w:t>污染物</w:t>
                  </w:r>
                </w:p>
              </w:tc>
              <w:tc>
                <w:tcPr>
                  <w:tcW w:w="1199" w:type="dxa"/>
                  <w:vMerge w:val="restart"/>
                  <w:tcBorders>
                    <w:tl2br w:val="nil"/>
                    <w:tr2bl w:val="nil"/>
                  </w:tcBorders>
                  <w:vAlign w:val="center"/>
                </w:tcPr>
                <w:p w14:paraId="6D383E37">
                  <w:pPr>
                    <w:pStyle w:val="33"/>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监控点</w:t>
                  </w:r>
                </w:p>
              </w:tc>
              <w:tc>
                <w:tcPr>
                  <w:tcW w:w="5618" w:type="dxa"/>
                  <w:gridSpan w:val="2"/>
                  <w:tcBorders>
                    <w:tl2br w:val="nil"/>
                    <w:tr2bl w:val="nil"/>
                  </w:tcBorders>
                  <w:vAlign w:val="center"/>
                </w:tcPr>
                <w:p w14:paraId="1C575FD4">
                  <w:pPr>
                    <w:pStyle w:val="33"/>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作业场所</w:t>
                  </w:r>
                </w:p>
              </w:tc>
            </w:tr>
            <w:tr w14:paraId="428C5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50" w:type="dxa"/>
                  <w:vMerge w:val="continue"/>
                  <w:tcBorders>
                    <w:tl2br w:val="nil"/>
                    <w:tr2bl w:val="nil"/>
                  </w:tcBorders>
                  <w:vAlign w:val="center"/>
                </w:tcPr>
                <w:p w14:paraId="791EDC4D">
                  <w:pPr>
                    <w:pStyle w:val="33"/>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sz w:val="21"/>
                    </w:rPr>
                  </w:pPr>
                </w:p>
              </w:tc>
              <w:tc>
                <w:tcPr>
                  <w:tcW w:w="1199" w:type="dxa"/>
                  <w:vMerge w:val="continue"/>
                  <w:tcBorders>
                    <w:tl2br w:val="nil"/>
                    <w:tr2bl w:val="nil"/>
                  </w:tcBorders>
                  <w:vAlign w:val="center"/>
                </w:tcPr>
                <w:p w14:paraId="6E731E94">
                  <w:pPr>
                    <w:pStyle w:val="33"/>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sz w:val="21"/>
                    </w:rPr>
                  </w:pPr>
                </w:p>
              </w:tc>
              <w:tc>
                <w:tcPr>
                  <w:tcW w:w="2887" w:type="dxa"/>
                  <w:tcBorders>
                    <w:tl2br w:val="nil"/>
                    <w:tr2bl w:val="nil"/>
                  </w:tcBorders>
                  <w:vAlign w:val="center"/>
                </w:tcPr>
                <w:p w14:paraId="1EE821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lang w:val="en-US" w:eastAsia="zh-CN"/>
                    </w:rPr>
                  </w:pPr>
                  <w:r>
                    <w:rPr>
                      <w:rFonts w:hint="default" w:ascii="Times New Roman" w:hAnsi="Times New Roman" w:eastAsia="宋体" w:cs="Times New Roman"/>
                      <w:b w:val="0"/>
                      <w:bCs w:val="0"/>
                      <w:color w:val="auto"/>
                      <w:sz w:val="21"/>
                      <w:szCs w:val="21"/>
                      <w:highlight w:val="none"/>
                      <w:lang w:val="en-US" w:eastAsia="zh-CN"/>
                    </w:rPr>
                    <w:t>煤炭工业所属装卸场所</w:t>
                  </w:r>
                </w:p>
              </w:tc>
              <w:tc>
                <w:tcPr>
                  <w:tcW w:w="2731" w:type="dxa"/>
                  <w:tcBorders>
                    <w:tl2br w:val="nil"/>
                    <w:tr2bl w:val="nil"/>
                  </w:tcBorders>
                  <w:vAlign w:val="center"/>
                </w:tcPr>
                <w:p w14:paraId="3FB07F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lang w:val="en-US" w:eastAsia="zh-CN"/>
                    </w:rPr>
                  </w:pPr>
                  <w:r>
                    <w:rPr>
                      <w:rFonts w:hint="default" w:ascii="Times New Roman" w:hAnsi="Times New Roman" w:eastAsia="宋体" w:cs="Times New Roman"/>
                      <w:b w:val="0"/>
                      <w:bCs w:val="0"/>
                      <w:color w:val="auto"/>
                      <w:sz w:val="21"/>
                      <w:szCs w:val="21"/>
                      <w:highlight w:val="none"/>
                      <w:lang w:val="en-US" w:eastAsia="zh-CN"/>
                    </w:rPr>
                    <w:t>煤炭贮存场所、煤矸石堆置场</w:t>
                  </w:r>
                </w:p>
              </w:tc>
            </w:tr>
            <w:tr w14:paraId="4B509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50" w:type="dxa"/>
                  <w:vMerge w:val="continue"/>
                  <w:tcBorders>
                    <w:tl2br w:val="nil"/>
                    <w:tr2bl w:val="nil"/>
                  </w:tcBorders>
                  <w:vAlign w:val="center"/>
                </w:tcPr>
                <w:p w14:paraId="2BC4AD98">
                  <w:pPr>
                    <w:pStyle w:val="33"/>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sz w:val="21"/>
                    </w:rPr>
                  </w:pPr>
                </w:p>
              </w:tc>
              <w:tc>
                <w:tcPr>
                  <w:tcW w:w="1199" w:type="dxa"/>
                  <w:vMerge w:val="continue"/>
                  <w:tcBorders>
                    <w:tl2br w:val="nil"/>
                    <w:tr2bl w:val="nil"/>
                  </w:tcBorders>
                  <w:vAlign w:val="center"/>
                </w:tcPr>
                <w:p w14:paraId="7038BD77">
                  <w:pPr>
                    <w:pStyle w:val="33"/>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sz w:val="21"/>
                    </w:rPr>
                  </w:pPr>
                </w:p>
              </w:tc>
              <w:tc>
                <w:tcPr>
                  <w:tcW w:w="2887" w:type="dxa"/>
                  <w:tcBorders>
                    <w:tl2br w:val="nil"/>
                    <w:tr2bl w:val="nil"/>
                  </w:tcBorders>
                  <w:vAlign w:val="center"/>
                </w:tcPr>
                <w:p w14:paraId="2391BD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rPr>
                  </w:pPr>
                  <w:r>
                    <w:rPr>
                      <w:rFonts w:hint="default" w:ascii="Times New Roman" w:hAnsi="Times New Roman" w:eastAsia="宋体" w:cs="Times New Roman"/>
                      <w:b w:val="0"/>
                      <w:bCs w:val="0"/>
                      <w:color w:val="auto"/>
                      <w:sz w:val="21"/>
                      <w:szCs w:val="21"/>
                      <w:highlight w:val="none"/>
                      <w:lang w:val="en-US" w:eastAsia="zh-CN"/>
                    </w:rPr>
                    <w:t>无组织排放限值/（mg/m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）（监控点与参考点浓度差值）</w:t>
                  </w:r>
                </w:p>
              </w:tc>
              <w:tc>
                <w:tcPr>
                  <w:tcW w:w="2731" w:type="dxa"/>
                  <w:tcBorders>
                    <w:tl2br w:val="nil"/>
                    <w:tr2bl w:val="nil"/>
                  </w:tcBorders>
                  <w:vAlign w:val="center"/>
                </w:tcPr>
                <w:p w14:paraId="148977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无组织排放限值/（mg/m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）（监控点与参考点浓度差值）</w:t>
                  </w:r>
                </w:p>
              </w:tc>
            </w:tr>
            <w:tr w14:paraId="0AB8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0" w:type="dxa"/>
                  <w:tcBorders>
                    <w:tl2br w:val="nil"/>
                    <w:tr2bl w:val="nil"/>
                  </w:tcBorders>
                  <w:vAlign w:val="center"/>
                </w:tcPr>
                <w:p w14:paraId="5B2CBB03">
                  <w:pPr>
                    <w:pStyle w:val="33"/>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rPr>
                  </w:pPr>
                  <w:r>
                    <w:rPr>
                      <w:rFonts w:hint="default" w:ascii="Times New Roman" w:hAnsi="Times New Roman" w:eastAsia="宋体" w:cs="Times New Roman"/>
                      <w:sz w:val="21"/>
                    </w:rPr>
                    <w:t>颗粒物</w:t>
                  </w:r>
                </w:p>
              </w:tc>
              <w:tc>
                <w:tcPr>
                  <w:tcW w:w="1199" w:type="dxa"/>
                  <w:tcBorders>
                    <w:tl2br w:val="nil"/>
                    <w:tr2bl w:val="nil"/>
                  </w:tcBorders>
                  <w:vAlign w:val="center"/>
                </w:tcPr>
                <w:p w14:paraId="3F43C468">
                  <w:pPr>
                    <w:pStyle w:val="33"/>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周界外质量浓度最高点</w:t>
                  </w:r>
                </w:p>
              </w:tc>
              <w:tc>
                <w:tcPr>
                  <w:tcW w:w="2887" w:type="dxa"/>
                  <w:tcBorders>
                    <w:tl2br w:val="nil"/>
                    <w:tr2bl w:val="nil"/>
                  </w:tcBorders>
                  <w:vAlign w:val="center"/>
                </w:tcPr>
                <w:p w14:paraId="422E6E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rPr>
                  </w:pPr>
                  <w:r>
                    <w:rPr>
                      <w:rFonts w:hint="default" w:ascii="Times New Roman" w:hAnsi="Times New Roman" w:eastAsia="宋体" w:cs="Times New Roman"/>
                      <w:b w:val="0"/>
                      <w:bCs w:val="0"/>
                      <w:color w:val="auto"/>
                      <w:sz w:val="21"/>
                      <w:szCs w:val="21"/>
                      <w:highlight w:val="none"/>
                      <w:lang w:val="en-US" w:eastAsia="zh-CN"/>
                    </w:rPr>
                    <w:t>1.0</w:t>
                  </w:r>
                </w:p>
              </w:tc>
              <w:tc>
                <w:tcPr>
                  <w:tcW w:w="2731" w:type="dxa"/>
                  <w:tcBorders>
                    <w:tl2br w:val="nil"/>
                    <w:tr2bl w:val="nil"/>
                  </w:tcBorders>
                  <w:vAlign w:val="center"/>
                </w:tcPr>
                <w:p w14:paraId="67BDD9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w:t>
                  </w:r>
                </w:p>
              </w:tc>
            </w:tr>
          </w:tbl>
          <w:p w14:paraId="4102930E">
            <w:pPr>
              <w:numPr>
                <w:ilvl w:val="0"/>
                <w:numId w:val="0"/>
              </w:numPr>
              <w:ind w:firstLine="482" w:firstLineChars="200"/>
              <w:rPr>
                <w:rFonts w:hint="default" w:ascii="Times New Roman" w:hAnsi="Times New Roman" w:cs="Times New Roman"/>
                <w:b/>
                <w:bCs/>
                <w:color w:val="auto"/>
                <w:sz w:val="24"/>
                <w:u w:val="none"/>
                <w:lang w:val="en-US" w:eastAsia="zh-CN"/>
              </w:rPr>
            </w:pPr>
            <w:r>
              <w:rPr>
                <w:rFonts w:hint="default" w:ascii="Times New Roman" w:hAnsi="Times New Roman" w:eastAsia="宋体" w:cs="Times New Roman"/>
                <w:b/>
                <w:bCs/>
                <w:color w:val="auto"/>
                <w:kern w:val="2"/>
                <w:sz w:val="24"/>
                <w:szCs w:val="24"/>
                <w:u w:val="none"/>
                <w:lang w:val="en-US" w:eastAsia="zh-CN" w:bidi="ar-SA"/>
              </w:rPr>
              <w:t>2、</w:t>
            </w:r>
            <w:r>
              <w:rPr>
                <w:rFonts w:hint="default" w:ascii="Times New Roman" w:hAnsi="Times New Roman" w:cs="Times New Roman"/>
                <w:b/>
                <w:bCs/>
                <w:color w:val="auto"/>
                <w:sz w:val="24"/>
                <w:u w:val="none"/>
                <w:lang w:val="en-US" w:eastAsia="zh-CN"/>
              </w:rPr>
              <w:t>废水</w:t>
            </w:r>
          </w:p>
          <w:p w14:paraId="69F9DC49">
            <w:pPr>
              <w:widowControl/>
              <w:spacing w:line="360" w:lineRule="auto"/>
              <w:ind w:firstLine="482" w:firstLineChars="200"/>
              <w:rPr>
                <w:rFonts w:hint="default" w:ascii="Times New Roman" w:hAnsi="Times New Roman" w:cs="Times New Roman"/>
                <w:b/>
                <w:bCs/>
                <w:color w:val="auto"/>
                <w:sz w:val="24"/>
                <w:highlight w:val="none"/>
                <w:u w:val="none"/>
                <w:lang w:val="en-US" w:eastAsia="zh-CN"/>
              </w:rPr>
            </w:pPr>
            <w:r>
              <w:rPr>
                <w:rFonts w:hint="default" w:ascii="Times New Roman" w:hAnsi="Times New Roman" w:cs="Times New Roman"/>
                <w:b/>
                <w:bCs/>
                <w:color w:val="auto"/>
                <w:sz w:val="24"/>
                <w:highlight w:val="none"/>
                <w:u w:val="none"/>
                <w:lang w:val="en-US" w:eastAsia="zh-CN"/>
              </w:rPr>
              <w:t>（1）施工期</w:t>
            </w:r>
          </w:p>
          <w:p w14:paraId="495D0A69">
            <w:pPr>
              <w:bidi w:val="0"/>
              <w:rPr>
                <w:rFonts w:hint="default" w:ascii="Times New Roman" w:hAnsi="Times New Roman" w:cs="Times New Roman"/>
                <w:color w:val="auto"/>
                <w:sz w:val="24"/>
                <w:highlight w:val="none"/>
                <w:u w:val="none"/>
                <w:lang w:val="en-US" w:eastAsia="zh-CN"/>
              </w:rPr>
            </w:pPr>
            <w:r>
              <w:rPr>
                <w:rFonts w:hint="default" w:ascii="Times New Roman" w:hAnsi="Times New Roman" w:cs="Times New Roman"/>
                <w:color w:val="auto"/>
                <w:sz w:val="24"/>
                <w:highlight w:val="none"/>
                <w:u w:val="none"/>
              </w:rPr>
              <w:t>本项目施工期工艺简单，</w:t>
            </w:r>
            <w:r>
              <w:rPr>
                <w:rFonts w:hint="default" w:ascii="Times New Roman" w:hAnsi="Times New Roman" w:cs="Times New Roman"/>
                <w:color w:val="auto"/>
                <w:sz w:val="24"/>
                <w:highlight w:val="none"/>
                <w:u w:val="none"/>
                <w:lang w:eastAsia="zh-CN"/>
              </w:rPr>
              <w:t>施工废水和施工人员生活污水产生量较少，</w:t>
            </w:r>
            <w:r>
              <w:rPr>
                <w:rFonts w:hint="default" w:ascii="Times New Roman" w:hAnsi="Times New Roman" w:cs="Times New Roman"/>
                <w:color w:val="auto"/>
                <w:sz w:val="24"/>
                <w:highlight w:val="none"/>
                <w:u w:val="none"/>
                <w:lang w:val="en-US" w:eastAsia="zh-CN"/>
              </w:rPr>
              <w:t>通过现有化粪池处理后</w:t>
            </w:r>
            <w:r>
              <w:rPr>
                <w:rFonts w:hint="eastAsia" w:cs="Times New Roman"/>
                <w:color w:val="auto"/>
                <w:sz w:val="24"/>
                <w:highlight w:val="none"/>
                <w:u w:val="none"/>
                <w:lang w:val="en-US" w:eastAsia="zh-CN"/>
              </w:rPr>
              <w:t>暂存</w:t>
            </w:r>
            <w:r>
              <w:rPr>
                <w:rFonts w:hint="default" w:ascii="Times New Roman" w:hAnsi="Times New Roman" w:cs="Times New Roman"/>
                <w:color w:val="auto"/>
                <w:sz w:val="24"/>
                <w:highlight w:val="none"/>
                <w:u w:val="none"/>
                <w:lang w:val="en-US" w:eastAsia="zh-CN"/>
              </w:rPr>
              <w:t>，不外排</w:t>
            </w:r>
            <w:r>
              <w:rPr>
                <w:rFonts w:hint="default" w:ascii="Times New Roman" w:hAnsi="Times New Roman" w:cs="Times New Roman"/>
                <w:color w:val="auto"/>
                <w:u w:val="none"/>
                <w:lang w:val="en-US" w:eastAsia="zh-CN"/>
              </w:rPr>
              <w:t>。</w:t>
            </w:r>
          </w:p>
          <w:p w14:paraId="5A3288C4">
            <w:pPr>
              <w:rPr>
                <w:rFonts w:hint="default" w:ascii="Times New Roman" w:hAnsi="Times New Roman" w:cs="Times New Roman"/>
                <w:b/>
                <w:bCs/>
                <w:color w:val="auto"/>
                <w:highlight w:val="none"/>
                <w:u w:val="none"/>
                <w:lang w:val="en-US" w:eastAsia="zh-CN"/>
              </w:rPr>
            </w:pPr>
            <w:r>
              <w:rPr>
                <w:rFonts w:hint="default" w:ascii="Times New Roman" w:hAnsi="Times New Roman" w:cs="Times New Roman"/>
                <w:b/>
                <w:bCs/>
                <w:color w:val="auto"/>
                <w:highlight w:val="none"/>
                <w:u w:val="none"/>
                <w:lang w:val="en-US" w:eastAsia="zh-CN"/>
              </w:rPr>
              <w:t>（2）运营期</w:t>
            </w:r>
          </w:p>
          <w:p w14:paraId="414FDDA0">
            <w:pPr>
              <w:adjustRightInd w:val="0"/>
              <w:snapToGrid w:val="0"/>
              <w:jc w:val="left"/>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本项目车辆冲洗废水经沉淀池处理后循环使用，不外排；初期雨水经收集池收集沉淀后用于洒水降尘，不外排；</w:t>
            </w:r>
            <w:r>
              <w:rPr>
                <w:rFonts w:hint="default" w:ascii="Times New Roman" w:hAnsi="Times New Roman" w:eastAsia="宋体" w:cs="Times New Roman"/>
                <w:color w:val="0000FF"/>
                <w:highlight w:val="none"/>
                <w:u w:val="none"/>
                <w:lang w:val="en-US" w:eastAsia="zh-CN"/>
              </w:rPr>
              <w:t>生活污水经化粪池</w:t>
            </w:r>
            <w:r>
              <w:rPr>
                <w:rFonts w:hint="eastAsia" w:ascii="Times New Roman" w:hAnsi="Times New Roman" w:eastAsia="宋体" w:cs="Times New Roman"/>
                <w:color w:val="0000FF"/>
                <w:highlight w:val="none"/>
                <w:u w:val="none"/>
                <w:lang w:val="en-US" w:eastAsia="zh-CN"/>
              </w:rPr>
              <w:t>预</w:t>
            </w:r>
            <w:r>
              <w:rPr>
                <w:rFonts w:hint="default" w:ascii="Times New Roman" w:hAnsi="Times New Roman" w:eastAsia="宋体" w:cs="Times New Roman"/>
                <w:color w:val="0000FF"/>
                <w:highlight w:val="none"/>
                <w:u w:val="none"/>
                <w:lang w:val="en-US" w:eastAsia="zh-CN"/>
              </w:rPr>
              <w:t>处理</w:t>
            </w:r>
            <w:r>
              <w:rPr>
                <w:rFonts w:hint="eastAsia" w:cs="Times New Roman"/>
                <w:color w:val="0000FF"/>
                <w:highlight w:val="none"/>
                <w:u w:val="none"/>
                <w:lang w:val="en-US" w:eastAsia="zh-CN"/>
              </w:rPr>
              <w:t>后排入</w:t>
            </w:r>
            <w:r>
              <w:rPr>
                <w:rFonts w:hint="eastAsia" w:cs="Times New Roman"/>
                <w:color w:val="0000FF"/>
                <w:sz w:val="24"/>
                <w:highlight w:val="none"/>
                <w:u w:val="none"/>
                <w:lang w:val="en-US" w:eastAsia="zh-CN"/>
              </w:rPr>
              <w:t>项目一体化污水处理设备处理</w:t>
            </w:r>
            <w:r>
              <w:rPr>
                <w:rFonts w:hint="eastAsia"/>
                <w:color w:val="0000FF"/>
                <w:sz w:val="24"/>
                <w:highlight w:val="none"/>
              </w:rPr>
              <w:t>达《城市污水再生利用 城市杂用水水质》</w:t>
            </w:r>
            <w:r>
              <w:rPr>
                <w:color w:val="0000FF"/>
                <w:sz w:val="24"/>
                <w:highlight w:val="none"/>
              </w:rPr>
              <w:t>（GB/T18920-2020）</w:t>
            </w:r>
            <w:r>
              <w:rPr>
                <w:rFonts w:hint="eastAsia"/>
                <w:color w:val="0000FF"/>
                <w:sz w:val="24"/>
                <w:highlight w:val="none"/>
              </w:rPr>
              <w:t>中城市绿化、道路清扫、消防、建筑施工标准后</w:t>
            </w:r>
            <w:r>
              <w:rPr>
                <w:color w:val="0000FF"/>
                <w:sz w:val="24"/>
                <w:highlight w:val="none"/>
              </w:rPr>
              <w:t>，</w:t>
            </w:r>
            <w:r>
              <w:rPr>
                <w:rFonts w:hint="eastAsia"/>
                <w:color w:val="0000FF"/>
                <w:sz w:val="24"/>
                <w:highlight w:val="none"/>
              </w:rPr>
              <w:t>用于</w:t>
            </w:r>
            <w:r>
              <w:rPr>
                <w:rFonts w:hint="eastAsia"/>
                <w:color w:val="0000FF"/>
                <w:sz w:val="24"/>
                <w:highlight w:val="none"/>
                <w:lang w:val="en-US" w:eastAsia="zh-CN"/>
              </w:rPr>
              <w:t>生活区</w:t>
            </w:r>
            <w:r>
              <w:rPr>
                <w:rFonts w:hint="eastAsia"/>
                <w:color w:val="0000FF"/>
                <w:sz w:val="24"/>
                <w:highlight w:val="none"/>
              </w:rPr>
              <w:t>洒水降尘，不外排。</w:t>
            </w:r>
          </w:p>
          <w:p w14:paraId="39B7ABDF">
            <w:pPr>
              <w:adjustRightInd w:val="0"/>
              <w:snapToGrid w:val="0"/>
              <w:spacing w:line="240" w:lineRule="auto"/>
              <w:ind w:firstLine="0" w:firstLineChars="0"/>
              <w:jc w:val="center"/>
              <w:rPr>
                <w:rFonts w:hint="eastAsia"/>
                <w:b/>
                <w:bCs/>
                <w:color w:val="auto"/>
                <w:sz w:val="24"/>
                <w:szCs w:val="24"/>
              </w:rPr>
            </w:pPr>
            <w:r>
              <w:rPr>
                <w:rFonts w:hint="eastAsia"/>
                <w:b/>
                <w:bCs/>
                <w:color w:val="auto"/>
                <w:sz w:val="24"/>
                <w:szCs w:val="24"/>
              </w:rPr>
              <w:t>表3-10  城市污水再生利用 城市杂用水水质标准</w:t>
            </w:r>
          </w:p>
          <w:tbl>
            <w:tblPr>
              <w:tblStyle w:val="23"/>
              <w:tblW w:w="49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2282"/>
              <w:gridCol w:w="3385"/>
            </w:tblGrid>
            <w:tr w14:paraId="22349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0" w:type="pct"/>
                  <w:vMerge w:val="restart"/>
                  <w:vAlign w:val="center"/>
                </w:tcPr>
                <w:p w14:paraId="73E3A7DD">
                  <w:pPr>
                    <w:adjustRightInd w:val="0"/>
                    <w:snapToGrid w:val="0"/>
                    <w:spacing w:line="240" w:lineRule="auto"/>
                    <w:ind w:firstLine="0" w:firstLineChars="0"/>
                    <w:jc w:val="center"/>
                    <w:rPr>
                      <w:b/>
                      <w:color w:val="auto"/>
                      <w:sz w:val="21"/>
                      <w:szCs w:val="21"/>
                    </w:rPr>
                  </w:pPr>
                  <w:r>
                    <w:rPr>
                      <w:b/>
                      <w:color w:val="auto"/>
                      <w:sz w:val="21"/>
                      <w:szCs w:val="21"/>
                    </w:rPr>
                    <w:t>污染指标</w:t>
                  </w:r>
                </w:p>
              </w:tc>
              <w:tc>
                <w:tcPr>
                  <w:tcW w:w="1546" w:type="pct"/>
                  <w:vMerge w:val="restart"/>
                  <w:vAlign w:val="center"/>
                </w:tcPr>
                <w:p w14:paraId="4A469D20">
                  <w:pPr>
                    <w:adjustRightInd w:val="0"/>
                    <w:snapToGrid w:val="0"/>
                    <w:spacing w:line="240" w:lineRule="auto"/>
                    <w:ind w:firstLine="0" w:firstLineChars="0"/>
                    <w:jc w:val="center"/>
                    <w:rPr>
                      <w:b/>
                      <w:color w:val="auto"/>
                      <w:sz w:val="21"/>
                      <w:szCs w:val="21"/>
                    </w:rPr>
                  </w:pPr>
                  <w:r>
                    <w:rPr>
                      <w:b/>
                      <w:color w:val="auto"/>
                      <w:sz w:val="21"/>
                      <w:szCs w:val="21"/>
                    </w:rPr>
                    <w:t>单位</w:t>
                  </w:r>
                </w:p>
              </w:tc>
              <w:tc>
                <w:tcPr>
                  <w:tcW w:w="2293" w:type="pct"/>
                  <w:vAlign w:val="center"/>
                </w:tcPr>
                <w:p w14:paraId="1120F0A6">
                  <w:pPr>
                    <w:adjustRightInd w:val="0"/>
                    <w:snapToGrid w:val="0"/>
                    <w:spacing w:line="240" w:lineRule="auto"/>
                    <w:ind w:firstLine="0" w:firstLineChars="0"/>
                    <w:jc w:val="center"/>
                    <w:rPr>
                      <w:b/>
                      <w:color w:val="auto"/>
                      <w:sz w:val="21"/>
                      <w:szCs w:val="21"/>
                    </w:rPr>
                  </w:pPr>
                  <w:r>
                    <w:rPr>
                      <w:b/>
                      <w:color w:val="auto"/>
                      <w:sz w:val="21"/>
                      <w:szCs w:val="21"/>
                    </w:rPr>
                    <w:t>标准限值</w:t>
                  </w:r>
                </w:p>
              </w:tc>
            </w:tr>
            <w:tr w14:paraId="599DE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pct"/>
                  <w:vMerge w:val="continue"/>
                  <w:vAlign w:val="center"/>
                </w:tcPr>
                <w:p w14:paraId="41C24D57">
                  <w:pPr>
                    <w:adjustRightInd w:val="0"/>
                    <w:snapToGrid w:val="0"/>
                    <w:spacing w:line="240" w:lineRule="auto"/>
                    <w:ind w:firstLine="0" w:firstLineChars="0"/>
                    <w:jc w:val="center"/>
                    <w:rPr>
                      <w:b/>
                      <w:color w:val="auto"/>
                      <w:sz w:val="21"/>
                      <w:szCs w:val="21"/>
                    </w:rPr>
                  </w:pPr>
                </w:p>
              </w:tc>
              <w:tc>
                <w:tcPr>
                  <w:tcW w:w="1546" w:type="pct"/>
                  <w:vMerge w:val="continue"/>
                  <w:vAlign w:val="center"/>
                </w:tcPr>
                <w:p w14:paraId="52A8AC98">
                  <w:pPr>
                    <w:adjustRightInd w:val="0"/>
                    <w:snapToGrid w:val="0"/>
                    <w:spacing w:line="240" w:lineRule="auto"/>
                    <w:ind w:firstLine="0" w:firstLineChars="0"/>
                    <w:jc w:val="center"/>
                    <w:rPr>
                      <w:b/>
                      <w:color w:val="auto"/>
                      <w:sz w:val="21"/>
                      <w:szCs w:val="21"/>
                    </w:rPr>
                  </w:pPr>
                </w:p>
              </w:tc>
              <w:tc>
                <w:tcPr>
                  <w:tcW w:w="2293" w:type="pct"/>
                  <w:vAlign w:val="center"/>
                </w:tcPr>
                <w:p w14:paraId="0C8C13B1">
                  <w:pPr>
                    <w:adjustRightInd w:val="0"/>
                    <w:snapToGrid w:val="0"/>
                    <w:spacing w:line="240" w:lineRule="auto"/>
                    <w:ind w:firstLine="0" w:firstLineChars="0"/>
                    <w:jc w:val="center"/>
                    <w:rPr>
                      <w:b/>
                      <w:color w:val="auto"/>
                      <w:sz w:val="21"/>
                      <w:szCs w:val="21"/>
                    </w:rPr>
                  </w:pPr>
                  <w:r>
                    <w:rPr>
                      <w:rFonts w:hint="eastAsia"/>
                      <w:b/>
                      <w:color w:val="auto"/>
                      <w:sz w:val="21"/>
                      <w:szCs w:val="21"/>
                    </w:rPr>
                    <w:t>城市绿化、道路清扫、消防、建筑施工</w:t>
                  </w:r>
                </w:p>
              </w:tc>
            </w:tr>
            <w:tr w14:paraId="37FBD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pct"/>
                  <w:vAlign w:val="center"/>
                </w:tcPr>
                <w:p w14:paraId="018FF00F">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pH</w:t>
                  </w:r>
                </w:p>
              </w:tc>
              <w:tc>
                <w:tcPr>
                  <w:tcW w:w="1546" w:type="pct"/>
                  <w:vAlign w:val="center"/>
                </w:tcPr>
                <w:p w14:paraId="1ED63D1F">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无量纲</w:t>
                  </w:r>
                </w:p>
              </w:tc>
              <w:tc>
                <w:tcPr>
                  <w:tcW w:w="2293" w:type="pct"/>
                  <w:vAlign w:val="center"/>
                </w:tcPr>
                <w:p w14:paraId="5CD12F11">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6~9</w:t>
                  </w:r>
                </w:p>
              </w:tc>
            </w:tr>
            <w:tr w14:paraId="6BBD8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pct"/>
                  <w:vAlign w:val="center"/>
                </w:tcPr>
                <w:p w14:paraId="7FB5DB70">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色度</w:t>
                  </w:r>
                </w:p>
              </w:tc>
              <w:tc>
                <w:tcPr>
                  <w:tcW w:w="1546" w:type="pct"/>
                  <w:vAlign w:val="center"/>
                </w:tcPr>
                <w:p w14:paraId="78724076">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w:t>
                  </w:r>
                </w:p>
              </w:tc>
              <w:tc>
                <w:tcPr>
                  <w:tcW w:w="2293" w:type="pct"/>
                  <w:vAlign w:val="center"/>
                </w:tcPr>
                <w:p w14:paraId="0DB45B50">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≤30</w:t>
                  </w:r>
                </w:p>
              </w:tc>
            </w:tr>
            <w:tr w14:paraId="2C2ED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pct"/>
                  <w:vAlign w:val="center"/>
                </w:tcPr>
                <w:p w14:paraId="38F252AE">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嗅</w:t>
                  </w:r>
                </w:p>
              </w:tc>
              <w:tc>
                <w:tcPr>
                  <w:tcW w:w="1546" w:type="pct"/>
                  <w:vAlign w:val="center"/>
                </w:tcPr>
                <w:p w14:paraId="76043A79">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w:t>
                  </w:r>
                </w:p>
              </w:tc>
              <w:tc>
                <w:tcPr>
                  <w:tcW w:w="2293" w:type="pct"/>
                  <w:vAlign w:val="center"/>
                </w:tcPr>
                <w:p w14:paraId="6F52E405">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无不快感</w:t>
                  </w:r>
                </w:p>
              </w:tc>
            </w:tr>
            <w:tr w14:paraId="1FF3C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pct"/>
                  <w:vAlign w:val="center"/>
                </w:tcPr>
                <w:p w14:paraId="2C05F4D8">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浊度</w:t>
                  </w:r>
                </w:p>
              </w:tc>
              <w:tc>
                <w:tcPr>
                  <w:tcW w:w="1546" w:type="pct"/>
                  <w:vAlign w:val="center"/>
                </w:tcPr>
                <w:p w14:paraId="70286394">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NTU</w:t>
                  </w:r>
                </w:p>
              </w:tc>
              <w:tc>
                <w:tcPr>
                  <w:tcW w:w="2293" w:type="pct"/>
                  <w:vAlign w:val="center"/>
                </w:tcPr>
                <w:p w14:paraId="21F23B7A">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≤10</w:t>
                  </w:r>
                </w:p>
              </w:tc>
            </w:tr>
            <w:tr w14:paraId="29D6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pct"/>
                  <w:vAlign w:val="center"/>
                </w:tcPr>
                <w:p w14:paraId="1FD1B76B">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溶解性总固体</w:t>
                  </w:r>
                </w:p>
              </w:tc>
              <w:tc>
                <w:tcPr>
                  <w:tcW w:w="1546" w:type="pct"/>
                  <w:vMerge w:val="restart"/>
                  <w:vAlign w:val="center"/>
                </w:tcPr>
                <w:p w14:paraId="3A9DBD23">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mg/L</w:t>
                  </w:r>
                </w:p>
              </w:tc>
              <w:tc>
                <w:tcPr>
                  <w:tcW w:w="2293" w:type="pct"/>
                  <w:vAlign w:val="center"/>
                </w:tcPr>
                <w:p w14:paraId="37C4D9E8">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≤1000</w:t>
                  </w:r>
                </w:p>
              </w:tc>
            </w:tr>
            <w:tr w14:paraId="5C9B8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pct"/>
                  <w:vAlign w:val="center"/>
                </w:tcPr>
                <w:p w14:paraId="77ECBB63">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BOD5</w:t>
                  </w:r>
                </w:p>
              </w:tc>
              <w:tc>
                <w:tcPr>
                  <w:tcW w:w="1546" w:type="pct"/>
                  <w:vMerge w:val="continue"/>
                  <w:vAlign w:val="center"/>
                </w:tcPr>
                <w:p w14:paraId="3A57FDAA">
                  <w:pPr>
                    <w:adjustRightInd w:val="0"/>
                    <w:snapToGrid w:val="0"/>
                    <w:spacing w:line="240" w:lineRule="auto"/>
                    <w:ind w:firstLine="0" w:firstLineChars="0"/>
                    <w:jc w:val="center"/>
                    <w:rPr>
                      <w:rFonts w:hint="eastAsia"/>
                      <w:bCs/>
                      <w:color w:val="auto"/>
                      <w:sz w:val="21"/>
                      <w:szCs w:val="21"/>
                    </w:rPr>
                  </w:pPr>
                </w:p>
              </w:tc>
              <w:tc>
                <w:tcPr>
                  <w:tcW w:w="2293" w:type="pct"/>
                  <w:vAlign w:val="center"/>
                </w:tcPr>
                <w:p w14:paraId="6BB74610">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≤10</w:t>
                  </w:r>
                </w:p>
              </w:tc>
            </w:tr>
            <w:tr w14:paraId="34500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pct"/>
                  <w:vAlign w:val="center"/>
                </w:tcPr>
                <w:p w14:paraId="6D868B10">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氨氮</w:t>
                  </w:r>
                </w:p>
              </w:tc>
              <w:tc>
                <w:tcPr>
                  <w:tcW w:w="1546" w:type="pct"/>
                  <w:vMerge w:val="continue"/>
                  <w:vAlign w:val="center"/>
                </w:tcPr>
                <w:p w14:paraId="334882B2">
                  <w:pPr>
                    <w:adjustRightInd w:val="0"/>
                    <w:snapToGrid w:val="0"/>
                    <w:spacing w:line="240" w:lineRule="auto"/>
                    <w:ind w:firstLine="0" w:firstLineChars="0"/>
                    <w:jc w:val="center"/>
                    <w:rPr>
                      <w:rFonts w:hint="eastAsia"/>
                      <w:bCs/>
                      <w:color w:val="auto"/>
                      <w:sz w:val="21"/>
                      <w:szCs w:val="21"/>
                    </w:rPr>
                  </w:pPr>
                </w:p>
              </w:tc>
              <w:tc>
                <w:tcPr>
                  <w:tcW w:w="2293" w:type="pct"/>
                  <w:vAlign w:val="center"/>
                </w:tcPr>
                <w:p w14:paraId="30B791C1">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≤8</w:t>
                  </w:r>
                </w:p>
              </w:tc>
            </w:tr>
            <w:tr w14:paraId="0AD67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pct"/>
                  <w:vAlign w:val="center"/>
                </w:tcPr>
                <w:p w14:paraId="31CF3ECD">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阴离子表面活性剂</w:t>
                  </w:r>
                </w:p>
              </w:tc>
              <w:tc>
                <w:tcPr>
                  <w:tcW w:w="1546" w:type="pct"/>
                  <w:vMerge w:val="continue"/>
                  <w:vAlign w:val="center"/>
                </w:tcPr>
                <w:p w14:paraId="2251ABD0">
                  <w:pPr>
                    <w:adjustRightInd w:val="0"/>
                    <w:snapToGrid w:val="0"/>
                    <w:spacing w:line="240" w:lineRule="auto"/>
                    <w:ind w:firstLine="0" w:firstLineChars="0"/>
                    <w:jc w:val="center"/>
                    <w:rPr>
                      <w:rFonts w:hint="eastAsia"/>
                      <w:bCs/>
                      <w:color w:val="auto"/>
                      <w:sz w:val="21"/>
                      <w:szCs w:val="21"/>
                    </w:rPr>
                  </w:pPr>
                </w:p>
              </w:tc>
              <w:tc>
                <w:tcPr>
                  <w:tcW w:w="2293" w:type="pct"/>
                  <w:vAlign w:val="center"/>
                </w:tcPr>
                <w:p w14:paraId="5DF13332">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≤0.5</w:t>
                  </w:r>
                </w:p>
              </w:tc>
            </w:tr>
            <w:tr w14:paraId="11A0D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pct"/>
                  <w:vAlign w:val="center"/>
                </w:tcPr>
                <w:p w14:paraId="1DEE59D3">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铁</w:t>
                  </w:r>
                </w:p>
              </w:tc>
              <w:tc>
                <w:tcPr>
                  <w:tcW w:w="1546" w:type="pct"/>
                  <w:vMerge w:val="continue"/>
                  <w:vAlign w:val="center"/>
                </w:tcPr>
                <w:p w14:paraId="38149732">
                  <w:pPr>
                    <w:adjustRightInd w:val="0"/>
                    <w:snapToGrid w:val="0"/>
                    <w:spacing w:line="240" w:lineRule="auto"/>
                    <w:ind w:firstLine="0" w:firstLineChars="0"/>
                    <w:jc w:val="center"/>
                    <w:rPr>
                      <w:rFonts w:hint="eastAsia"/>
                      <w:bCs/>
                      <w:color w:val="auto"/>
                      <w:sz w:val="21"/>
                      <w:szCs w:val="21"/>
                    </w:rPr>
                  </w:pPr>
                </w:p>
              </w:tc>
              <w:tc>
                <w:tcPr>
                  <w:tcW w:w="2293" w:type="pct"/>
                  <w:vAlign w:val="center"/>
                </w:tcPr>
                <w:p w14:paraId="2A8909FF">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w:t>
                  </w:r>
                </w:p>
              </w:tc>
            </w:tr>
            <w:tr w14:paraId="2FED5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pct"/>
                  <w:vAlign w:val="center"/>
                </w:tcPr>
                <w:p w14:paraId="46353915">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锰</w:t>
                  </w:r>
                </w:p>
              </w:tc>
              <w:tc>
                <w:tcPr>
                  <w:tcW w:w="1546" w:type="pct"/>
                  <w:vMerge w:val="continue"/>
                  <w:vAlign w:val="center"/>
                </w:tcPr>
                <w:p w14:paraId="184C67F8">
                  <w:pPr>
                    <w:adjustRightInd w:val="0"/>
                    <w:snapToGrid w:val="0"/>
                    <w:spacing w:line="240" w:lineRule="auto"/>
                    <w:ind w:firstLine="0" w:firstLineChars="0"/>
                    <w:jc w:val="center"/>
                    <w:rPr>
                      <w:rFonts w:hint="eastAsia"/>
                      <w:bCs/>
                      <w:color w:val="auto"/>
                      <w:sz w:val="21"/>
                      <w:szCs w:val="21"/>
                    </w:rPr>
                  </w:pPr>
                </w:p>
              </w:tc>
              <w:tc>
                <w:tcPr>
                  <w:tcW w:w="2293" w:type="pct"/>
                  <w:vAlign w:val="center"/>
                </w:tcPr>
                <w:p w14:paraId="25033455">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w:t>
                  </w:r>
                </w:p>
              </w:tc>
            </w:tr>
            <w:tr w14:paraId="4C3E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pct"/>
                  <w:vAlign w:val="center"/>
                </w:tcPr>
                <w:p w14:paraId="6F1B4306">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溶解氧</w:t>
                  </w:r>
                </w:p>
              </w:tc>
              <w:tc>
                <w:tcPr>
                  <w:tcW w:w="1546" w:type="pct"/>
                  <w:vMerge w:val="continue"/>
                  <w:vAlign w:val="center"/>
                </w:tcPr>
                <w:p w14:paraId="454A07A6">
                  <w:pPr>
                    <w:adjustRightInd w:val="0"/>
                    <w:snapToGrid w:val="0"/>
                    <w:spacing w:line="240" w:lineRule="auto"/>
                    <w:ind w:firstLine="0" w:firstLineChars="0"/>
                    <w:jc w:val="center"/>
                    <w:rPr>
                      <w:rFonts w:hint="eastAsia"/>
                      <w:bCs/>
                      <w:color w:val="auto"/>
                      <w:sz w:val="21"/>
                      <w:szCs w:val="21"/>
                    </w:rPr>
                  </w:pPr>
                </w:p>
              </w:tc>
              <w:tc>
                <w:tcPr>
                  <w:tcW w:w="2293" w:type="pct"/>
                  <w:vAlign w:val="center"/>
                </w:tcPr>
                <w:p w14:paraId="5C705272">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≥2.0</w:t>
                  </w:r>
                </w:p>
              </w:tc>
            </w:tr>
            <w:tr w14:paraId="2C0C4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pct"/>
                  <w:vAlign w:val="center"/>
                </w:tcPr>
                <w:p w14:paraId="78443BB3">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总氯</w:t>
                  </w:r>
                </w:p>
              </w:tc>
              <w:tc>
                <w:tcPr>
                  <w:tcW w:w="1546" w:type="pct"/>
                  <w:vMerge w:val="continue"/>
                  <w:vAlign w:val="center"/>
                </w:tcPr>
                <w:p w14:paraId="34C14B70">
                  <w:pPr>
                    <w:adjustRightInd w:val="0"/>
                    <w:snapToGrid w:val="0"/>
                    <w:spacing w:line="240" w:lineRule="auto"/>
                    <w:ind w:firstLine="0" w:firstLineChars="0"/>
                    <w:jc w:val="center"/>
                    <w:rPr>
                      <w:rFonts w:hint="eastAsia"/>
                      <w:bCs/>
                      <w:color w:val="auto"/>
                      <w:sz w:val="21"/>
                      <w:szCs w:val="21"/>
                    </w:rPr>
                  </w:pPr>
                </w:p>
              </w:tc>
              <w:tc>
                <w:tcPr>
                  <w:tcW w:w="2293" w:type="pct"/>
                  <w:vAlign w:val="center"/>
                </w:tcPr>
                <w:p w14:paraId="182A2762">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接触30min后≥1.0，管网末端≥0.2</w:t>
                  </w:r>
                </w:p>
              </w:tc>
            </w:tr>
            <w:tr w14:paraId="58CA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pct"/>
                  <w:vAlign w:val="center"/>
                </w:tcPr>
                <w:p w14:paraId="165C4A7A">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大肠埃希氏菌</w:t>
                  </w:r>
                </w:p>
              </w:tc>
              <w:tc>
                <w:tcPr>
                  <w:tcW w:w="1546" w:type="pct"/>
                  <w:vAlign w:val="center"/>
                </w:tcPr>
                <w:p w14:paraId="52B6A4EA">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MPN/100mL或CFU/100mL</w:t>
                  </w:r>
                </w:p>
              </w:tc>
              <w:tc>
                <w:tcPr>
                  <w:tcW w:w="2293" w:type="pct"/>
                  <w:vAlign w:val="center"/>
                </w:tcPr>
                <w:p w14:paraId="44E57C72">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无c</w:t>
                  </w:r>
                </w:p>
              </w:tc>
            </w:tr>
            <w:tr w14:paraId="0E7A9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5000" w:type="pct"/>
                  <w:gridSpan w:val="3"/>
                  <w:vAlign w:val="center"/>
                </w:tcPr>
                <w:p w14:paraId="5EEABA07">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注：c大肠埃希氏菌不应检出</w:t>
                  </w:r>
                </w:p>
              </w:tc>
            </w:tr>
          </w:tbl>
          <w:p w14:paraId="27273219">
            <w:pPr>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3、噪声</w:t>
            </w:r>
          </w:p>
          <w:p w14:paraId="0D062A8D">
            <w:pPr>
              <w:autoSpaceDE w:val="0"/>
              <w:autoSpaceDN w:val="0"/>
              <w:spacing w:line="360" w:lineRule="auto"/>
              <w:ind w:firstLine="480"/>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cs="Times New Roman"/>
                <w:b/>
                <w:bCs/>
                <w:color w:val="auto"/>
                <w:kern w:val="0"/>
                <w:sz w:val="24"/>
                <w:highlight w:val="none"/>
                <w:lang w:eastAsia="zh-CN"/>
              </w:rPr>
              <w:t>（</w:t>
            </w:r>
            <w:r>
              <w:rPr>
                <w:rFonts w:hint="default" w:ascii="Times New Roman" w:hAnsi="Times New Roman" w:cs="Times New Roman"/>
                <w:b/>
                <w:bCs/>
                <w:color w:val="auto"/>
                <w:kern w:val="0"/>
                <w:sz w:val="24"/>
                <w:highlight w:val="none"/>
                <w:lang w:val="en-US" w:eastAsia="zh-CN"/>
              </w:rPr>
              <w:t>1）施工期</w:t>
            </w:r>
          </w:p>
          <w:p w14:paraId="060B7C70">
            <w:pPr>
              <w:autoSpaceDE w:val="0"/>
              <w:autoSpaceDN w:val="0"/>
              <w:spacing w:line="360" w:lineRule="auto"/>
              <w:ind w:firstLine="48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本项目施工期噪声执行《建筑施工场界环境噪声排放标准》（GB12523-2011），标准限值见</w:t>
            </w:r>
            <w:r>
              <w:rPr>
                <w:rFonts w:hint="eastAsia" w:cs="Times New Roman"/>
                <w:color w:val="auto"/>
                <w:kern w:val="0"/>
                <w:sz w:val="24"/>
                <w:highlight w:val="none"/>
                <w:lang w:val="en-US" w:eastAsia="zh-CN"/>
              </w:rPr>
              <w:t>下表</w:t>
            </w:r>
            <w:r>
              <w:rPr>
                <w:rFonts w:hint="default" w:ascii="Times New Roman" w:hAnsi="Times New Roman" w:cs="Times New Roman"/>
                <w:color w:val="auto"/>
                <w:kern w:val="0"/>
                <w:sz w:val="24"/>
                <w:highlight w:val="none"/>
              </w:rPr>
              <w:t>。</w:t>
            </w:r>
          </w:p>
          <w:p w14:paraId="54E32BF6">
            <w:pPr>
              <w:pStyle w:val="29"/>
              <w:bidi w:val="0"/>
              <w:rPr>
                <w:rFonts w:hint="default" w:ascii="Times New Roman" w:hAnsi="Times New Roman" w:eastAsia="宋体" w:cs="Times New Roman"/>
                <w:b/>
                <w:bCs/>
              </w:rPr>
            </w:pPr>
            <w:r>
              <w:rPr>
                <w:rFonts w:hint="default" w:ascii="Times New Roman" w:hAnsi="Times New Roman" w:eastAsia="宋体" w:cs="Times New Roman"/>
                <w:b/>
                <w:bCs/>
              </w:rPr>
              <w:t>表</w:t>
            </w:r>
            <w:r>
              <w:rPr>
                <w:rFonts w:hint="default" w:ascii="Times New Roman" w:hAnsi="Times New Roman" w:eastAsia="宋体" w:cs="Times New Roman"/>
                <w:b/>
                <w:bCs/>
                <w:lang w:val="en-US" w:eastAsia="zh-CN"/>
              </w:rPr>
              <w:t>3</w:t>
            </w:r>
            <w:r>
              <w:rPr>
                <w:rFonts w:hint="default" w:ascii="Times New Roman" w:hAnsi="Times New Roman" w:eastAsia="宋体" w:cs="Times New Roman"/>
                <w:b/>
                <w:bCs/>
              </w:rPr>
              <w:t>-</w:t>
            </w:r>
            <w:r>
              <w:rPr>
                <w:rFonts w:hint="eastAsia" w:ascii="Times New Roman" w:hAnsi="Times New Roman" w:eastAsia="宋体" w:cs="Times New Roman"/>
                <w:b/>
                <w:bCs/>
                <w:lang w:val="en-US" w:eastAsia="zh-CN"/>
              </w:rPr>
              <w:t xml:space="preserve">7 </w:t>
            </w:r>
            <w:r>
              <w:rPr>
                <w:rFonts w:hint="default" w:ascii="Times New Roman" w:hAnsi="Times New Roman" w:eastAsia="宋体" w:cs="Times New Roman"/>
                <w:b/>
                <w:bCs/>
              </w:rPr>
              <w:t xml:space="preserve"> 建筑施工场界环境噪声排放标准</w:t>
            </w:r>
            <w:r>
              <w:rPr>
                <w:rFonts w:hint="default" w:ascii="Times New Roman" w:hAnsi="Times New Roman" w:eastAsia="宋体" w:cs="Times New Roman"/>
                <w:b/>
                <w:bCs/>
                <w:lang w:eastAsia="zh-CN"/>
              </w:rPr>
              <w:t>限值</w:t>
            </w:r>
          </w:p>
          <w:tbl>
            <w:tblPr>
              <w:tblStyle w:val="23"/>
              <w:tblW w:w="74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5"/>
              <w:gridCol w:w="3736"/>
            </w:tblGrid>
            <w:tr w14:paraId="112E0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35" w:type="dxa"/>
                  <w:tcBorders>
                    <w:tl2br w:val="nil"/>
                    <w:tr2bl w:val="nil"/>
                  </w:tcBorders>
                  <w:vAlign w:val="center"/>
                </w:tcPr>
                <w:p w14:paraId="0025304B">
                  <w:pPr>
                    <w:pStyle w:val="33"/>
                    <w:bidi w:val="0"/>
                    <w:rPr>
                      <w:rFonts w:hint="default"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rPr>
                    <w:t>昼间Leq：</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dB(A)</w:t>
                  </w:r>
                  <w:r>
                    <w:rPr>
                      <w:rFonts w:hint="default" w:ascii="Times New Roman" w:hAnsi="Times New Roman" w:cs="Times New Roman"/>
                      <w:b/>
                      <w:bCs/>
                      <w:color w:val="auto"/>
                      <w:highlight w:val="none"/>
                      <w:lang w:eastAsia="zh-CN"/>
                    </w:rPr>
                    <w:t>）</w:t>
                  </w:r>
                </w:p>
              </w:tc>
              <w:tc>
                <w:tcPr>
                  <w:tcW w:w="3736" w:type="dxa"/>
                  <w:tcBorders>
                    <w:tl2br w:val="nil"/>
                    <w:tr2bl w:val="nil"/>
                  </w:tcBorders>
                  <w:vAlign w:val="center"/>
                </w:tcPr>
                <w:p w14:paraId="0B793BF3">
                  <w:pPr>
                    <w:pStyle w:val="33"/>
                    <w:bidi w:val="0"/>
                    <w:rPr>
                      <w:rFonts w:hint="default"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rPr>
                    <w:t>夜间Leq：</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dB(A)</w:t>
                  </w:r>
                  <w:r>
                    <w:rPr>
                      <w:rFonts w:hint="default" w:ascii="Times New Roman" w:hAnsi="Times New Roman" w:cs="Times New Roman"/>
                      <w:b/>
                      <w:bCs/>
                      <w:color w:val="auto"/>
                      <w:highlight w:val="none"/>
                      <w:lang w:eastAsia="zh-CN"/>
                    </w:rPr>
                    <w:t>）</w:t>
                  </w:r>
                </w:p>
              </w:tc>
            </w:tr>
            <w:tr w14:paraId="00AA8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35" w:type="dxa"/>
                  <w:tcBorders>
                    <w:tl2br w:val="nil"/>
                    <w:tr2bl w:val="nil"/>
                  </w:tcBorders>
                  <w:vAlign w:val="center"/>
                </w:tcPr>
                <w:p w14:paraId="0FAF7D21">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70</w:t>
                  </w:r>
                </w:p>
              </w:tc>
              <w:tc>
                <w:tcPr>
                  <w:tcW w:w="3736" w:type="dxa"/>
                  <w:tcBorders>
                    <w:tl2br w:val="nil"/>
                    <w:tr2bl w:val="nil"/>
                  </w:tcBorders>
                  <w:vAlign w:val="center"/>
                </w:tcPr>
                <w:p w14:paraId="623A9BD5">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55</w:t>
                  </w:r>
                </w:p>
              </w:tc>
            </w:tr>
          </w:tbl>
          <w:p w14:paraId="57F5F077">
            <w:pPr>
              <w:numPr>
                <w:ilvl w:val="0"/>
                <w:numId w:val="0"/>
              </w:numPr>
              <w:bidi w:val="0"/>
              <w:ind w:leftChars="20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（2）运营期</w:t>
            </w:r>
          </w:p>
          <w:p w14:paraId="13B9A5EE">
            <w:pPr>
              <w:spacing w:line="360" w:lineRule="auto"/>
              <w:ind w:firstLine="480" w:firstLineChars="200"/>
              <w:rPr>
                <w:rFonts w:hint="default" w:ascii="Times New Roman" w:hAnsi="Times New Roman" w:cs="Times New Roman"/>
                <w:color w:val="0000FF"/>
                <w:sz w:val="24"/>
                <w:highlight w:val="none"/>
              </w:rPr>
            </w:pPr>
            <w:r>
              <w:rPr>
                <w:rFonts w:hint="default" w:ascii="Times New Roman" w:hAnsi="Times New Roman" w:cs="Times New Roman"/>
                <w:color w:val="0000FF"/>
                <w:sz w:val="24"/>
                <w:highlight w:val="none"/>
                <w:lang w:val="zh-CN"/>
              </w:rPr>
              <w:t>本</w:t>
            </w:r>
            <w:r>
              <w:rPr>
                <w:rFonts w:hint="default" w:ascii="Times New Roman" w:hAnsi="Times New Roman" w:cs="Times New Roman"/>
                <w:color w:val="0000FF"/>
                <w:sz w:val="24"/>
                <w:highlight w:val="none"/>
              </w:rPr>
              <w:t>项目</w:t>
            </w:r>
            <w:r>
              <w:rPr>
                <w:rFonts w:hint="default" w:ascii="Times New Roman" w:hAnsi="Times New Roman" w:cs="Times New Roman"/>
                <w:color w:val="0000FF"/>
                <w:sz w:val="24"/>
                <w:highlight w:val="none"/>
                <w:lang w:val="en-US" w:eastAsia="zh-CN"/>
              </w:rPr>
              <w:t>运营期噪声</w:t>
            </w:r>
            <w:r>
              <w:rPr>
                <w:rFonts w:hint="eastAsia" w:cs="Times New Roman"/>
                <w:color w:val="0000FF"/>
                <w:sz w:val="24"/>
                <w:highlight w:val="none"/>
                <w:lang w:val="en-US" w:eastAsia="zh-CN"/>
              </w:rPr>
              <w:t>项目区北侧厂界</w:t>
            </w:r>
            <w:r>
              <w:rPr>
                <w:rFonts w:hint="default" w:ascii="Times New Roman" w:hAnsi="Times New Roman" w:cs="Times New Roman"/>
                <w:color w:val="0000FF"/>
                <w:sz w:val="24"/>
                <w:highlight w:val="none"/>
              </w:rPr>
              <w:t>执行《工业企业厂界环境噪声排放标准》（GB12348-2008）</w:t>
            </w:r>
            <w:r>
              <w:rPr>
                <w:rFonts w:hint="eastAsia" w:cs="Times New Roman"/>
                <w:color w:val="0000FF"/>
                <w:sz w:val="24"/>
                <w:highlight w:val="none"/>
                <w:lang w:val="en-US" w:eastAsia="zh-CN"/>
              </w:rPr>
              <w:t>4类标准，其他厂界执行</w:t>
            </w:r>
            <w:r>
              <w:rPr>
                <w:rFonts w:hint="default" w:ascii="Times New Roman" w:hAnsi="Times New Roman" w:cs="Times New Roman"/>
                <w:color w:val="0000FF"/>
                <w:sz w:val="24"/>
                <w:highlight w:val="none"/>
                <w:lang w:val="en-US" w:eastAsia="zh-CN"/>
              </w:rPr>
              <w:t>2</w:t>
            </w:r>
            <w:r>
              <w:rPr>
                <w:rFonts w:hint="default" w:ascii="Times New Roman" w:hAnsi="Times New Roman" w:cs="Times New Roman"/>
                <w:color w:val="0000FF"/>
                <w:sz w:val="24"/>
                <w:highlight w:val="none"/>
              </w:rPr>
              <w:t>类标准</w:t>
            </w:r>
            <w:r>
              <w:rPr>
                <w:rFonts w:hint="default" w:ascii="Times New Roman" w:hAnsi="Times New Roman" w:cs="Times New Roman"/>
                <w:color w:val="0000FF"/>
                <w:sz w:val="24"/>
                <w:highlight w:val="none"/>
                <w:lang w:eastAsia="zh-CN"/>
              </w:rPr>
              <w:t>。</w:t>
            </w:r>
            <w:r>
              <w:rPr>
                <w:rFonts w:hint="default" w:ascii="Times New Roman" w:hAnsi="Times New Roman" w:cs="Times New Roman"/>
                <w:color w:val="0000FF"/>
                <w:sz w:val="24"/>
                <w:highlight w:val="none"/>
              </w:rPr>
              <w:t>标准值见</w:t>
            </w:r>
            <w:r>
              <w:rPr>
                <w:rFonts w:hint="eastAsia" w:cs="Times New Roman"/>
                <w:color w:val="0000FF"/>
                <w:sz w:val="24"/>
                <w:highlight w:val="none"/>
                <w:lang w:val="en-US" w:eastAsia="zh-CN"/>
              </w:rPr>
              <w:t>下表</w:t>
            </w:r>
            <w:r>
              <w:rPr>
                <w:rFonts w:hint="default" w:ascii="Times New Roman" w:hAnsi="Times New Roman" w:cs="Times New Roman"/>
                <w:color w:val="0000FF"/>
                <w:sz w:val="24"/>
                <w:highlight w:val="none"/>
              </w:rPr>
              <w:t>。</w:t>
            </w:r>
          </w:p>
          <w:p w14:paraId="104CA9B4">
            <w:pPr>
              <w:pStyle w:val="29"/>
              <w:widowControl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eastAsia" w:cs="Times New Roman"/>
                <w:color w:val="auto"/>
                <w:highlight w:val="none"/>
                <w:lang w:val="en-US" w:eastAsia="zh-CN"/>
              </w:rPr>
              <w:t>8</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 xml:space="preserve"> 工业企业厂界环境噪声排放标准</w:t>
            </w:r>
            <w:r>
              <w:rPr>
                <w:rFonts w:hint="default" w:ascii="Times New Roman" w:hAnsi="Times New Roman" w:cs="Times New Roman"/>
                <w:color w:val="auto"/>
                <w:highlight w:val="none"/>
                <w:lang w:eastAsia="zh-CN"/>
              </w:rPr>
              <w:t>限值</w:t>
            </w:r>
          </w:p>
          <w:tbl>
            <w:tblPr>
              <w:tblStyle w:val="23"/>
              <w:tblW w:w="7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481"/>
              <w:gridCol w:w="2211"/>
              <w:gridCol w:w="2215"/>
            </w:tblGrid>
            <w:tr w14:paraId="4FFDF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3" w:type="dxa"/>
                  <w:vMerge w:val="restart"/>
                  <w:tcBorders>
                    <w:tl2br w:val="nil"/>
                    <w:tr2bl w:val="nil"/>
                  </w:tcBorders>
                  <w:vAlign w:val="center"/>
                </w:tcPr>
                <w:p w14:paraId="209A0716">
                  <w:pPr>
                    <w:pStyle w:val="33"/>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执行区域</w:t>
                  </w:r>
                </w:p>
              </w:tc>
              <w:tc>
                <w:tcPr>
                  <w:tcW w:w="1481" w:type="dxa"/>
                  <w:vMerge w:val="restart"/>
                  <w:tcBorders>
                    <w:tl2br w:val="nil"/>
                    <w:tr2bl w:val="nil"/>
                  </w:tcBorders>
                  <w:vAlign w:val="center"/>
                </w:tcPr>
                <w:p w14:paraId="7919EC2E">
                  <w:pPr>
                    <w:pStyle w:val="33"/>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类别</w:t>
                  </w:r>
                </w:p>
              </w:tc>
              <w:tc>
                <w:tcPr>
                  <w:tcW w:w="4426" w:type="dxa"/>
                  <w:gridSpan w:val="2"/>
                  <w:tcBorders>
                    <w:tl2br w:val="nil"/>
                    <w:tr2bl w:val="nil"/>
                  </w:tcBorders>
                  <w:vAlign w:val="center"/>
                </w:tcPr>
                <w:p w14:paraId="11764A48">
                  <w:pPr>
                    <w:pStyle w:val="33"/>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环境噪声标准限值</w:t>
                  </w:r>
                  <w:r>
                    <w:rPr>
                      <w:rFonts w:hint="default" w:ascii="Times New Roman" w:hAnsi="Times New Roman" w:cs="Times New Roman"/>
                      <w:b/>
                      <w:color w:val="auto"/>
                      <w:sz w:val="21"/>
                      <w:szCs w:val="21"/>
                      <w:highlight w:val="none"/>
                    </w:rPr>
                    <w:t>Leq[dB(A)]</w:t>
                  </w:r>
                </w:p>
              </w:tc>
            </w:tr>
            <w:tr w14:paraId="53B5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563" w:type="dxa"/>
                  <w:vMerge w:val="continue"/>
                  <w:tcBorders>
                    <w:tl2br w:val="nil"/>
                    <w:tr2bl w:val="nil"/>
                  </w:tcBorders>
                  <w:vAlign w:val="center"/>
                </w:tcPr>
                <w:p w14:paraId="67F7BB9F">
                  <w:pPr>
                    <w:pStyle w:val="33"/>
                    <w:bidi w:val="0"/>
                    <w:rPr>
                      <w:rFonts w:hint="default" w:ascii="Times New Roman" w:hAnsi="Times New Roman" w:cs="Times New Roman"/>
                      <w:b/>
                      <w:bCs/>
                      <w:color w:val="auto"/>
                      <w:highlight w:val="none"/>
                    </w:rPr>
                  </w:pPr>
                </w:p>
              </w:tc>
              <w:tc>
                <w:tcPr>
                  <w:tcW w:w="1481" w:type="dxa"/>
                  <w:vMerge w:val="continue"/>
                  <w:tcBorders>
                    <w:tl2br w:val="nil"/>
                    <w:tr2bl w:val="nil"/>
                  </w:tcBorders>
                  <w:vAlign w:val="center"/>
                </w:tcPr>
                <w:p w14:paraId="04B115AF">
                  <w:pPr>
                    <w:pStyle w:val="33"/>
                    <w:bidi w:val="0"/>
                    <w:rPr>
                      <w:rFonts w:hint="default" w:ascii="Times New Roman" w:hAnsi="Times New Roman" w:cs="Times New Roman"/>
                      <w:b/>
                      <w:bCs/>
                      <w:color w:val="auto"/>
                      <w:highlight w:val="none"/>
                    </w:rPr>
                  </w:pPr>
                </w:p>
              </w:tc>
              <w:tc>
                <w:tcPr>
                  <w:tcW w:w="2211" w:type="dxa"/>
                  <w:tcBorders>
                    <w:tl2br w:val="nil"/>
                    <w:tr2bl w:val="nil"/>
                  </w:tcBorders>
                  <w:vAlign w:val="center"/>
                </w:tcPr>
                <w:p w14:paraId="4C8FB431">
                  <w:pPr>
                    <w:pStyle w:val="33"/>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昼间</w:t>
                  </w:r>
                </w:p>
              </w:tc>
              <w:tc>
                <w:tcPr>
                  <w:tcW w:w="2215" w:type="dxa"/>
                  <w:tcBorders>
                    <w:tl2br w:val="nil"/>
                    <w:tr2bl w:val="nil"/>
                  </w:tcBorders>
                  <w:vAlign w:val="center"/>
                </w:tcPr>
                <w:p w14:paraId="1D12853B">
                  <w:pPr>
                    <w:pStyle w:val="33"/>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夜间</w:t>
                  </w:r>
                </w:p>
              </w:tc>
            </w:tr>
            <w:tr w14:paraId="66518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3" w:type="dxa"/>
                  <w:tcBorders>
                    <w:tl2br w:val="nil"/>
                    <w:tr2bl w:val="nil"/>
                  </w:tcBorders>
                  <w:vAlign w:val="center"/>
                </w:tcPr>
                <w:p w14:paraId="7246F7EA">
                  <w:pPr>
                    <w:pStyle w:val="3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项目区</w:t>
                  </w:r>
                  <w:r>
                    <w:rPr>
                      <w:rFonts w:hint="eastAsia" w:cs="Times New Roman"/>
                      <w:color w:val="auto"/>
                      <w:highlight w:val="none"/>
                      <w:lang w:val="en-US" w:eastAsia="zh-CN"/>
                    </w:rPr>
                    <w:t>东、南、西厂界</w:t>
                  </w:r>
                </w:p>
              </w:tc>
              <w:tc>
                <w:tcPr>
                  <w:tcW w:w="1481" w:type="dxa"/>
                  <w:tcBorders>
                    <w:tl2br w:val="nil"/>
                    <w:tr2bl w:val="nil"/>
                  </w:tcBorders>
                  <w:vAlign w:val="center"/>
                </w:tcPr>
                <w:p w14:paraId="452B8AE2">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类标准</w:t>
                  </w:r>
                </w:p>
              </w:tc>
              <w:tc>
                <w:tcPr>
                  <w:tcW w:w="2211" w:type="dxa"/>
                  <w:tcBorders>
                    <w:tl2br w:val="nil"/>
                    <w:tr2bl w:val="nil"/>
                  </w:tcBorders>
                  <w:vAlign w:val="center"/>
                </w:tcPr>
                <w:p w14:paraId="17EF91D4">
                  <w:pPr>
                    <w:pStyle w:val="33"/>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60</w:t>
                  </w:r>
                </w:p>
              </w:tc>
              <w:tc>
                <w:tcPr>
                  <w:tcW w:w="2215" w:type="dxa"/>
                  <w:tcBorders>
                    <w:tl2br w:val="nil"/>
                    <w:tr2bl w:val="nil"/>
                  </w:tcBorders>
                  <w:vAlign w:val="center"/>
                </w:tcPr>
                <w:p w14:paraId="60C05932">
                  <w:pPr>
                    <w:pStyle w:val="33"/>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50</w:t>
                  </w:r>
                </w:p>
              </w:tc>
            </w:tr>
            <w:tr w14:paraId="1A24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3" w:type="dxa"/>
                  <w:tcBorders>
                    <w:tl2br w:val="nil"/>
                    <w:tr2bl w:val="nil"/>
                  </w:tcBorders>
                  <w:vAlign w:val="center"/>
                </w:tcPr>
                <w:p w14:paraId="3326F6F0">
                  <w:pPr>
                    <w:pStyle w:val="33"/>
                    <w:bidi w:val="0"/>
                    <w:rPr>
                      <w:rFonts w:hint="default" w:ascii="Times New Roman" w:hAnsi="Times New Roman" w:cs="Times New Roman"/>
                      <w:color w:val="0000FF"/>
                      <w:highlight w:val="none"/>
                      <w:lang w:eastAsia="zh-CN"/>
                    </w:rPr>
                  </w:pPr>
                  <w:r>
                    <w:rPr>
                      <w:rFonts w:hint="default" w:ascii="Times New Roman" w:hAnsi="Times New Roman" w:cs="Times New Roman"/>
                      <w:color w:val="0000FF"/>
                      <w:highlight w:val="none"/>
                      <w:lang w:eastAsia="zh-CN"/>
                    </w:rPr>
                    <w:t>项目区</w:t>
                  </w:r>
                  <w:r>
                    <w:rPr>
                      <w:rFonts w:hint="eastAsia" w:cs="Times New Roman"/>
                      <w:color w:val="0000FF"/>
                      <w:highlight w:val="none"/>
                      <w:lang w:val="en-US" w:eastAsia="zh-CN"/>
                    </w:rPr>
                    <w:t>北厂界</w:t>
                  </w:r>
                </w:p>
              </w:tc>
              <w:tc>
                <w:tcPr>
                  <w:tcW w:w="1481" w:type="dxa"/>
                  <w:tcBorders>
                    <w:tl2br w:val="nil"/>
                    <w:tr2bl w:val="nil"/>
                  </w:tcBorders>
                  <w:vAlign w:val="center"/>
                </w:tcPr>
                <w:p w14:paraId="3FA8B734">
                  <w:pPr>
                    <w:pStyle w:val="33"/>
                    <w:bidi w:val="0"/>
                    <w:rPr>
                      <w:rFonts w:hint="default" w:ascii="Times New Roman" w:hAnsi="Times New Roman" w:cs="Times New Roman"/>
                      <w:color w:val="0000FF"/>
                      <w:highlight w:val="none"/>
                      <w:lang w:val="en-US" w:eastAsia="zh-CN"/>
                    </w:rPr>
                  </w:pPr>
                  <w:r>
                    <w:rPr>
                      <w:rFonts w:hint="eastAsia" w:cs="Times New Roman"/>
                      <w:color w:val="0000FF"/>
                      <w:highlight w:val="none"/>
                      <w:lang w:val="en-US" w:eastAsia="zh-CN"/>
                    </w:rPr>
                    <w:t>4类标准</w:t>
                  </w:r>
                </w:p>
              </w:tc>
              <w:tc>
                <w:tcPr>
                  <w:tcW w:w="2211" w:type="dxa"/>
                  <w:tcBorders>
                    <w:tl2br w:val="nil"/>
                    <w:tr2bl w:val="nil"/>
                  </w:tcBorders>
                  <w:vAlign w:val="center"/>
                </w:tcPr>
                <w:p w14:paraId="5B60B89D">
                  <w:pPr>
                    <w:pStyle w:val="33"/>
                    <w:bidi w:val="0"/>
                    <w:rPr>
                      <w:rFonts w:hint="default" w:ascii="Times New Roman" w:hAnsi="Times New Roman" w:cs="Times New Roman"/>
                      <w:color w:val="0000FF"/>
                      <w:highlight w:val="none"/>
                      <w:lang w:val="en-US" w:eastAsia="zh-CN"/>
                    </w:rPr>
                  </w:pPr>
                  <w:r>
                    <w:rPr>
                      <w:rFonts w:hint="eastAsia" w:cs="Times New Roman"/>
                      <w:color w:val="0000FF"/>
                      <w:highlight w:val="none"/>
                      <w:lang w:val="en-US" w:eastAsia="zh-CN"/>
                    </w:rPr>
                    <w:t>70</w:t>
                  </w:r>
                </w:p>
              </w:tc>
              <w:tc>
                <w:tcPr>
                  <w:tcW w:w="2215" w:type="dxa"/>
                  <w:tcBorders>
                    <w:tl2br w:val="nil"/>
                    <w:tr2bl w:val="nil"/>
                  </w:tcBorders>
                  <w:vAlign w:val="center"/>
                </w:tcPr>
                <w:p w14:paraId="4EACDFB2">
                  <w:pPr>
                    <w:pStyle w:val="33"/>
                    <w:bidi w:val="0"/>
                    <w:rPr>
                      <w:rFonts w:hint="default" w:ascii="Times New Roman" w:hAnsi="Times New Roman" w:cs="Times New Roman"/>
                      <w:color w:val="0000FF"/>
                      <w:highlight w:val="none"/>
                      <w:lang w:val="en-US" w:eastAsia="zh-CN"/>
                    </w:rPr>
                  </w:pPr>
                  <w:r>
                    <w:rPr>
                      <w:rFonts w:hint="eastAsia" w:cs="Times New Roman"/>
                      <w:color w:val="0000FF"/>
                      <w:highlight w:val="none"/>
                      <w:lang w:val="en-US" w:eastAsia="zh-CN"/>
                    </w:rPr>
                    <w:t>55</w:t>
                  </w:r>
                </w:p>
              </w:tc>
            </w:tr>
          </w:tbl>
          <w:p w14:paraId="1F31951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b/>
                <w:bCs/>
                <w:sz w:val="24"/>
                <w:lang w:val="en-US" w:eastAsia="zh-CN"/>
              </w:rPr>
              <w:t>4、</w:t>
            </w:r>
            <w:r>
              <w:rPr>
                <w:rFonts w:hint="default" w:ascii="Times New Roman" w:hAnsi="Times New Roman" w:eastAsia="宋体" w:cs="Times New Roman"/>
                <w:b/>
                <w:bCs/>
                <w:color w:val="auto"/>
                <w:sz w:val="24"/>
                <w:highlight w:val="none"/>
                <w:lang w:val="en-US" w:eastAsia="zh-CN"/>
              </w:rPr>
              <w:t>固体废物污染控制标准</w:t>
            </w:r>
          </w:p>
          <w:p w14:paraId="2C62DDAC">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r>
              <w:rPr>
                <w:rFonts w:hint="default" w:ascii="Times New Roman" w:hAnsi="Times New Roman" w:eastAsia="宋体" w:cs="Times New Roman"/>
                <w:b w:val="0"/>
                <w:bCs w:val="0"/>
                <w:sz w:val="24"/>
                <w:lang w:val="en-US" w:eastAsia="zh-CN"/>
              </w:rPr>
              <w:t>本项目产生的一般固体废物贮存执行《一般工业固体废物贮存、处置场污染控制标准》（GB18599－2020），危险废物贮存执行《危险废物贮存污染控制标准》（GB18597-2023）。</w:t>
            </w:r>
          </w:p>
        </w:tc>
      </w:tr>
      <w:tr w14:paraId="55D71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14:paraId="72D94B5C">
            <w:pPr>
              <w:pStyle w:val="33"/>
              <w:bidi w:val="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总量</w:t>
            </w:r>
          </w:p>
          <w:p w14:paraId="7D6727D3">
            <w:pPr>
              <w:pStyle w:val="33"/>
              <w:bidi w:val="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控制</w:t>
            </w:r>
          </w:p>
          <w:p w14:paraId="120342AF">
            <w:pPr>
              <w:pStyle w:val="33"/>
              <w:bidi w:val="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指标</w:t>
            </w:r>
          </w:p>
        </w:tc>
        <w:tc>
          <w:tcPr>
            <w:tcW w:w="7687" w:type="dxa"/>
          </w:tcPr>
          <w:p w14:paraId="3BCD351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根据《建设项目主要污染物排放总量指标审核及管理暂行办法》（环发〔2014〕197号）、《关于做好“十四五”主要污染物总量减排工作的通知》（环办综合函〔2021〕323号）和《关于印发&lt;主要污染物总量减排核算技术指南（2022年修订）&gt;的通知》（环办综合函〔2022〕350号），主要污染物需严格落实污染物排放总量控制制度。“主要污染物”是指实施总量控制的化学需氧量（COD）、氨氮（NH</w:t>
            </w:r>
            <w:r>
              <w:rPr>
                <w:rFonts w:hint="default" w:ascii="Times New Roman" w:hAnsi="Times New Roman" w:cs="Times New Roman"/>
                <w:color w:val="auto"/>
                <w:u w:val="none"/>
                <w:vertAlign w:val="subscript"/>
                <w:lang w:val="en-US" w:eastAsia="zh-CN"/>
              </w:rPr>
              <w:t>3</w:t>
            </w:r>
            <w:r>
              <w:rPr>
                <w:rFonts w:hint="default" w:ascii="Times New Roman" w:hAnsi="Times New Roman" w:cs="Times New Roman"/>
                <w:color w:val="auto"/>
                <w:u w:val="none"/>
                <w:lang w:val="en-US" w:eastAsia="zh-CN"/>
              </w:rPr>
              <w:t>-N）、氮氧化物（NOx）、挥发性有机物（VOCs）4项污染物。</w:t>
            </w:r>
          </w:p>
          <w:p w14:paraId="1AB613D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4"/>
                <w:u w:val="none"/>
                <w:lang w:val="en-US" w:eastAsia="zh-CN"/>
              </w:rPr>
            </w:pPr>
            <w:r>
              <w:rPr>
                <w:rFonts w:hint="default" w:ascii="Times New Roman" w:hAnsi="Times New Roman" w:cs="Times New Roman"/>
                <w:color w:val="auto"/>
                <w:sz w:val="24"/>
                <w:u w:val="none"/>
                <w:lang w:val="en-US" w:eastAsia="zh-CN"/>
              </w:rPr>
              <w:t>本项目总量控制指标建议如下：</w:t>
            </w:r>
          </w:p>
          <w:p w14:paraId="17C2A35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sz w:val="24"/>
                <w:highlight w:val="none"/>
                <w:lang w:val="en-US" w:eastAsia="zh-CN"/>
              </w:rPr>
            </w:pPr>
            <w:r>
              <w:rPr>
                <w:rFonts w:hint="default" w:ascii="Times New Roman" w:hAnsi="Times New Roman" w:cs="Times New Roman"/>
                <w:b/>
                <w:bCs/>
                <w:sz w:val="24"/>
                <w:highlight w:val="none"/>
                <w:lang w:val="en-US" w:eastAsia="zh-CN"/>
              </w:rPr>
              <w:t>（1）废气</w:t>
            </w:r>
          </w:p>
          <w:p w14:paraId="45BDC9B0">
            <w:pPr>
              <w:keepNext w:val="0"/>
              <w:keepLines w:val="0"/>
              <w:pageBreakBefore w:val="0"/>
              <w:widowControl w:val="0"/>
              <w:kinsoku/>
              <w:wordWrap/>
              <w:overflowPunct/>
              <w:topLinePunct w:val="0"/>
              <w:autoSpaceDE/>
              <w:autoSpaceDN/>
              <w:bidi w:val="0"/>
              <w:adjustRightInd/>
              <w:snapToGrid/>
              <w:textAlignment w:val="auto"/>
              <w:rPr>
                <w:rFonts w:hint="eastAsia" w:cs="Times New Roman"/>
                <w:sz w:val="24"/>
                <w:highlight w:val="none"/>
                <w:lang w:val="en-US" w:eastAsia="zh-CN"/>
              </w:rPr>
            </w:pPr>
            <w:r>
              <w:rPr>
                <w:rFonts w:hint="default" w:ascii="Times New Roman" w:hAnsi="Times New Roman" w:cs="Times New Roman"/>
                <w:sz w:val="24"/>
                <w:highlight w:val="none"/>
                <w:lang w:val="en-US" w:eastAsia="zh-CN"/>
              </w:rPr>
              <w:t>项目运营期废气主要为</w:t>
            </w:r>
            <w:r>
              <w:rPr>
                <w:rFonts w:hint="eastAsia" w:cs="Times New Roman"/>
                <w:sz w:val="24"/>
                <w:highlight w:val="none"/>
                <w:lang w:val="en-US" w:eastAsia="zh-CN"/>
              </w:rPr>
              <w:t>无组织</w:t>
            </w:r>
            <w:r>
              <w:rPr>
                <w:rFonts w:hint="default" w:ascii="Times New Roman" w:hAnsi="Times New Roman" w:cs="Times New Roman"/>
                <w:sz w:val="24"/>
                <w:highlight w:val="none"/>
                <w:lang w:val="en-US" w:eastAsia="zh-CN"/>
              </w:rPr>
              <w:t>颗粒物，排放量为</w:t>
            </w:r>
            <w:r>
              <w:rPr>
                <w:rFonts w:hint="eastAsia" w:cs="Times New Roman"/>
                <w:sz w:val="24"/>
                <w:highlight w:val="none"/>
                <w:lang w:val="en-US" w:eastAsia="zh-CN"/>
              </w:rPr>
              <w:t>4.992t</w:t>
            </w:r>
            <w:r>
              <w:rPr>
                <w:rFonts w:hint="default" w:ascii="Times New Roman" w:hAnsi="Times New Roman" w:cs="Times New Roman"/>
                <w:sz w:val="24"/>
                <w:highlight w:val="none"/>
                <w:lang w:val="en-US" w:eastAsia="zh-CN"/>
              </w:rPr>
              <w:t>/a</w:t>
            </w:r>
            <w:r>
              <w:rPr>
                <w:rFonts w:hint="eastAsia" w:cs="Times New Roman"/>
                <w:sz w:val="24"/>
                <w:highlight w:val="none"/>
                <w:lang w:val="en-US" w:eastAsia="zh-CN"/>
              </w:rPr>
              <w:t>。</w:t>
            </w:r>
          </w:p>
          <w:p w14:paraId="272F8FE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sz w:val="24"/>
                <w:lang w:val="en-US" w:eastAsia="zh-CN"/>
              </w:rPr>
            </w:pPr>
            <w:r>
              <w:rPr>
                <w:rFonts w:hint="default" w:ascii="Times New Roman" w:hAnsi="Times New Roman" w:cs="Times New Roman"/>
                <w:b/>
                <w:bCs/>
                <w:sz w:val="24"/>
                <w:lang w:val="en-US" w:eastAsia="zh-CN"/>
              </w:rPr>
              <w:t>（2）废水</w:t>
            </w:r>
          </w:p>
          <w:p w14:paraId="5B56F40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项目车辆冲洗废水经沉淀处理后循环使用；初期雨水经收集池收集后用于洒水降尘，不外排；生活污水经化粪池处理后，</w:t>
            </w:r>
            <w:r>
              <w:rPr>
                <w:rFonts w:hint="eastAsia" w:cs="Times New Roman"/>
                <w:color w:val="0000FF"/>
                <w:highlight w:val="none"/>
                <w:u w:val="none"/>
                <w:lang w:val="en-US" w:eastAsia="zh-CN"/>
              </w:rPr>
              <w:t>排入</w:t>
            </w:r>
            <w:r>
              <w:rPr>
                <w:rFonts w:hint="eastAsia" w:cs="Times New Roman"/>
                <w:color w:val="0000FF"/>
                <w:sz w:val="24"/>
                <w:highlight w:val="none"/>
                <w:u w:val="none"/>
                <w:lang w:val="en-US" w:eastAsia="zh-CN"/>
              </w:rPr>
              <w:t>项目一体化污水处理设备处理</w:t>
            </w:r>
            <w:r>
              <w:rPr>
                <w:rFonts w:hint="eastAsia"/>
                <w:color w:val="0000FF"/>
                <w:sz w:val="24"/>
                <w:highlight w:val="none"/>
              </w:rPr>
              <w:t>达《城市污水再生利用 城市杂用水水质》</w:t>
            </w:r>
            <w:r>
              <w:rPr>
                <w:color w:val="0000FF"/>
                <w:sz w:val="24"/>
                <w:highlight w:val="none"/>
              </w:rPr>
              <w:t>（GB/T18920-2020）</w:t>
            </w:r>
            <w:r>
              <w:rPr>
                <w:rFonts w:hint="eastAsia"/>
                <w:color w:val="0000FF"/>
                <w:sz w:val="24"/>
                <w:highlight w:val="none"/>
              </w:rPr>
              <w:t>中城市绿化、道路清扫、消防、建筑施工标准后</w:t>
            </w:r>
            <w:r>
              <w:rPr>
                <w:color w:val="0000FF"/>
                <w:sz w:val="24"/>
                <w:highlight w:val="none"/>
              </w:rPr>
              <w:t>，</w:t>
            </w:r>
            <w:r>
              <w:rPr>
                <w:rFonts w:hint="eastAsia"/>
                <w:color w:val="0000FF"/>
                <w:sz w:val="24"/>
                <w:highlight w:val="none"/>
              </w:rPr>
              <w:t>用于</w:t>
            </w:r>
            <w:r>
              <w:rPr>
                <w:rFonts w:hint="eastAsia"/>
                <w:color w:val="0000FF"/>
                <w:sz w:val="24"/>
                <w:highlight w:val="none"/>
                <w:lang w:val="en-US" w:eastAsia="zh-CN"/>
              </w:rPr>
              <w:t>生活区</w:t>
            </w:r>
            <w:r>
              <w:rPr>
                <w:rFonts w:hint="eastAsia"/>
                <w:color w:val="0000FF"/>
                <w:sz w:val="24"/>
                <w:highlight w:val="none"/>
              </w:rPr>
              <w:t>洒水降尘，不外排。</w:t>
            </w:r>
            <w:r>
              <w:rPr>
                <w:rFonts w:hint="default" w:ascii="Times New Roman" w:hAnsi="Times New Roman" w:cs="Times New Roman"/>
                <w:sz w:val="24"/>
                <w:lang w:val="en-US" w:eastAsia="zh-CN"/>
              </w:rPr>
              <w:t>因此，项目不设废水总量控制指标。</w:t>
            </w:r>
          </w:p>
          <w:p w14:paraId="667A0C8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sz w:val="24"/>
                <w:lang w:val="en-US" w:eastAsia="zh-CN"/>
              </w:rPr>
            </w:pPr>
            <w:r>
              <w:rPr>
                <w:rFonts w:hint="default" w:ascii="Times New Roman" w:hAnsi="Times New Roman" w:cs="Times New Roman"/>
                <w:b/>
                <w:bCs/>
                <w:sz w:val="24"/>
                <w:lang w:val="en-US" w:eastAsia="zh-CN"/>
              </w:rPr>
              <w:t>（3）固体废物</w:t>
            </w:r>
          </w:p>
          <w:p w14:paraId="5787D90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本项目固体废物处置率100%，不设总量控制指标。</w:t>
            </w:r>
          </w:p>
        </w:tc>
      </w:tr>
    </w:tbl>
    <w:p w14:paraId="6091D48B">
      <w:pPr>
        <w:bidi w:val="0"/>
        <w:ind w:left="0" w:leftChars="0" w:firstLine="0" w:firstLineChars="0"/>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D670121">
      <w:pPr>
        <w:pStyle w:val="2"/>
        <w:bidi w:val="0"/>
        <w:rPr>
          <w:rFonts w:hint="eastAsia"/>
          <w:lang w:val="en-US" w:eastAsia="zh-CN"/>
        </w:rPr>
      </w:pPr>
      <w:bookmarkStart w:id="8" w:name="_Toc5912"/>
      <w:r>
        <w:rPr>
          <w:rFonts w:hint="eastAsia"/>
          <w:lang w:val="en-US" w:eastAsia="zh-CN"/>
        </w:rPr>
        <w:t>四、主要环境影响和保护措施</w:t>
      </w:r>
      <w:bookmarkEnd w:id="8"/>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7677"/>
        <w:gridCol w:w="389"/>
      </w:tblGrid>
      <w:tr w14:paraId="53CC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7DDE1297">
            <w:pPr>
              <w:pStyle w:val="33"/>
              <w:bidi w:val="0"/>
              <w:rPr>
                <w:rFonts w:hint="default"/>
                <w:sz w:val="24"/>
                <w:lang w:val="en-US" w:eastAsia="zh-CN"/>
              </w:rPr>
            </w:pPr>
            <w:r>
              <w:rPr>
                <w:rFonts w:hint="default"/>
                <w:sz w:val="24"/>
                <w:lang w:val="en-US" w:eastAsia="zh-CN"/>
              </w:rPr>
              <w:t>施工</w:t>
            </w:r>
          </w:p>
          <w:p w14:paraId="5FBD16EE">
            <w:pPr>
              <w:pStyle w:val="33"/>
              <w:bidi w:val="0"/>
              <w:rPr>
                <w:rFonts w:hint="default"/>
                <w:sz w:val="24"/>
                <w:lang w:val="en-US" w:eastAsia="zh-CN"/>
              </w:rPr>
            </w:pPr>
            <w:r>
              <w:rPr>
                <w:rFonts w:hint="default"/>
                <w:sz w:val="24"/>
                <w:lang w:val="en-US" w:eastAsia="zh-CN"/>
              </w:rPr>
              <w:t>期环</w:t>
            </w:r>
          </w:p>
          <w:p w14:paraId="572ACF9E">
            <w:pPr>
              <w:pStyle w:val="33"/>
              <w:bidi w:val="0"/>
              <w:rPr>
                <w:rFonts w:hint="default"/>
                <w:sz w:val="24"/>
                <w:lang w:val="en-US" w:eastAsia="zh-CN"/>
              </w:rPr>
            </w:pPr>
            <w:r>
              <w:rPr>
                <w:rFonts w:hint="default"/>
                <w:sz w:val="24"/>
                <w:lang w:val="en-US" w:eastAsia="zh-CN"/>
              </w:rPr>
              <w:t>境保</w:t>
            </w:r>
          </w:p>
          <w:p w14:paraId="1B38E52A">
            <w:pPr>
              <w:pStyle w:val="33"/>
              <w:bidi w:val="0"/>
              <w:rPr>
                <w:rFonts w:hint="default"/>
                <w:sz w:val="24"/>
                <w:lang w:val="en-US" w:eastAsia="zh-CN"/>
              </w:rPr>
            </w:pPr>
            <w:r>
              <w:rPr>
                <w:rFonts w:hint="default"/>
                <w:sz w:val="24"/>
                <w:lang w:val="en-US" w:eastAsia="zh-CN"/>
              </w:rPr>
              <w:t>护措</w:t>
            </w:r>
          </w:p>
          <w:p w14:paraId="74C1E099">
            <w:pPr>
              <w:pStyle w:val="33"/>
              <w:bidi w:val="0"/>
              <w:rPr>
                <w:rFonts w:hint="default"/>
                <w:sz w:val="24"/>
                <w:lang w:val="en-US" w:eastAsia="zh-CN"/>
              </w:rPr>
            </w:pPr>
            <w:r>
              <w:rPr>
                <w:rFonts w:hint="default"/>
                <w:sz w:val="24"/>
                <w:lang w:val="en-US" w:eastAsia="zh-CN"/>
              </w:rPr>
              <w:t>施</w:t>
            </w:r>
          </w:p>
        </w:tc>
        <w:tc>
          <w:tcPr>
            <w:tcW w:w="7677" w:type="dxa"/>
          </w:tcPr>
          <w:p w14:paraId="00FEF906">
            <w:pPr>
              <w:widowControl/>
              <w:spacing w:line="360" w:lineRule="auto"/>
              <w:ind w:firstLine="480" w:firstLineChars="200"/>
              <w:rPr>
                <w:rFonts w:hint="eastAsia" w:ascii="Times New Roman" w:hAnsi="Times New Roman" w:eastAsia="宋体" w:cs="Times New Roman"/>
                <w:bCs/>
                <w:color w:val="auto"/>
                <w:kern w:val="0"/>
                <w:sz w:val="24"/>
                <w:lang w:val="en-US" w:eastAsia="zh-CN"/>
              </w:rPr>
            </w:pPr>
            <w:r>
              <w:rPr>
                <w:rFonts w:hint="eastAsia" w:ascii="Times New Roman" w:hAnsi="Times New Roman" w:eastAsia="宋体" w:cs="Times New Roman"/>
                <w:bCs/>
                <w:color w:val="auto"/>
                <w:kern w:val="0"/>
                <w:sz w:val="24"/>
                <w:lang w:val="en-US" w:eastAsia="zh-CN"/>
              </w:rPr>
              <w:t>本项目</w:t>
            </w:r>
            <w:r>
              <w:rPr>
                <w:rFonts w:hint="default" w:ascii="Times New Roman" w:hAnsi="Times New Roman" w:eastAsia="宋体" w:cs="Times New Roman"/>
                <w:bCs/>
                <w:color w:val="auto"/>
                <w:kern w:val="0"/>
                <w:sz w:val="24"/>
                <w:lang w:val="en-US" w:eastAsia="zh-CN"/>
              </w:rPr>
              <w:t>租用</w:t>
            </w:r>
            <w:r>
              <w:rPr>
                <w:rFonts w:hint="eastAsia" w:cs="Times New Roman"/>
                <w:bCs/>
                <w:color w:val="auto"/>
                <w:kern w:val="0"/>
                <w:sz w:val="24"/>
                <w:lang w:val="en-US" w:eastAsia="zh-CN"/>
              </w:rPr>
              <w:t>云南昆明亦标水泥有限公司</w:t>
            </w:r>
            <w:r>
              <w:rPr>
                <w:rFonts w:hint="default" w:ascii="Times New Roman" w:hAnsi="Times New Roman" w:eastAsia="宋体" w:cs="Times New Roman"/>
                <w:bCs/>
                <w:color w:val="auto"/>
                <w:kern w:val="0"/>
                <w:sz w:val="24"/>
                <w:lang w:val="en-US" w:eastAsia="zh-CN"/>
              </w:rPr>
              <w:t>现有办公楼1栋，厂房2座及空地建设寻甸锦晟源商贸有限公司年处理10万吨褐煤提质项目。</w:t>
            </w:r>
            <w:r>
              <w:rPr>
                <w:rFonts w:hint="eastAsia" w:ascii="Times New Roman" w:hAnsi="Times New Roman" w:eastAsia="宋体" w:cs="Times New Roman"/>
                <w:bCs/>
                <w:color w:val="auto"/>
                <w:kern w:val="0"/>
                <w:sz w:val="24"/>
                <w:lang w:val="en-US" w:eastAsia="zh-CN"/>
              </w:rPr>
              <w:t>本项目施工期主要进行土地平整、沟槽开挖、新建厂房等作业，会产生废气、废水、噪声、固废等污染物质，对周边环境造成污染。</w:t>
            </w:r>
          </w:p>
          <w:p w14:paraId="329E1F0A">
            <w:pPr>
              <w:widowControl/>
              <w:spacing w:line="360" w:lineRule="auto"/>
              <w:ind w:firstLine="482" w:firstLineChars="200"/>
              <w:rPr>
                <w:rFonts w:hint="default" w:ascii="Times New Roman" w:hAnsi="Times New Roman" w:eastAsia="宋体" w:cs="Times New Roman"/>
                <w:b/>
                <w:bCs w:val="0"/>
                <w:color w:val="auto"/>
                <w:kern w:val="0"/>
                <w:sz w:val="24"/>
                <w:lang w:val="en-US" w:eastAsia="zh-CN"/>
              </w:rPr>
            </w:pPr>
            <w:r>
              <w:rPr>
                <w:rFonts w:hint="default" w:ascii="Times New Roman" w:hAnsi="Times New Roman" w:eastAsia="宋体" w:cs="Times New Roman"/>
                <w:b/>
                <w:bCs w:val="0"/>
                <w:color w:val="auto"/>
                <w:kern w:val="0"/>
                <w:sz w:val="24"/>
                <w:lang w:val="en-US" w:eastAsia="zh-CN"/>
              </w:rPr>
              <w:t>1、大气环境影响分析</w:t>
            </w:r>
          </w:p>
          <w:p w14:paraId="2BFB5935">
            <w:pPr>
              <w:widowControl/>
              <w:spacing w:line="360" w:lineRule="auto"/>
              <w:ind w:firstLine="480" w:firstLineChars="200"/>
              <w:rPr>
                <w:rFonts w:hint="eastAsia" w:ascii="Times New Roman" w:hAnsi="Times New Roman" w:eastAsia="宋体" w:cs="Times New Roman"/>
                <w:bCs/>
                <w:color w:val="auto"/>
                <w:kern w:val="0"/>
                <w:sz w:val="24"/>
                <w:lang w:val="en-US" w:eastAsia="zh-CN"/>
              </w:rPr>
            </w:pPr>
            <w:r>
              <w:rPr>
                <w:rFonts w:hint="eastAsia" w:ascii="Times New Roman" w:hAnsi="Times New Roman" w:eastAsia="宋体" w:cs="Times New Roman"/>
                <w:bCs/>
                <w:color w:val="auto"/>
                <w:kern w:val="0"/>
                <w:sz w:val="24"/>
                <w:lang w:val="en-US" w:eastAsia="zh-CN"/>
              </w:rPr>
              <w:t>（1）扬尘影响分析</w:t>
            </w:r>
          </w:p>
          <w:p w14:paraId="6330AB76">
            <w:pPr>
              <w:widowControl/>
              <w:spacing w:line="360" w:lineRule="auto"/>
              <w:ind w:firstLine="480" w:firstLineChars="200"/>
              <w:rPr>
                <w:rFonts w:hint="eastAsia" w:ascii="Times New Roman" w:hAnsi="Times New Roman" w:eastAsia="宋体" w:cs="Times New Roman"/>
                <w:bCs/>
                <w:color w:val="auto"/>
                <w:kern w:val="0"/>
                <w:sz w:val="24"/>
              </w:rPr>
            </w:pPr>
            <w:r>
              <w:rPr>
                <w:rFonts w:hint="eastAsia" w:ascii="Times New Roman" w:hAnsi="Times New Roman" w:eastAsia="宋体" w:cs="Times New Roman"/>
                <w:bCs/>
                <w:color w:val="auto"/>
                <w:kern w:val="0"/>
                <w:sz w:val="24"/>
                <w:lang w:val="en-US" w:eastAsia="zh-CN"/>
              </w:rPr>
              <w:t>本项目建设时须进行土石方开挖，需要运输废土、石和建筑材料等。施工扬尘主要产生于土石方开挖、运送以及建筑材料的运输和堆放等过程。施工产生的</w:t>
            </w:r>
            <w:r>
              <w:rPr>
                <w:rFonts w:hint="eastAsia" w:ascii="Times New Roman" w:hAnsi="Times New Roman" w:eastAsia="宋体" w:cs="Times New Roman"/>
                <w:bCs/>
                <w:color w:val="auto"/>
                <w:kern w:val="0"/>
                <w:sz w:val="24"/>
              </w:rPr>
              <w:t>扬尘的主要污染因子为TSP。</w:t>
            </w:r>
          </w:p>
          <w:p w14:paraId="0D0A803E">
            <w:pPr>
              <w:spacing w:line="360" w:lineRule="auto"/>
              <w:ind w:firstLine="480" w:firstLineChars="200"/>
              <w:rPr>
                <w:color w:val="auto"/>
                <w:sz w:val="24"/>
              </w:rPr>
            </w:pPr>
            <w:r>
              <w:rPr>
                <w:color w:val="auto"/>
                <w:sz w:val="24"/>
              </w:rPr>
              <w:t>扬尘产生量与施工范围、施工方式、土壤干湿度、气象等诸多因素有关，是一个复杂较难定量的问题。施工及运输车辆通过加盖篷布和场地洒水降尘等措施后，施工及运输车辆引起的扬尘对30m范围以内的TSP浓度可降至300μg/m</w:t>
            </w:r>
            <w:r>
              <w:rPr>
                <w:color w:val="auto"/>
                <w:sz w:val="24"/>
                <w:vertAlign w:val="superscript"/>
              </w:rPr>
              <w:t>3</w:t>
            </w:r>
            <w:r>
              <w:rPr>
                <w:color w:val="auto"/>
                <w:sz w:val="24"/>
              </w:rPr>
              <w:t>以下。</w:t>
            </w:r>
          </w:p>
          <w:p w14:paraId="497D858F">
            <w:pPr>
              <w:widowControl/>
              <w:spacing w:line="360" w:lineRule="auto"/>
              <w:ind w:firstLine="480" w:firstLineChars="200"/>
              <w:rPr>
                <w:rFonts w:hint="eastAsia"/>
                <w:bCs/>
                <w:color w:val="auto"/>
                <w:kern w:val="0"/>
                <w:sz w:val="24"/>
              </w:rPr>
            </w:pPr>
            <w:r>
              <w:rPr>
                <w:rFonts w:hint="eastAsia"/>
                <w:bCs/>
                <w:color w:val="auto"/>
                <w:kern w:val="0"/>
                <w:sz w:val="24"/>
              </w:rPr>
              <w:t>为了降低施工扬尘对周围环境的影响，本次评价提出以下措施：</w:t>
            </w:r>
          </w:p>
          <w:p w14:paraId="5C5A4D5B">
            <w:pPr>
              <w:widowControl/>
              <w:spacing w:line="360" w:lineRule="auto"/>
              <w:ind w:firstLine="480" w:firstLineChars="200"/>
              <w:rPr>
                <w:rFonts w:hint="eastAsia"/>
                <w:bCs/>
                <w:color w:val="auto"/>
                <w:kern w:val="0"/>
                <w:sz w:val="24"/>
              </w:rPr>
            </w:pPr>
            <w:r>
              <w:rPr>
                <w:rFonts w:hint="eastAsia"/>
                <w:bCs/>
                <w:color w:val="auto"/>
                <w:kern w:val="0"/>
                <w:sz w:val="24"/>
              </w:rPr>
              <w:t>①建设单位在施工时对运输车辆限速行驶及保持路面的清洁；</w:t>
            </w:r>
          </w:p>
          <w:p w14:paraId="289CAADF">
            <w:pPr>
              <w:widowControl/>
              <w:spacing w:line="360" w:lineRule="auto"/>
              <w:ind w:firstLine="480" w:firstLineChars="200"/>
              <w:rPr>
                <w:rFonts w:hint="eastAsia"/>
                <w:bCs/>
                <w:color w:val="auto"/>
                <w:kern w:val="0"/>
                <w:sz w:val="24"/>
              </w:rPr>
            </w:pPr>
            <w:r>
              <w:rPr>
                <w:rFonts w:hint="eastAsia"/>
                <w:bCs/>
                <w:color w:val="auto"/>
                <w:kern w:val="0"/>
                <w:sz w:val="24"/>
              </w:rPr>
              <w:t>②对施工现场进行科学管理，砂石料应统一堆放，露天堆存时应有防尘措施，如洒水抑尘、遮盖等，水泥应设置专门的堆棚堆放，尽量减少搬运环节；</w:t>
            </w:r>
          </w:p>
          <w:p w14:paraId="572027DE">
            <w:pPr>
              <w:widowControl/>
              <w:spacing w:line="360" w:lineRule="auto"/>
              <w:ind w:firstLine="480" w:firstLineChars="200"/>
              <w:rPr>
                <w:rFonts w:hint="eastAsia"/>
                <w:bCs/>
                <w:color w:val="auto"/>
                <w:kern w:val="0"/>
                <w:sz w:val="24"/>
              </w:rPr>
            </w:pPr>
            <w:r>
              <w:rPr>
                <w:rFonts w:hint="eastAsia"/>
                <w:bCs/>
                <w:color w:val="auto"/>
                <w:kern w:val="0"/>
                <w:sz w:val="24"/>
              </w:rPr>
              <w:t>③地面开挖时，对作业面适当喷水，使其保持一定的湿度，以减少扬尘产生量，建筑材料和建筑垃圾应及时清运；</w:t>
            </w:r>
          </w:p>
          <w:p w14:paraId="1CC041B9">
            <w:pPr>
              <w:widowControl/>
              <w:spacing w:line="360" w:lineRule="auto"/>
              <w:ind w:firstLine="480" w:firstLineChars="200"/>
              <w:rPr>
                <w:rFonts w:hint="eastAsia"/>
                <w:bCs/>
                <w:color w:val="auto"/>
                <w:kern w:val="0"/>
                <w:sz w:val="24"/>
              </w:rPr>
            </w:pPr>
            <w:r>
              <w:rPr>
                <w:rFonts w:hint="eastAsia"/>
                <w:bCs/>
                <w:color w:val="auto"/>
                <w:kern w:val="0"/>
                <w:sz w:val="24"/>
              </w:rPr>
              <w:t>④谨防运输车辆装载过满，需采取遮盖、密闭措施，减少其沿途遗撒，及时</w:t>
            </w:r>
          </w:p>
          <w:p w14:paraId="2192D5EA">
            <w:pPr>
              <w:widowControl/>
              <w:spacing w:line="360" w:lineRule="auto"/>
              <w:rPr>
                <w:rFonts w:hint="eastAsia"/>
                <w:bCs/>
                <w:color w:val="auto"/>
                <w:kern w:val="0"/>
                <w:sz w:val="24"/>
              </w:rPr>
            </w:pPr>
            <w:r>
              <w:rPr>
                <w:rFonts w:hint="eastAsia"/>
                <w:bCs/>
                <w:color w:val="auto"/>
                <w:kern w:val="0"/>
                <w:sz w:val="24"/>
              </w:rPr>
              <w:t>清扫洒落在路面的泥土和灰尘，定时洒水抑尘，减少运输过程中的扬尘；</w:t>
            </w:r>
          </w:p>
          <w:p w14:paraId="2186D6A5">
            <w:pPr>
              <w:widowControl/>
              <w:spacing w:line="360" w:lineRule="auto"/>
              <w:ind w:firstLine="480" w:firstLineChars="200"/>
              <w:rPr>
                <w:rFonts w:hint="eastAsia"/>
                <w:bCs/>
                <w:color w:val="auto"/>
                <w:kern w:val="0"/>
                <w:sz w:val="24"/>
              </w:rPr>
            </w:pPr>
            <w:r>
              <w:rPr>
                <w:rFonts w:hint="eastAsia"/>
                <w:bCs/>
                <w:color w:val="auto"/>
                <w:kern w:val="0"/>
                <w:sz w:val="24"/>
              </w:rPr>
              <w:t>⑤风速大时应停止施工作业，并对堆放的砂石等建筑材料进行遮盖处理。</w:t>
            </w:r>
          </w:p>
          <w:p w14:paraId="2618006B">
            <w:pPr>
              <w:pStyle w:val="6"/>
              <w:spacing w:before="0" w:line="360" w:lineRule="auto"/>
              <w:ind w:firstLine="480" w:firstLineChars="200"/>
              <w:rPr>
                <w:rFonts w:hint="eastAsia" w:ascii="Times New Roman" w:hAnsi="Times New Roman"/>
                <w:bCs/>
                <w:color w:val="auto"/>
                <w:kern w:val="0"/>
              </w:rPr>
            </w:pPr>
            <w:r>
              <w:rPr>
                <w:rFonts w:hint="eastAsia" w:ascii="Times New Roman" w:hAnsi="Times New Roman"/>
                <w:bCs/>
                <w:color w:val="auto"/>
                <w:kern w:val="0"/>
              </w:rPr>
              <w:t>综上所述，在采取环评提出的措施后，施工扬尘对周边环境的影响可得到有效控制，对周边环境影响不大，且随施工期结束而结束。</w:t>
            </w:r>
          </w:p>
          <w:p w14:paraId="2FAD359D">
            <w:pPr>
              <w:pStyle w:val="6"/>
              <w:spacing w:before="0" w:line="360" w:lineRule="auto"/>
              <w:ind w:firstLine="480" w:firstLineChars="200"/>
              <w:rPr>
                <w:rFonts w:hint="eastAsia" w:ascii="Times New Roman" w:hAnsi="Times New Roman"/>
                <w:bCs/>
                <w:color w:val="auto"/>
                <w:kern w:val="0"/>
              </w:rPr>
            </w:pPr>
            <w:r>
              <w:rPr>
                <w:rFonts w:hint="eastAsia" w:ascii="Times New Roman" w:hAnsi="Times New Roman"/>
                <w:bCs/>
                <w:color w:val="auto"/>
                <w:kern w:val="0"/>
              </w:rPr>
              <w:t>（</w:t>
            </w:r>
            <w:r>
              <w:rPr>
                <w:rFonts w:hint="eastAsia" w:ascii="Times New Roman" w:hAnsi="Times New Roman"/>
                <w:bCs/>
                <w:color w:val="auto"/>
                <w:kern w:val="0"/>
                <w:lang w:val="en-US" w:eastAsia="zh-CN"/>
              </w:rPr>
              <w:t>2</w:t>
            </w:r>
            <w:r>
              <w:rPr>
                <w:rFonts w:hint="eastAsia" w:ascii="Times New Roman" w:hAnsi="Times New Roman"/>
                <w:bCs/>
                <w:color w:val="auto"/>
                <w:kern w:val="0"/>
              </w:rPr>
              <w:t>）施工机械尾气影响分析</w:t>
            </w:r>
          </w:p>
          <w:p w14:paraId="04BB2E14">
            <w:pPr>
              <w:pStyle w:val="6"/>
              <w:spacing w:before="0" w:line="360" w:lineRule="auto"/>
              <w:ind w:firstLine="480" w:firstLineChars="200"/>
              <w:rPr>
                <w:rFonts w:hint="eastAsia" w:ascii="Times New Roman" w:hAnsi="Times New Roman"/>
                <w:bCs/>
                <w:color w:val="auto"/>
                <w:kern w:val="0"/>
              </w:rPr>
            </w:pPr>
            <w:r>
              <w:rPr>
                <w:rFonts w:hint="eastAsia" w:ascii="Times New Roman" w:hAnsi="Times New Roman"/>
                <w:bCs/>
                <w:color w:val="auto"/>
                <w:kern w:val="0"/>
              </w:rPr>
              <w:t>施工机械废气集中产生于项目施工的初期阶段，施工机械废气主要是CO、NOx及总碳氢化合物(THC)等，其产生量及废气中污染物浓度视其使用频率及发动机对燃料的燃烧情况而异。</w:t>
            </w:r>
          </w:p>
          <w:p w14:paraId="3809E3E9">
            <w:pPr>
              <w:pStyle w:val="6"/>
              <w:spacing w:before="0" w:line="360" w:lineRule="auto"/>
              <w:ind w:firstLine="480" w:firstLineChars="200"/>
              <w:rPr>
                <w:rFonts w:hint="eastAsia" w:ascii="Times New Roman" w:hAnsi="Times New Roman"/>
                <w:bCs/>
                <w:color w:val="auto"/>
                <w:kern w:val="0"/>
              </w:rPr>
            </w:pPr>
            <w:r>
              <w:rPr>
                <w:rFonts w:hint="eastAsia" w:ascii="Times New Roman" w:hAnsi="Times New Roman"/>
                <w:bCs/>
                <w:color w:val="auto"/>
                <w:kern w:val="0"/>
              </w:rPr>
              <w:t>为尽量降低施工机械尾气产生的影响，评价要求采取以下措施：</w:t>
            </w:r>
          </w:p>
          <w:p w14:paraId="366D16A2">
            <w:pPr>
              <w:pStyle w:val="6"/>
              <w:spacing w:before="0" w:line="360" w:lineRule="auto"/>
              <w:ind w:firstLine="480" w:firstLineChars="200"/>
              <w:rPr>
                <w:rFonts w:hint="eastAsia" w:ascii="Times New Roman" w:hAnsi="Times New Roman"/>
                <w:bCs/>
                <w:color w:val="auto"/>
                <w:kern w:val="0"/>
              </w:rPr>
            </w:pPr>
            <w:r>
              <w:rPr>
                <w:rFonts w:hint="eastAsia" w:ascii="Times New Roman" w:hAnsi="Times New Roman"/>
                <w:bCs/>
                <w:color w:val="auto"/>
                <w:kern w:val="0"/>
              </w:rPr>
              <w:t>①通过加强对施工车辆的检修和维护，严禁使用超期服役和尾气超标的车辆。</w:t>
            </w:r>
          </w:p>
          <w:p w14:paraId="57F36FE4">
            <w:pPr>
              <w:pStyle w:val="6"/>
              <w:spacing w:before="0" w:line="360" w:lineRule="auto"/>
              <w:ind w:firstLine="480" w:firstLineChars="200"/>
              <w:rPr>
                <w:rFonts w:hint="eastAsia" w:ascii="Times New Roman" w:hAnsi="Times New Roman"/>
                <w:bCs/>
                <w:color w:val="auto"/>
                <w:kern w:val="0"/>
              </w:rPr>
            </w:pPr>
            <w:r>
              <w:rPr>
                <w:rFonts w:hint="eastAsia" w:ascii="Times New Roman" w:hAnsi="Times New Roman"/>
                <w:bCs/>
                <w:color w:val="auto"/>
                <w:kern w:val="0"/>
              </w:rPr>
              <w:t>②对施工期间进出施工现场车流量进行合理安排，防止施工现场车流量过大。</w:t>
            </w:r>
          </w:p>
          <w:p w14:paraId="1F4B4FE8">
            <w:pPr>
              <w:pStyle w:val="6"/>
              <w:spacing w:before="0" w:line="360" w:lineRule="auto"/>
              <w:ind w:firstLine="480" w:firstLineChars="200"/>
              <w:rPr>
                <w:rFonts w:hint="eastAsia" w:ascii="Times New Roman" w:hAnsi="Times New Roman"/>
                <w:bCs/>
                <w:color w:val="auto"/>
                <w:kern w:val="0"/>
              </w:rPr>
            </w:pPr>
            <w:r>
              <w:rPr>
                <w:rFonts w:hint="eastAsia" w:ascii="Times New Roman" w:hAnsi="Times New Roman"/>
                <w:bCs/>
                <w:color w:val="auto"/>
                <w:kern w:val="0"/>
              </w:rPr>
              <w:t>③尽可能使用耗油低，排气小的施工车辆，选用优质燃油，减少机械和车辆的有害废气排放。</w:t>
            </w:r>
          </w:p>
          <w:p w14:paraId="7E1219DF">
            <w:pPr>
              <w:widowControl/>
              <w:adjustRightInd w:val="0"/>
              <w:snapToGrid w:val="0"/>
              <w:spacing w:line="360" w:lineRule="auto"/>
              <w:ind w:firstLine="482" w:firstLineChars="200"/>
              <w:rPr>
                <w:rFonts w:hint="eastAsia"/>
                <w:b/>
                <w:color w:val="auto"/>
                <w:sz w:val="24"/>
              </w:rPr>
            </w:pPr>
            <w:r>
              <w:rPr>
                <w:rFonts w:hint="eastAsia"/>
                <w:b/>
                <w:color w:val="auto"/>
                <w:sz w:val="24"/>
              </w:rPr>
              <w:t>2</w:t>
            </w:r>
            <w:r>
              <w:rPr>
                <w:b/>
                <w:color w:val="auto"/>
                <w:sz w:val="24"/>
              </w:rPr>
              <w:t>、</w:t>
            </w:r>
            <w:r>
              <w:rPr>
                <w:rFonts w:hint="eastAsia"/>
                <w:b/>
                <w:color w:val="auto"/>
                <w:sz w:val="24"/>
              </w:rPr>
              <w:t>水环境影响分析</w:t>
            </w:r>
          </w:p>
          <w:p w14:paraId="0E2F7345">
            <w:pPr>
              <w:widowControl/>
              <w:adjustRightInd w:val="0"/>
              <w:snapToGrid w:val="0"/>
              <w:spacing w:line="360" w:lineRule="auto"/>
              <w:ind w:firstLine="480" w:firstLineChars="200"/>
              <w:rPr>
                <w:rFonts w:hint="eastAsia"/>
                <w:bCs/>
                <w:color w:val="auto"/>
                <w:kern w:val="0"/>
                <w:sz w:val="24"/>
              </w:rPr>
            </w:pPr>
            <w:r>
              <w:rPr>
                <w:rFonts w:hint="eastAsia"/>
                <w:bCs/>
                <w:color w:val="auto"/>
                <w:kern w:val="0"/>
                <w:sz w:val="24"/>
              </w:rPr>
              <w:t>项目施工期废水主要为施工废水及施工人员生活污水。</w:t>
            </w:r>
          </w:p>
          <w:p w14:paraId="50EFDFA2">
            <w:pPr>
              <w:widowControl/>
              <w:adjustRightInd w:val="0"/>
              <w:snapToGrid w:val="0"/>
              <w:spacing w:line="360" w:lineRule="auto"/>
              <w:ind w:firstLine="480" w:firstLineChars="200"/>
              <w:rPr>
                <w:rFonts w:hint="eastAsia"/>
                <w:bCs/>
                <w:color w:val="auto"/>
                <w:kern w:val="0"/>
                <w:sz w:val="24"/>
              </w:rPr>
            </w:pPr>
            <w:r>
              <w:rPr>
                <w:rFonts w:hint="eastAsia"/>
                <w:bCs/>
                <w:color w:val="auto"/>
                <w:kern w:val="0"/>
                <w:sz w:val="24"/>
              </w:rPr>
              <w:t>项目施工混凝土采用商品砼，混凝土不在项目区内拌合，无拌合废水产生。</w:t>
            </w:r>
          </w:p>
          <w:p w14:paraId="72E215F0">
            <w:pPr>
              <w:widowControl/>
              <w:adjustRightInd w:val="0"/>
              <w:snapToGrid w:val="0"/>
              <w:spacing w:line="360" w:lineRule="auto"/>
              <w:rPr>
                <w:rFonts w:hint="eastAsia"/>
                <w:bCs/>
                <w:color w:val="auto"/>
                <w:kern w:val="0"/>
                <w:sz w:val="24"/>
              </w:rPr>
            </w:pPr>
            <w:r>
              <w:rPr>
                <w:rFonts w:hint="eastAsia"/>
                <w:bCs/>
                <w:color w:val="auto"/>
                <w:kern w:val="0"/>
                <w:sz w:val="24"/>
              </w:rPr>
              <w:t>施工废水主要为混凝土养护废水及施工机械清洗废水，废水产生量约</w:t>
            </w:r>
            <w:r>
              <w:rPr>
                <w:rFonts w:hint="eastAsia"/>
                <w:bCs/>
                <w:color w:val="auto"/>
                <w:kern w:val="0"/>
                <w:sz w:val="24"/>
                <w:lang w:val="en-US" w:eastAsia="zh-CN"/>
              </w:rPr>
              <w:t>1</w:t>
            </w:r>
            <w:r>
              <w:rPr>
                <w:rFonts w:hint="eastAsia"/>
                <w:bCs/>
                <w:color w:val="auto"/>
                <w:kern w:val="0"/>
                <w:sz w:val="24"/>
              </w:rPr>
              <w:t>m</w:t>
            </w:r>
            <w:r>
              <w:rPr>
                <w:rFonts w:hint="eastAsia"/>
                <w:bCs/>
                <w:color w:val="auto"/>
                <w:kern w:val="0"/>
                <w:sz w:val="24"/>
                <w:vertAlign w:val="superscript"/>
              </w:rPr>
              <w:t>3</w:t>
            </w:r>
            <w:r>
              <w:rPr>
                <w:rFonts w:hint="eastAsia"/>
                <w:bCs/>
                <w:color w:val="auto"/>
                <w:kern w:val="0"/>
                <w:sz w:val="24"/>
              </w:rPr>
              <w:t>/d，主要污染物为悬浮物，</w:t>
            </w:r>
            <w:r>
              <w:rPr>
                <w:rFonts w:hint="eastAsia"/>
                <w:bCs/>
                <w:color w:val="auto"/>
                <w:kern w:val="0"/>
                <w:sz w:val="24"/>
                <w:lang w:val="en-US" w:eastAsia="zh-CN"/>
              </w:rPr>
              <w:t>排入项目现有化粪池处理后</w:t>
            </w:r>
            <w:r>
              <w:rPr>
                <w:rFonts w:hint="default" w:ascii="Times New Roman" w:hAnsi="Times New Roman" w:cs="Times New Roman"/>
                <w:sz w:val="24"/>
                <w:lang w:val="en-US" w:eastAsia="zh-CN"/>
              </w:rPr>
              <w:t>委托寻甸县水质净化厂进行清运处置</w:t>
            </w:r>
            <w:r>
              <w:rPr>
                <w:rFonts w:hint="eastAsia"/>
                <w:bCs/>
                <w:color w:val="auto"/>
                <w:kern w:val="0"/>
                <w:sz w:val="24"/>
              </w:rPr>
              <w:t>，不外排</w:t>
            </w:r>
            <w:r>
              <w:rPr>
                <w:rFonts w:hint="eastAsia"/>
                <w:bCs/>
                <w:color w:val="auto"/>
                <w:kern w:val="0"/>
                <w:sz w:val="24"/>
                <w:lang w:eastAsia="zh-CN"/>
              </w:rPr>
              <w:t>，</w:t>
            </w:r>
            <w:r>
              <w:rPr>
                <w:rFonts w:hint="eastAsia"/>
                <w:bCs/>
                <w:color w:val="auto"/>
                <w:kern w:val="0"/>
                <w:sz w:val="24"/>
              </w:rPr>
              <w:t>对周边地表水环境影响较小。</w:t>
            </w:r>
          </w:p>
          <w:p w14:paraId="6E3B1E60">
            <w:pPr>
              <w:widowControl/>
              <w:adjustRightInd w:val="0"/>
              <w:snapToGrid w:val="0"/>
              <w:spacing w:line="360" w:lineRule="auto"/>
              <w:ind w:firstLine="480" w:firstLineChars="200"/>
              <w:rPr>
                <w:rFonts w:hint="eastAsia"/>
                <w:bCs/>
                <w:color w:val="auto"/>
                <w:kern w:val="0"/>
                <w:sz w:val="24"/>
              </w:rPr>
            </w:pPr>
            <w:r>
              <w:rPr>
                <w:rFonts w:hint="eastAsia"/>
                <w:bCs/>
                <w:color w:val="auto"/>
                <w:kern w:val="0"/>
                <w:sz w:val="24"/>
              </w:rPr>
              <w:t>施工期施工人员不在项目区食宿，生活废水主要为施工人员洗手水等，主要污染物为SS。施工期施工人员约为15人，按40L/ (人▪d)计，则施工人员生活用水量为0.6m</w:t>
            </w:r>
            <w:r>
              <w:rPr>
                <w:rFonts w:hint="eastAsia"/>
                <w:bCs/>
                <w:color w:val="auto"/>
                <w:kern w:val="0"/>
                <w:sz w:val="24"/>
                <w:vertAlign w:val="superscript"/>
              </w:rPr>
              <w:t>3</w:t>
            </w:r>
            <w:r>
              <w:rPr>
                <w:rFonts w:hint="eastAsia"/>
                <w:bCs/>
                <w:color w:val="auto"/>
                <w:kern w:val="0"/>
                <w:sz w:val="24"/>
              </w:rPr>
              <w:t>/d，污水产生系数按0.8计，则施工人员生活污水产生量为0.48m</w:t>
            </w:r>
            <w:r>
              <w:rPr>
                <w:rFonts w:hint="eastAsia"/>
                <w:bCs/>
                <w:color w:val="auto"/>
                <w:kern w:val="0"/>
                <w:sz w:val="24"/>
                <w:vertAlign w:val="superscript"/>
              </w:rPr>
              <w:t>3</w:t>
            </w:r>
            <w:r>
              <w:rPr>
                <w:rFonts w:hint="eastAsia"/>
                <w:bCs/>
                <w:color w:val="auto"/>
                <w:kern w:val="0"/>
                <w:sz w:val="24"/>
              </w:rPr>
              <w:t>/d</w:t>
            </w:r>
            <w:r>
              <w:rPr>
                <w:rFonts w:hint="eastAsia"/>
                <w:bCs/>
                <w:color w:val="auto"/>
                <w:kern w:val="0"/>
                <w:sz w:val="24"/>
                <w:lang w:eastAsia="zh-CN"/>
              </w:rPr>
              <w:t>，</w:t>
            </w:r>
            <w:r>
              <w:rPr>
                <w:rFonts w:hint="eastAsia"/>
                <w:bCs/>
                <w:color w:val="auto"/>
                <w:kern w:val="0"/>
                <w:sz w:val="24"/>
              </w:rPr>
              <w:t>施工人员生活污水</w:t>
            </w:r>
            <w:r>
              <w:rPr>
                <w:rFonts w:hint="eastAsia"/>
                <w:bCs/>
                <w:color w:val="auto"/>
                <w:kern w:val="0"/>
                <w:sz w:val="24"/>
                <w:lang w:val="en-US" w:eastAsia="zh-CN"/>
              </w:rPr>
              <w:t>依托项目现有化粪池处理后</w:t>
            </w:r>
            <w:r>
              <w:rPr>
                <w:rFonts w:hint="default" w:ascii="Times New Roman" w:hAnsi="Times New Roman" w:cs="Times New Roman"/>
                <w:sz w:val="24"/>
                <w:lang w:val="en-US" w:eastAsia="zh-CN"/>
              </w:rPr>
              <w:t>委托寻甸县水质净化厂进行清运处置</w:t>
            </w:r>
            <w:r>
              <w:rPr>
                <w:rFonts w:hint="eastAsia"/>
                <w:bCs/>
                <w:color w:val="auto"/>
                <w:kern w:val="0"/>
                <w:sz w:val="24"/>
              </w:rPr>
              <w:t>，不外排。</w:t>
            </w:r>
          </w:p>
          <w:p w14:paraId="4E6A6EDA">
            <w:pPr>
              <w:widowControl/>
              <w:adjustRightInd w:val="0"/>
              <w:snapToGrid w:val="0"/>
              <w:spacing w:line="360" w:lineRule="auto"/>
              <w:ind w:firstLine="480" w:firstLineChars="200"/>
              <w:rPr>
                <w:bCs/>
                <w:color w:val="auto"/>
                <w:kern w:val="0"/>
                <w:sz w:val="24"/>
              </w:rPr>
            </w:pPr>
            <w:r>
              <w:rPr>
                <w:rFonts w:hint="eastAsia"/>
                <w:bCs/>
                <w:color w:val="auto"/>
                <w:kern w:val="0"/>
                <w:sz w:val="24"/>
              </w:rPr>
              <w:t>项目施工期无废水外排，对周边地表水环境影响较小。</w:t>
            </w:r>
          </w:p>
          <w:p w14:paraId="18E7F2D4">
            <w:pPr>
              <w:widowControl/>
              <w:spacing w:line="360" w:lineRule="auto"/>
              <w:ind w:firstLine="482" w:firstLineChars="200"/>
              <w:rPr>
                <w:b/>
                <w:color w:val="auto"/>
                <w:sz w:val="24"/>
              </w:rPr>
            </w:pPr>
            <w:r>
              <w:rPr>
                <w:rFonts w:hint="eastAsia"/>
                <w:b/>
                <w:color w:val="auto"/>
                <w:sz w:val="24"/>
              </w:rPr>
              <w:t>3、</w:t>
            </w:r>
            <w:r>
              <w:rPr>
                <w:b/>
                <w:color w:val="auto"/>
                <w:sz w:val="24"/>
              </w:rPr>
              <w:t>声环境影响分析</w:t>
            </w:r>
          </w:p>
          <w:p w14:paraId="398FCEED">
            <w:pPr>
              <w:widowControl/>
              <w:spacing w:line="360" w:lineRule="auto"/>
              <w:ind w:firstLine="480" w:firstLineChars="200"/>
              <w:rPr>
                <w:rFonts w:hint="eastAsia"/>
                <w:bCs/>
                <w:color w:val="auto"/>
                <w:kern w:val="0"/>
                <w:sz w:val="24"/>
              </w:rPr>
            </w:pPr>
            <w:r>
              <w:rPr>
                <w:rFonts w:hint="eastAsia"/>
                <w:bCs/>
                <w:color w:val="auto"/>
                <w:kern w:val="0"/>
                <w:sz w:val="24"/>
              </w:rPr>
              <w:t>项目在施工期噪声来源于施工机械、运输车辆在运行中产生的噪声，主要噪声源为挖掘机、装载机、机动车辆行驶等。</w:t>
            </w:r>
          </w:p>
          <w:p w14:paraId="621F40C2">
            <w:pPr>
              <w:widowControl/>
              <w:spacing w:line="360" w:lineRule="auto"/>
              <w:ind w:firstLine="480" w:firstLineChars="200"/>
              <w:rPr>
                <w:rFonts w:hint="eastAsia"/>
                <w:bCs/>
                <w:color w:val="auto"/>
                <w:kern w:val="0"/>
                <w:sz w:val="24"/>
              </w:rPr>
            </w:pPr>
            <w:r>
              <w:rPr>
                <w:rFonts w:hint="eastAsia"/>
                <w:bCs/>
                <w:color w:val="auto"/>
                <w:kern w:val="0"/>
                <w:sz w:val="24"/>
              </w:rPr>
              <w:t>（1）合理安排施工时间，12时至14时，晚22</w:t>
            </w:r>
            <w:r>
              <w:rPr>
                <w:rFonts w:hint="eastAsia"/>
                <w:bCs/>
                <w:color w:val="auto"/>
                <w:kern w:val="0"/>
                <w:sz w:val="24"/>
                <w:lang w:val="en-US" w:eastAsia="zh-CN"/>
              </w:rPr>
              <w:t>时</w:t>
            </w:r>
            <w:r>
              <w:rPr>
                <w:rFonts w:hint="eastAsia"/>
                <w:bCs/>
                <w:color w:val="auto"/>
                <w:kern w:val="0"/>
                <w:sz w:val="24"/>
              </w:rPr>
              <w:t>至早</w:t>
            </w:r>
            <w:r>
              <w:rPr>
                <w:rFonts w:hint="eastAsia"/>
                <w:bCs/>
                <w:color w:val="auto"/>
                <w:kern w:val="0"/>
                <w:sz w:val="24"/>
                <w:lang w:val="en-US" w:eastAsia="zh-CN"/>
              </w:rPr>
              <w:t>07时</w:t>
            </w:r>
            <w:r>
              <w:rPr>
                <w:rFonts w:hint="eastAsia"/>
                <w:bCs/>
                <w:color w:val="auto"/>
                <w:kern w:val="0"/>
                <w:sz w:val="24"/>
              </w:rPr>
              <w:t>禁止施工；</w:t>
            </w:r>
          </w:p>
          <w:p w14:paraId="379BC849">
            <w:pPr>
              <w:widowControl/>
              <w:spacing w:line="360" w:lineRule="auto"/>
              <w:ind w:firstLine="480" w:firstLineChars="200"/>
              <w:rPr>
                <w:rFonts w:hint="eastAsia"/>
                <w:bCs/>
                <w:color w:val="auto"/>
                <w:kern w:val="0"/>
                <w:sz w:val="24"/>
              </w:rPr>
            </w:pPr>
            <w:r>
              <w:rPr>
                <w:rFonts w:hint="eastAsia"/>
                <w:bCs/>
                <w:color w:val="auto"/>
                <w:kern w:val="0"/>
                <w:sz w:val="24"/>
              </w:rPr>
              <w:t>（2）施工运输车辆在项目区内低速行驶，禁止鸣喇叭；</w:t>
            </w:r>
          </w:p>
          <w:p w14:paraId="35CEE00B">
            <w:pPr>
              <w:widowControl/>
              <w:adjustRightInd w:val="0"/>
              <w:snapToGrid w:val="0"/>
              <w:spacing w:line="360" w:lineRule="auto"/>
              <w:ind w:firstLine="480" w:firstLineChars="200"/>
              <w:rPr>
                <w:rFonts w:hint="eastAsia"/>
                <w:bCs/>
                <w:color w:val="auto"/>
                <w:kern w:val="0"/>
                <w:sz w:val="24"/>
              </w:rPr>
            </w:pPr>
            <w:r>
              <w:rPr>
                <w:rFonts w:hint="eastAsia"/>
                <w:bCs/>
                <w:color w:val="auto"/>
                <w:kern w:val="0"/>
                <w:sz w:val="24"/>
              </w:rPr>
              <w:t>（3）合理布局施工机械设备，高噪声施工机械设备尽量布置在远离声环境敏感目标的一侧，尽量避免高噪声机械设备同时运行；</w:t>
            </w:r>
          </w:p>
          <w:p w14:paraId="69C4CADE">
            <w:pPr>
              <w:widowControl/>
              <w:adjustRightInd w:val="0"/>
              <w:snapToGrid w:val="0"/>
              <w:spacing w:line="360" w:lineRule="auto"/>
              <w:ind w:firstLine="480" w:firstLineChars="200"/>
              <w:rPr>
                <w:rFonts w:hint="eastAsia"/>
                <w:bCs/>
                <w:color w:val="auto"/>
                <w:kern w:val="0"/>
                <w:sz w:val="24"/>
              </w:rPr>
            </w:pPr>
            <w:r>
              <w:rPr>
                <w:rFonts w:hint="eastAsia"/>
                <w:bCs/>
                <w:color w:val="auto"/>
                <w:kern w:val="0"/>
                <w:sz w:val="24"/>
              </w:rPr>
              <w:t>（4）文明施工，尽量避免施工材料抛掷、频繁碰撞产生的噪声。</w:t>
            </w:r>
          </w:p>
          <w:p w14:paraId="3C0801D0">
            <w:pPr>
              <w:widowControl/>
              <w:adjustRightInd w:val="0"/>
              <w:snapToGrid w:val="0"/>
              <w:spacing w:line="360" w:lineRule="auto"/>
              <w:ind w:firstLine="480" w:firstLineChars="200"/>
              <w:rPr>
                <w:rFonts w:hint="eastAsia"/>
                <w:bCs/>
                <w:color w:val="auto"/>
                <w:kern w:val="0"/>
                <w:sz w:val="24"/>
              </w:rPr>
            </w:pPr>
            <w:r>
              <w:rPr>
                <w:rFonts w:hint="eastAsia"/>
                <w:bCs/>
                <w:color w:val="auto"/>
                <w:kern w:val="0"/>
                <w:sz w:val="24"/>
              </w:rPr>
              <w:t>（5）选择性能良好且低噪声的施工机械，并注意保养，维持其最低噪声水平。</w:t>
            </w:r>
          </w:p>
          <w:p w14:paraId="24F91F6F">
            <w:pPr>
              <w:widowControl/>
              <w:adjustRightInd w:val="0"/>
              <w:snapToGrid w:val="0"/>
              <w:spacing w:line="360" w:lineRule="auto"/>
              <w:ind w:firstLine="482" w:firstLineChars="200"/>
              <w:rPr>
                <w:rFonts w:hint="eastAsia"/>
                <w:bCs/>
                <w:color w:val="auto"/>
                <w:kern w:val="0"/>
                <w:sz w:val="24"/>
              </w:rPr>
            </w:pPr>
            <w:r>
              <w:rPr>
                <w:rFonts w:hint="eastAsia"/>
                <w:b/>
                <w:color w:val="auto"/>
                <w:kern w:val="0"/>
                <w:sz w:val="24"/>
              </w:rPr>
              <w:t>4、固体废物</w:t>
            </w:r>
            <w:r>
              <w:rPr>
                <w:b/>
                <w:color w:val="auto"/>
                <w:sz w:val="24"/>
              </w:rPr>
              <w:t>环境影响分析</w:t>
            </w:r>
          </w:p>
          <w:p w14:paraId="3129E755">
            <w:pPr>
              <w:widowControl/>
              <w:adjustRightInd w:val="0"/>
              <w:snapToGrid w:val="0"/>
              <w:spacing w:line="360" w:lineRule="auto"/>
              <w:ind w:firstLine="480" w:firstLineChars="200"/>
              <w:rPr>
                <w:rFonts w:hint="eastAsia" w:ascii="Times New Roman" w:hAnsi="Times New Roman" w:eastAsia="宋体" w:cs="Times New Roman"/>
                <w:bCs/>
                <w:color w:val="auto"/>
                <w:kern w:val="0"/>
                <w:sz w:val="24"/>
              </w:rPr>
            </w:pPr>
            <w:r>
              <w:rPr>
                <w:rFonts w:hint="eastAsia" w:ascii="Times New Roman" w:hAnsi="Times New Roman" w:eastAsia="宋体" w:cs="Times New Roman"/>
                <w:bCs/>
                <w:color w:val="auto"/>
                <w:kern w:val="0"/>
                <w:sz w:val="24"/>
              </w:rPr>
              <w:t>（1）建筑垃圾主要包括砂石、石块、废金属、废钢筋等杂物，项目施工期建筑垃圾中可再生利用部分回收利用或出售给收购商送交收购站，剩余部分按管理部门要求运往指定地点处置。</w:t>
            </w:r>
          </w:p>
          <w:p w14:paraId="0FA6E826">
            <w:pPr>
              <w:widowControl/>
              <w:adjustRightInd w:val="0"/>
              <w:snapToGrid w:val="0"/>
              <w:spacing w:line="360" w:lineRule="auto"/>
              <w:ind w:firstLine="480" w:firstLineChars="200"/>
              <w:rPr>
                <w:rFonts w:hint="default"/>
                <w:lang w:val="en-US" w:eastAsia="zh-CN"/>
              </w:rPr>
            </w:pPr>
            <w:r>
              <w:rPr>
                <w:rFonts w:hint="eastAsia" w:ascii="Times New Roman" w:hAnsi="Times New Roman" w:eastAsia="宋体" w:cs="Times New Roman"/>
                <w:bCs/>
                <w:color w:val="auto"/>
                <w:kern w:val="0"/>
                <w:sz w:val="24"/>
              </w:rPr>
              <w:t>（2）生活垃圾统一收集后，运输至当地环卫部门指定垃圾收集点，由环卫部门清运处理，日产日清。</w:t>
            </w:r>
          </w:p>
        </w:tc>
        <w:tc>
          <w:tcPr>
            <w:tcW w:w="389" w:type="dxa"/>
          </w:tcPr>
          <w:p w14:paraId="5E637088">
            <w:pPr>
              <w:keepNext w:val="0"/>
              <w:keepLines w:val="0"/>
              <w:pageBreakBefore w:val="0"/>
              <w:widowControl w:val="0"/>
              <w:kinsoku/>
              <w:wordWrap/>
              <w:overflowPunct/>
              <w:topLinePunct w:val="0"/>
              <w:autoSpaceDE/>
              <w:autoSpaceDN/>
              <w:bidi w:val="0"/>
              <w:adjustRightInd/>
              <w:snapToGrid/>
              <w:textAlignment w:val="auto"/>
              <w:rPr>
                <w:rFonts w:hint="eastAsia"/>
                <w:sz w:val="24"/>
              </w:rPr>
            </w:pPr>
          </w:p>
        </w:tc>
      </w:tr>
      <w:tr w14:paraId="385FA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2A405210">
            <w:pPr>
              <w:pStyle w:val="33"/>
              <w:bidi w:val="0"/>
              <w:rPr>
                <w:rFonts w:hint="default"/>
                <w:sz w:val="24"/>
                <w:lang w:val="en-US" w:eastAsia="zh-CN"/>
              </w:rPr>
            </w:pPr>
            <w:r>
              <w:rPr>
                <w:rFonts w:hint="default"/>
                <w:sz w:val="24"/>
                <w:lang w:val="en-US" w:eastAsia="zh-CN"/>
              </w:rPr>
              <w:t>运营</w:t>
            </w:r>
          </w:p>
          <w:p w14:paraId="0F1D0701">
            <w:pPr>
              <w:pStyle w:val="33"/>
              <w:bidi w:val="0"/>
              <w:rPr>
                <w:rFonts w:hint="default"/>
                <w:sz w:val="24"/>
                <w:lang w:val="en-US" w:eastAsia="zh-CN"/>
              </w:rPr>
            </w:pPr>
            <w:r>
              <w:rPr>
                <w:rFonts w:hint="default"/>
                <w:sz w:val="24"/>
                <w:lang w:val="en-US" w:eastAsia="zh-CN"/>
              </w:rPr>
              <w:t>期环</w:t>
            </w:r>
          </w:p>
          <w:p w14:paraId="5BB48F05">
            <w:pPr>
              <w:pStyle w:val="33"/>
              <w:bidi w:val="0"/>
              <w:rPr>
                <w:rFonts w:hint="default"/>
                <w:sz w:val="24"/>
                <w:lang w:val="en-US" w:eastAsia="zh-CN"/>
              </w:rPr>
            </w:pPr>
            <w:r>
              <w:rPr>
                <w:rFonts w:hint="default"/>
                <w:sz w:val="24"/>
                <w:lang w:val="en-US" w:eastAsia="zh-CN"/>
              </w:rPr>
              <w:t>境影</w:t>
            </w:r>
          </w:p>
          <w:p w14:paraId="01E1619F">
            <w:pPr>
              <w:pStyle w:val="33"/>
              <w:bidi w:val="0"/>
              <w:rPr>
                <w:rFonts w:hint="default"/>
                <w:sz w:val="24"/>
                <w:lang w:val="en-US" w:eastAsia="zh-CN"/>
              </w:rPr>
            </w:pPr>
            <w:r>
              <w:rPr>
                <w:rFonts w:hint="default"/>
                <w:sz w:val="24"/>
                <w:lang w:val="en-US" w:eastAsia="zh-CN"/>
              </w:rPr>
              <w:t>响和</w:t>
            </w:r>
          </w:p>
          <w:p w14:paraId="27DD87E6">
            <w:pPr>
              <w:pStyle w:val="33"/>
              <w:bidi w:val="0"/>
              <w:rPr>
                <w:rFonts w:hint="default"/>
                <w:sz w:val="24"/>
                <w:lang w:val="en-US" w:eastAsia="zh-CN"/>
              </w:rPr>
            </w:pPr>
            <w:r>
              <w:rPr>
                <w:rFonts w:hint="default"/>
                <w:sz w:val="24"/>
                <w:lang w:val="en-US" w:eastAsia="zh-CN"/>
              </w:rPr>
              <w:t>保护</w:t>
            </w:r>
          </w:p>
          <w:p w14:paraId="1349573D">
            <w:pPr>
              <w:pStyle w:val="33"/>
              <w:bidi w:val="0"/>
              <w:rPr>
                <w:rFonts w:hint="default"/>
                <w:sz w:val="24"/>
                <w:lang w:val="en-US" w:eastAsia="zh-CN"/>
              </w:rPr>
            </w:pPr>
            <w:r>
              <w:rPr>
                <w:rFonts w:hint="default"/>
                <w:sz w:val="24"/>
                <w:lang w:val="en-US" w:eastAsia="zh-CN"/>
              </w:rPr>
              <w:t>措施</w:t>
            </w:r>
          </w:p>
        </w:tc>
        <w:tc>
          <w:tcPr>
            <w:tcW w:w="7677" w:type="dxa"/>
          </w:tcPr>
          <w:p w14:paraId="5A3DEFAD">
            <w:pPr>
              <w:keepNext w:val="0"/>
              <w:keepLines w:val="0"/>
              <w:pageBreakBefore w:val="0"/>
              <w:widowControl w:val="0"/>
              <w:kinsoku/>
              <w:wordWrap/>
              <w:overflowPunct/>
              <w:topLinePunct w:val="0"/>
              <w:autoSpaceDE/>
              <w:autoSpaceDN/>
              <w:bidi w:val="0"/>
              <w:adjustRightInd/>
              <w:snapToGrid/>
              <w:textAlignment w:val="auto"/>
              <w:rPr>
                <w:rFonts w:hint="default"/>
                <w:b/>
                <w:bCs/>
                <w:sz w:val="24"/>
                <w:lang w:val="en-US" w:eastAsia="zh-CN"/>
              </w:rPr>
            </w:pPr>
            <w:r>
              <w:rPr>
                <w:rFonts w:hint="default"/>
                <w:b/>
                <w:bCs/>
                <w:sz w:val="24"/>
                <w:lang w:val="en-US" w:eastAsia="zh-CN"/>
              </w:rPr>
              <w:t>1、废气</w:t>
            </w:r>
          </w:p>
          <w:p w14:paraId="40198E20">
            <w:pPr>
              <w:keepNext w:val="0"/>
              <w:keepLines w:val="0"/>
              <w:pageBreakBefore w:val="0"/>
              <w:widowControl w:val="0"/>
              <w:kinsoku/>
              <w:wordWrap/>
              <w:overflowPunct/>
              <w:topLinePunct w:val="0"/>
              <w:autoSpaceDE/>
              <w:autoSpaceDN/>
              <w:bidi w:val="0"/>
              <w:adjustRightInd/>
              <w:snapToGrid/>
              <w:textAlignment w:val="auto"/>
              <w:rPr>
                <w:rFonts w:hint="default"/>
                <w:b/>
                <w:bCs/>
                <w:sz w:val="24"/>
                <w:lang w:val="en-US" w:eastAsia="zh-CN"/>
              </w:rPr>
            </w:pPr>
            <w:r>
              <w:rPr>
                <w:rFonts w:hint="default"/>
                <w:b/>
                <w:bCs/>
                <w:sz w:val="24"/>
                <w:lang w:val="en-US" w:eastAsia="zh-CN"/>
              </w:rPr>
              <w:t>（1）废气污染源强分析</w:t>
            </w:r>
          </w:p>
          <w:p w14:paraId="0A4A94F2">
            <w:pPr>
              <w:keepNext w:val="0"/>
              <w:keepLines w:val="0"/>
              <w:pageBreakBefore w:val="0"/>
              <w:widowControl w:val="0"/>
              <w:kinsoku/>
              <w:wordWrap/>
              <w:overflowPunct/>
              <w:topLinePunct w:val="0"/>
              <w:autoSpaceDE/>
              <w:autoSpaceDN/>
              <w:bidi w:val="0"/>
              <w:adjustRightInd/>
              <w:snapToGrid/>
              <w:textAlignment w:val="auto"/>
              <w:rPr>
                <w:rFonts w:hint="default"/>
                <w:b w:val="0"/>
                <w:bCs w:val="0"/>
                <w:sz w:val="24"/>
                <w:lang w:val="en-US" w:eastAsia="zh-CN"/>
              </w:rPr>
            </w:pPr>
            <w:r>
              <w:rPr>
                <w:rFonts w:hint="default"/>
                <w:b w:val="0"/>
                <w:bCs w:val="0"/>
                <w:sz w:val="24"/>
                <w:lang w:val="en-US" w:eastAsia="zh-CN"/>
              </w:rPr>
              <w:t>本项目废气主要为煤炭</w:t>
            </w:r>
            <w:r>
              <w:rPr>
                <w:rFonts w:hint="eastAsia" w:ascii="Times New Roman" w:hAnsi="Times New Roman" w:eastAsia="宋体"/>
                <w:b w:val="0"/>
                <w:bCs w:val="0"/>
                <w:sz w:val="24"/>
                <w:lang w:val="en-US" w:eastAsia="zh-CN"/>
              </w:rPr>
              <w:t>装卸扬尘和</w:t>
            </w:r>
            <w:r>
              <w:rPr>
                <w:rFonts w:hint="eastAsia" w:ascii="Times New Roman" w:hAnsi="Times New Roman" w:eastAsia="宋体"/>
                <w:b w:val="0"/>
                <w:bCs w:val="0"/>
                <w:color w:val="0000FF"/>
                <w:sz w:val="24"/>
                <w:lang w:val="en-US" w:eastAsia="zh-CN"/>
              </w:rPr>
              <w:t>风蚀扬尘</w:t>
            </w:r>
            <w:r>
              <w:rPr>
                <w:rFonts w:hint="eastAsia"/>
                <w:b w:val="0"/>
                <w:bCs w:val="0"/>
                <w:color w:val="0000FF"/>
                <w:sz w:val="24"/>
                <w:lang w:val="en-US" w:eastAsia="zh-CN"/>
              </w:rPr>
              <w:t>、混料扬尘、</w:t>
            </w:r>
            <w:r>
              <w:rPr>
                <w:rFonts w:hint="default"/>
                <w:b w:val="0"/>
                <w:bCs w:val="0"/>
                <w:color w:val="0000FF"/>
                <w:sz w:val="24"/>
                <w:lang w:val="en-US" w:eastAsia="zh-CN"/>
              </w:rPr>
              <w:t>车辆行驶动力扬尘</w:t>
            </w:r>
            <w:r>
              <w:rPr>
                <w:rFonts w:hint="eastAsia"/>
                <w:b w:val="0"/>
                <w:bCs w:val="0"/>
                <w:color w:val="0000FF"/>
                <w:sz w:val="24"/>
                <w:lang w:val="en-US" w:eastAsia="zh-CN"/>
              </w:rPr>
              <w:t>。</w:t>
            </w:r>
          </w:p>
          <w:p w14:paraId="638E8FEA">
            <w:pPr>
              <w:bidi w:val="0"/>
              <w:rPr>
                <w:rFonts w:hint="eastAsia"/>
                <w:b/>
                <w:bCs/>
                <w:sz w:val="24"/>
                <w:lang w:val="en-US" w:eastAsia="zh-CN"/>
              </w:rPr>
            </w:pPr>
            <w:r>
              <w:rPr>
                <w:rFonts w:hint="eastAsia"/>
                <w:b/>
                <w:bCs/>
                <w:sz w:val="24"/>
                <w:lang w:val="en-US" w:eastAsia="zh-CN"/>
              </w:rPr>
              <w:t>①煤炭堆放及装卸扬尘</w:t>
            </w:r>
          </w:p>
          <w:p w14:paraId="1AF46C2E">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根据《排放源统计调查产排污核算方法和系数手册》中附表2“工业源固体物料堆场颗粒物核算系数手册”工业企业固体物料堆存颗粒物包括装卸扬尘和风蚀扬尘，颗粒物产生量核算公式如下：</w:t>
            </w:r>
          </w:p>
          <w:p w14:paraId="2223B4F9">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P=ZCy+FCy= {Nc×D×（a/b）+2×Ef×S}×10</w:t>
            </w:r>
            <w:r>
              <w:rPr>
                <w:rFonts w:hint="eastAsia" w:ascii="Times New Roman" w:hAnsi="Times New Roman" w:eastAsia="宋体"/>
                <w:b w:val="0"/>
                <w:bCs w:val="0"/>
                <w:sz w:val="24"/>
                <w:vertAlign w:val="superscript"/>
                <w:lang w:val="en-US" w:eastAsia="zh-CN"/>
              </w:rPr>
              <w:t>-3</w:t>
            </w:r>
          </w:p>
          <w:p w14:paraId="730D2F57">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式中：P—指颗粒物产生量（单位：吨）；</w:t>
            </w:r>
          </w:p>
          <w:p w14:paraId="709D4453">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ZCy—指装卸扬尘产生量（单位：吨）；</w:t>
            </w:r>
          </w:p>
          <w:p w14:paraId="1B503332">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FCy—指风蚀扬尘产生量（单位：吨）；</w:t>
            </w:r>
          </w:p>
          <w:p w14:paraId="6FD1A0AB">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Nc—指年物料运载车次，取13336（单位：车）；</w:t>
            </w:r>
          </w:p>
          <w:p w14:paraId="283E4369">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D—指单车平均运载量，取30（单位：吨/车）；</w:t>
            </w:r>
          </w:p>
          <w:p w14:paraId="03169C41">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（a/b）—指装卸扬尘概化系数（单位：千克/吨）；a指各省风速概化系数，取0.0009，b指物料含水率概化系数，取0.0049；</w:t>
            </w:r>
          </w:p>
          <w:p w14:paraId="0BC9C8BC">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Ef—指堆场风蚀扬尘概化系数，取30.6582（单位：千克/平方米）；</w:t>
            </w:r>
          </w:p>
          <w:p w14:paraId="0B4C9F0F">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S—指堆场占地面积，取16667（单位：平方米）。</w:t>
            </w:r>
          </w:p>
          <w:p w14:paraId="7F6DB57B">
            <w:pPr>
              <w:keepNext w:val="0"/>
              <w:keepLines w:val="0"/>
              <w:pageBreakBefore w:val="0"/>
              <w:widowControl w:val="0"/>
              <w:kinsoku/>
              <w:wordWrap/>
              <w:overflowPunct/>
              <w:topLinePunct w:val="0"/>
              <w:autoSpaceDE/>
              <w:autoSpaceDN/>
              <w:bidi w:val="0"/>
              <w:adjustRightInd w:val="0"/>
              <w:snapToGrid w:val="0"/>
              <w:spacing w:line="360" w:lineRule="auto"/>
              <w:ind w:left="0" w:right="0" w:firstLine="460" w:firstLineChars="200"/>
              <w:textAlignment w:val="auto"/>
              <w:rPr>
                <w:rFonts w:hint="default"/>
                <w:lang w:val="en-US" w:eastAsia="zh-CN"/>
              </w:rPr>
            </w:pPr>
            <w:r>
              <w:rPr>
                <w:rFonts w:hint="default" w:ascii="Times New Roman" w:hAnsi="Times New Roman" w:eastAsia="宋体" w:cs="Times New Roman"/>
                <w:color w:val="0000FF"/>
                <w:spacing w:val="-5"/>
                <w:kern w:val="2"/>
                <w:sz w:val="24"/>
                <w:szCs w:val="24"/>
                <w:highlight w:val="none"/>
                <w:lang w:val="en-US" w:eastAsia="zh-CN" w:bidi="ar-SA"/>
              </w:rPr>
              <w:t>本项目物料运载车次</w:t>
            </w:r>
            <w:r>
              <w:rPr>
                <w:rFonts w:hint="eastAsia" w:cs="Times New Roman"/>
                <w:color w:val="0000FF"/>
                <w:spacing w:val="-5"/>
                <w:kern w:val="2"/>
                <w:sz w:val="24"/>
                <w:szCs w:val="24"/>
                <w:highlight w:val="none"/>
                <w:lang w:val="en-US" w:eastAsia="zh-CN" w:bidi="ar-SA"/>
              </w:rPr>
              <w:t>13336</w:t>
            </w:r>
            <w:r>
              <w:rPr>
                <w:rFonts w:hint="default" w:ascii="Times New Roman" w:hAnsi="Times New Roman" w:eastAsia="宋体" w:cs="Times New Roman"/>
                <w:color w:val="0000FF"/>
                <w:spacing w:val="-5"/>
                <w:kern w:val="2"/>
                <w:sz w:val="24"/>
                <w:szCs w:val="24"/>
                <w:highlight w:val="none"/>
                <w:lang w:val="en-US" w:eastAsia="zh-CN" w:bidi="ar-SA"/>
              </w:rPr>
              <w:t>次（其中卸煤</w:t>
            </w:r>
            <w:r>
              <w:rPr>
                <w:rFonts w:hint="eastAsia" w:cs="Times New Roman"/>
                <w:color w:val="0000FF"/>
                <w:spacing w:val="-5"/>
                <w:kern w:val="2"/>
                <w:sz w:val="24"/>
                <w:szCs w:val="24"/>
                <w:highlight w:val="none"/>
                <w:lang w:val="en-US" w:eastAsia="zh-CN" w:bidi="ar-SA"/>
              </w:rPr>
              <w:t>6668</w:t>
            </w:r>
            <w:r>
              <w:rPr>
                <w:rFonts w:hint="default" w:ascii="Times New Roman" w:hAnsi="Times New Roman" w:eastAsia="宋体" w:cs="Times New Roman"/>
                <w:color w:val="0000FF"/>
                <w:spacing w:val="-5"/>
                <w:kern w:val="2"/>
                <w:sz w:val="24"/>
                <w:szCs w:val="24"/>
                <w:highlight w:val="none"/>
                <w:lang w:val="en-US" w:eastAsia="zh-CN" w:bidi="ar-SA"/>
              </w:rPr>
              <w:t>次、装煤</w:t>
            </w:r>
            <w:r>
              <w:rPr>
                <w:rFonts w:hint="eastAsia" w:cs="Times New Roman"/>
                <w:color w:val="0000FF"/>
                <w:spacing w:val="-5"/>
                <w:kern w:val="2"/>
                <w:sz w:val="24"/>
                <w:szCs w:val="24"/>
                <w:highlight w:val="none"/>
                <w:lang w:val="en-US" w:eastAsia="zh-CN" w:bidi="ar-SA"/>
              </w:rPr>
              <w:t>6668</w:t>
            </w:r>
            <w:r>
              <w:rPr>
                <w:rFonts w:hint="default" w:ascii="Times New Roman" w:hAnsi="Times New Roman" w:eastAsia="宋体" w:cs="Times New Roman"/>
                <w:color w:val="0000FF"/>
                <w:spacing w:val="-5"/>
                <w:kern w:val="2"/>
                <w:sz w:val="24"/>
                <w:szCs w:val="24"/>
                <w:highlight w:val="none"/>
                <w:lang w:val="en-US" w:eastAsia="zh-CN" w:bidi="ar-SA"/>
              </w:rPr>
              <w:t>次），</w:t>
            </w:r>
            <w:r>
              <w:rPr>
                <w:rFonts w:hint="default" w:ascii="Times New Roman" w:hAnsi="Times New Roman" w:eastAsia="宋体" w:cs="Times New Roman"/>
                <w:color w:val="auto"/>
                <w:spacing w:val="-5"/>
                <w:kern w:val="2"/>
                <w:sz w:val="24"/>
                <w:szCs w:val="24"/>
                <w:highlight w:val="none"/>
                <w:lang w:val="en-US" w:eastAsia="zh-CN" w:bidi="ar-SA"/>
              </w:rPr>
              <w:t>单车平均运载量30吨，根据</w:t>
            </w:r>
            <w:r>
              <w:rPr>
                <w:rFonts w:hint="eastAsia" w:ascii="Times New Roman" w:hAnsi="Times New Roman" w:cs="Times New Roman"/>
                <w:color w:val="auto"/>
                <w:spacing w:val="-5"/>
                <w:kern w:val="2"/>
                <w:sz w:val="24"/>
                <w:szCs w:val="24"/>
                <w:highlight w:val="none"/>
                <w:lang w:val="en-US" w:eastAsia="zh-CN" w:bidi="ar-SA"/>
              </w:rPr>
              <w:t>“</w:t>
            </w:r>
            <w:r>
              <w:rPr>
                <w:rFonts w:hint="default" w:ascii="Times New Roman" w:hAnsi="Times New Roman" w:eastAsia="宋体" w:cs="Times New Roman"/>
                <w:color w:val="auto"/>
                <w:spacing w:val="-5"/>
                <w:kern w:val="2"/>
                <w:sz w:val="24"/>
                <w:szCs w:val="24"/>
                <w:highlight w:val="none"/>
                <w:lang w:val="en-US" w:eastAsia="zh-CN" w:bidi="ar-SA"/>
              </w:rPr>
              <w:t>工业源固体物料堆场颗粒物核算系数手册</w:t>
            </w:r>
            <w:r>
              <w:rPr>
                <w:rFonts w:hint="eastAsia" w:ascii="Times New Roman" w:hAnsi="Times New Roman" w:cs="Times New Roman"/>
                <w:color w:val="auto"/>
                <w:spacing w:val="-5"/>
                <w:kern w:val="2"/>
                <w:sz w:val="24"/>
                <w:szCs w:val="24"/>
                <w:highlight w:val="none"/>
                <w:lang w:val="en-US" w:eastAsia="zh-CN" w:bidi="ar-SA"/>
              </w:rPr>
              <w:t>”</w:t>
            </w:r>
            <w:r>
              <w:rPr>
                <w:rFonts w:hint="default" w:ascii="Times New Roman" w:hAnsi="Times New Roman" w:eastAsia="宋体" w:cs="Times New Roman"/>
                <w:color w:val="auto"/>
                <w:spacing w:val="-5"/>
                <w:kern w:val="2"/>
                <w:sz w:val="24"/>
                <w:szCs w:val="24"/>
                <w:highlight w:val="none"/>
                <w:lang w:val="en-US" w:eastAsia="zh-CN" w:bidi="ar-SA"/>
              </w:rPr>
              <w:t>附录1、附录2、附录3，本项目风速概化系数为0.0009，物料含水率概化系数为0.00</w:t>
            </w:r>
            <w:r>
              <w:rPr>
                <w:rFonts w:hint="eastAsia" w:ascii="Times New Roman" w:hAnsi="Times New Roman" w:cs="Times New Roman"/>
                <w:color w:val="auto"/>
                <w:spacing w:val="-5"/>
                <w:kern w:val="2"/>
                <w:sz w:val="24"/>
                <w:szCs w:val="24"/>
                <w:highlight w:val="none"/>
                <w:lang w:val="en-US" w:eastAsia="zh-CN" w:bidi="ar-SA"/>
              </w:rPr>
              <w:t>49</w:t>
            </w:r>
            <w:r>
              <w:rPr>
                <w:rFonts w:hint="default" w:ascii="Times New Roman" w:hAnsi="Times New Roman" w:eastAsia="宋体" w:cs="Times New Roman"/>
                <w:color w:val="auto"/>
                <w:spacing w:val="-5"/>
                <w:kern w:val="2"/>
                <w:sz w:val="24"/>
                <w:szCs w:val="24"/>
                <w:highlight w:val="none"/>
                <w:lang w:val="en-US" w:eastAsia="zh-CN" w:bidi="ar-SA"/>
              </w:rPr>
              <w:t>，堆场风蚀扬尘概化系数为30.6582，本项目</w:t>
            </w:r>
            <w:r>
              <w:rPr>
                <w:rFonts w:hint="eastAsia" w:cs="Times New Roman"/>
                <w:color w:val="auto"/>
                <w:spacing w:val="-5"/>
                <w:kern w:val="2"/>
                <w:sz w:val="24"/>
                <w:szCs w:val="24"/>
                <w:highlight w:val="none"/>
                <w:lang w:val="en-US" w:eastAsia="zh-CN" w:bidi="ar-SA"/>
              </w:rPr>
              <w:t>晾晒厂房及</w:t>
            </w:r>
            <w:r>
              <w:rPr>
                <w:rFonts w:hint="default" w:ascii="Times New Roman" w:hAnsi="Times New Roman" w:eastAsia="宋体" w:cs="Times New Roman"/>
                <w:color w:val="auto"/>
                <w:spacing w:val="-5"/>
                <w:kern w:val="2"/>
                <w:sz w:val="24"/>
                <w:szCs w:val="24"/>
                <w:highlight w:val="none"/>
                <w:lang w:val="en-US" w:eastAsia="zh-CN" w:bidi="ar-SA"/>
              </w:rPr>
              <w:t>储煤</w:t>
            </w:r>
            <w:r>
              <w:rPr>
                <w:rFonts w:hint="eastAsia" w:ascii="Times New Roman" w:hAnsi="Times New Roman" w:cs="Times New Roman"/>
                <w:color w:val="auto"/>
                <w:spacing w:val="-5"/>
                <w:kern w:val="2"/>
                <w:sz w:val="24"/>
                <w:szCs w:val="24"/>
                <w:highlight w:val="none"/>
                <w:lang w:val="en-US" w:eastAsia="zh-CN" w:bidi="ar-SA"/>
              </w:rPr>
              <w:t>仓库</w:t>
            </w:r>
            <w:r>
              <w:rPr>
                <w:rFonts w:hint="eastAsia" w:cs="Times New Roman"/>
                <w:color w:val="auto"/>
                <w:spacing w:val="-5"/>
                <w:kern w:val="2"/>
                <w:sz w:val="24"/>
                <w:szCs w:val="24"/>
                <w:highlight w:val="none"/>
                <w:lang w:val="en-US" w:eastAsia="zh-CN" w:bidi="ar-SA"/>
              </w:rPr>
              <w:t>总</w:t>
            </w:r>
            <w:r>
              <w:rPr>
                <w:rFonts w:hint="default" w:ascii="Times New Roman" w:hAnsi="Times New Roman" w:eastAsia="宋体" w:cs="Times New Roman"/>
                <w:color w:val="auto"/>
                <w:spacing w:val="-5"/>
                <w:kern w:val="2"/>
                <w:sz w:val="24"/>
                <w:szCs w:val="24"/>
                <w:highlight w:val="none"/>
                <w:lang w:val="en-US" w:eastAsia="zh-CN" w:bidi="ar-SA"/>
              </w:rPr>
              <w:t>占地面积</w:t>
            </w:r>
            <w:r>
              <w:rPr>
                <w:rFonts w:hint="eastAsia" w:cs="Times New Roman"/>
                <w:color w:val="auto"/>
                <w:spacing w:val="-5"/>
                <w:kern w:val="2"/>
                <w:sz w:val="24"/>
                <w:szCs w:val="24"/>
                <w:highlight w:val="none"/>
                <w:lang w:val="en-US" w:eastAsia="zh-CN" w:bidi="ar-SA"/>
              </w:rPr>
              <w:t>16667</w:t>
            </w:r>
            <w:r>
              <w:rPr>
                <w:rFonts w:hint="default" w:ascii="Times New Roman" w:hAnsi="Times New Roman" w:eastAsia="宋体" w:cs="Times New Roman"/>
                <w:color w:val="auto"/>
                <w:spacing w:val="-5"/>
                <w:kern w:val="2"/>
                <w:sz w:val="24"/>
                <w:szCs w:val="24"/>
                <w:highlight w:val="none"/>
                <w:lang w:val="en-US" w:eastAsia="zh-CN" w:bidi="ar-SA"/>
              </w:rPr>
              <w:t>m</w:t>
            </w:r>
            <w:r>
              <w:rPr>
                <w:rFonts w:hint="default" w:ascii="Times New Roman" w:hAnsi="Times New Roman" w:eastAsia="宋体" w:cs="Times New Roman"/>
                <w:color w:val="auto"/>
                <w:spacing w:val="-5"/>
                <w:kern w:val="2"/>
                <w:sz w:val="24"/>
                <w:szCs w:val="24"/>
                <w:highlight w:val="none"/>
                <w:vertAlign w:val="superscript"/>
                <w:lang w:val="en-US" w:eastAsia="zh-CN" w:bidi="ar-SA"/>
              </w:rPr>
              <w:t>2</w:t>
            </w:r>
            <w:r>
              <w:rPr>
                <w:rFonts w:hint="default" w:ascii="Times New Roman" w:hAnsi="Times New Roman" w:eastAsia="宋体" w:cs="Times New Roman"/>
                <w:color w:val="auto"/>
                <w:spacing w:val="-5"/>
                <w:kern w:val="2"/>
                <w:sz w:val="24"/>
                <w:szCs w:val="24"/>
                <w:highlight w:val="none"/>
                <w:lang w:val="en-US" w:eastAsia="zh-CN" w:bidi="ar-SA"/>
              </w:rPr>
              <w:t>。</w:t>
            </w:r>
            <w:r>
              <w:rPr>
                <w:rFonts w:hint="eastAsia" w:ascii="Times New Roman" w:hAnsi="Times New Roman" w:cs="Times New Roman"/>
                <w:color w:val="0000FF"/>
                <w:spacing w:val="-5"/>
                <w:kern w:val="2"/>
                <w:sz w:val="24"/>
                <w:szCs w:val="24"/>
                <w:highlight w:val="none"/>
                <w:lang w:val="en-US" w:eastAsia="zh-CN" w:bidi="ar-SA"/>
              </w:rPr>
              <w:t>则本项目</w:t>
            </w:r>
            <w:r>
              <w:rPr>
                <w:rFonts w:hint="eastAsia"/>
                <w:b w:val="0"/>
                <w:bCs w:val="0"/>
                <w:color w:val="0000FF"/>
                <w:sz w:val="24"/>
                <w:lang w:val="en-US" w:eastAsia="zh-CN"/>
              </w:rPr>
              <w:t>煤炭堆场装卸和风蚀扬尘产生量为1095.445</w:t>
            </w:r>
            <w:r>
              <w:rPr>
                <w:rFonts w:hint="default" w:ascii="Times New Roman" w:hAnsi="Times New Roman" w:eastAsia="宋体" w:cs="Times New Roman"/>
                <w:color w:val="0000FF"/>
                <w:spacing w:val="-5"/>
                <w:kern w:val="2"/>
                <w:sz w:val="24"/>
                <w:szCs w:val="24"/>
                <w:highlight w:val="none"/>
                <w:lang w:val="en-US" w:eastAsia="zh-CN" w:bidi="ar-SA"/>
              </w:rPr>
              <w:t>t/a。</w:t>
            </w:r>
          </w:p>
          <w:p w14:paraId="6C5F35F8">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根据“工业源固体物料堆场颗粒物核算系数手册”，堆场颗粒物排放量核算公式如下：</w:t>
            </w:r>
          </w:p>
          <w:p w14:paraId="5FCF4C06">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Uc=P×（1−Cm）×（1−Tm）</w:t>
            </w:r>
          </w:p>
          <w:p w14:paraId="349D8C48">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式中：Uc—指颗粒物排放量（单位：吨）；</w:t>
            </w:r>
          </w:p>
          <w:p w14:paraId="51F7BDCA">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P—指颗粒物产生量（单位：吨）；</w:t>
            </w:r>
          </w:p>
          <w:p w14:paraId="23AC9A24">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Cm—指颗粒物控制措施控制效率（单位：%）；</w:t>
            </w:r>
          </w:p>
          <w:p w14:paraId="678E9365">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Tm—指堆场类型控制效率（单位：%）。</w:t>
            </w:r>
          </w:p>
          <w:p w14:paraId="63F7C2D0">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bCs/>
                <w:sz w:val="24"/>
                <w:lang w:val="en-US" w:eastAsia="zh-CN"/>
              </w:rPr>
              <w:t>治理措施：</w:t>
            </w:r>
            <w:r>
              <w:rPr>
                <w:rFonts w:hint="eastAsia" w:ascii="Times New Roman" w:hAnsi="Times New Roman" w:eastAsia="宋体"/>
                <w:b w:val="0"/>
                <w:bCs w:val="0"/>
                <w:sz w:val="24"/>
                <w:lang w:val="en-US" w:eastAsia="zh-CN"/>
              </w:rPr>
              <w:t>本项目储煤仓库密闭，不进行洒水。根据《排放源统计调查产排污核算方法和系数手册》中附录4，Cm取60%，Tm取99%。</w:t>
            </w:r>
          </w:p>
          <w:p w14:paraId="1237BB51">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z w:val="24"/>
                <w:u w:val="none"/>
                <w:lang w:val="en-US" w:eastAsia="zh-CN"/>
              </w:rPr>
            </w:pPr>
            <w:r>
              <w:rPr>
                <w:rFonts w:hint="eastAsia" w:ascii="Times New Roman" w:hAnsi="Times New Roman" w:eastAsia="宋体"/>
                <w:b w:val="0"/>
                <w:bCs w:val="0"/>
                <w:color w:val="auto"/>
                <w:sz w:val="24"/>
                <w:u w:val="none"/>
                <w:lang w:val="en-US" w:eastAsia="zh-CN"/>
              </w:rPr>
              <w:t>综上，</w:t>
            </w:r>
            <w:r>
              <w:rPr>
                <w:rFonts w:hint="eastAsia" w:ascii="Times New Roman" w:hAnsi="Times New Roman" w:eastAsia="宋体" w:cs="Times New Roman"/>
                <w:b w:val="0"/>
                <w:bCs w:val="0"/>
                <w:color w:val="0000FF"/>
                <w:spacing w:val="0"/>
                <w:kern w:val="2"/>
                <w:sz w:val="24"/>
                <w:szCs w:val="24"/>
                <w:lang w:val="en-US" w:eastAsia="zh-CN" w:bidi="ar-SA"/>
              </w:rPr>
              <w:t>本项目煤炭堆场装卸和风蚀扬尘</w:t>
            </w:r>
            <w:r>
              <w:rPr>
                <w:rFonts w:hint="eastAsia" w:ascii="Times New Roman" w:hAnsi="Times New Roman" w:eastAsia="宋体"/>
                <w:b w:val="0"/>
                <w:bCs w:val="0"/>
                <w:color w:val="auto"/>
                <w:sz w:val="24"/>
                <w:u w:val="none"/>
                <w:lang w:val="en-US" w:eastAsia="zh-CN"/>
              </w:rPr>
              <w:t>排放量为4.382t/a，排放速率为0.609kg/h。</w:t>
            </w:r>
          </w:p>
          <w:p w14:paraId="09D88656">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b/>
                <w:bCs/>
                <w:sz w:val="24"/>
                <w:lang w:val="en-US" w:eastAsia="zh-CN"/>
              </w:rPr>
            </w:pPr>
            <w:r>
              <w:rPr>
                <w:rFonts w:hint="eastAsia" w:ascii="Times New Roman" w:hAnsi="Times New Roman" w:eastAsia="宋体"/>
                <w:b/>
                <w:bCs/>
                <w:sz w:val="24"/>
                <w:lang w:val="en-US" w:eastAsia="zh-CN"/>
              </w:rPr>
              <w:t>②混料扬尘</w:t>
            </w:r>
          </w:p>
          <w:p w14:paraId="70ADCD99">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0000FF"/>
                <w:spacing w:val="0"/>
                <w:kern w:val="2"/>
                <w:sz w:val="24"/>
                <w:szCs w:val="24"/>
                <w:lang w:val="en-US" w:eastAsia="zh-CN" w:bidi="ar-SA"/>
              </w:rPr>
            </w:pPr>
            <w:r>
              <w:rPr>
                <w:rFonts w:hint="eastAsia" w:ascii="Times New Roman" w:hAnsi="Times New Roman" w:eastAsia="宋体" w:cs="Times New Roman"/>
                <w:b w:val="0"/>
                <w:bCs w:val="0"/>
                <w:color w:val="0000FF"/>
                <w:spacing w:val="0"/>
                <w:kern w:val="2"/>
                <w:sz w:val="24"/>
                <w:szCs w:val="24"/>
                <w:lang w:val="en-US" w:eastAsia="zh-CN" w:bidi="ar-SA"/>
              </w:rPr>
              <w:t>本项目来自寻甸县先锋镇姚家村煤矿有限公司、寻甸慧果能源开发有限公司运进的煤炭在晾晒厂房晾晒降到一定的水分之后，将用运输车辆运送至储煤仓库使用装载机进行混合，混料过程产生的扬尘根据《逸散性工业粉尘控制技术》可知，混料工序中粉尘产生系数为0.01%，则项目混料扬尘产生量为10t/a，排放速率为4.167</w:t>
            </w:r>
            <w:r>
              <w:rPr>
                <w:rFonts w:hint="eastAsia" w:ascii="Times New Roman" w:hAnsi="Times New Roman" w:eastAsia="宋体"/>
                <w:b w:val="0"/>
                <w:bCs w:val="0"/>
                <w:color w:val="0000FF"/>
                <w:sz w:val="24"/>
                <w:u w:val="none"/>
                <w:lang w:val="en-US" w:eastAsia="zh-CN"/>
              </w:rPr>
              <w:t>kg/h。</w:t>
            </w:r>
          </w:p>
          <w:p w14:paraId="54CBF646">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color w:val="0000FF"/>
                <w:sz w:val="24"/>
                <w:lang w:val="en-US" w:eastAsia="zh-CN"/>
              </w:rPr>
            </w:pPr>
            <w:r>
              <w:rPr>
                <w:rFonts w:hint="eastAsia" w:ascii="Times New Roman" w:hAnsi="Times New Roman" w:eastAsia="宋体"/>
                <w:b/>
                <w:bCs/>
                <w:color w:val="0000FF"/>
                <w:sz w:val="24"/>
                <w:lang w:val="en-US" w:eastAsia="zh-CN"/>
              </w:rPr>
              <w:t>治理措施：</w:t>
            </w:r>
            <w:r>
              <w:rPr>
                <w:rFonts w:hint="eastAsia" w:ascii="Times New Roman" w:hAnsi="Times New Roman" w:eastAsia="宋体"/>
                <w:b w:val="0"/>
                <w:bCs w:val="0"/>
                <w:color w:val="0000FF"/>
                <w:sz w:val="24"/>
                <w:lang w:val="en-US" w:eastAsia="zh-CN"/>
              </w:rPr>
              <w:t>本项目储煤仓库密闭，不进行洒水。参照《排放源统计调查产排污核算方法和系数手册》中附录4，Cm取60%，Tm取99%。</w:t>
            </w:r>
          </w:p>
          <w:p w14:paraId="32136FE2">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bCs/>
                <w:color w:val="0000FF"/>
                <w:sz w:val="24"/>
                <w:lang w:val="en-US" w:eastAsia="zh-CN"/>
              </w:rPr>
            </w:pPr>
            <w:r>
              <w:rPr>
                <w:rFonts w:hint="eastAsia" w:ascii="Times New Roman" w:hAnsi="Times New Roman" w:eastAsia="宋体"/>
                <w:b w:val="0"/>
                <w:bCs w:val="0"/>
                <w:color w:val="0000FF"/>
                <w:sz w:val="24"/>
                <w:u w:val="none"/>
                <w:lang w:val="en-US" w:eastAsia="zh-CN"/>
              </w:rPr>
              <w:t>综上，</w:t>
            </w:r>
            <w:r>
              <w:rPr>
                <w:rFonts w:hint="eastAsia" w:ascii="Times New Roman" w:hAnsi="Times New Roman" w:eastAsia="宋体" w:cs="Times New Roman"/>
                <w:b w:val="0"/>
                <w:bCs w:val="0"/>
                <w:color w:val="0000FF"/>
                <w:spacing w:val="0"/>
                <w:kern w:val="2"/>
                <w:sz w:val="24"/>
                <w:szCs w:val="24"/>
                <w:lang w:val="en-US" w:eastAsia="zh-CN" w:bidi="ar-SA"/>
              </w:rPr>
              <w:t>本项目混料扬尘</w:t>
            </w:r>
            <w:r>
              <w:rPr>
                <w:rFonts w:hint="eastAsia" w:ascii="Times New Roman" w:hAnsi="Times New Roman" w:eastAsia="宋体"/>
                <w:b w:val="0"/>
                <w:bCs w:val="0"/>
                <w:color w:val="0000FF"/>
                <w:sz w:val="24"/>
                <w:u w:val="none"/>
                <w:lang w:val="en-US" w:eastAsia="zh-CN"/>
              </w:rPr>
              <w:t>排放量为0.04t/a，排放速率为0.017kg/h。</w:t>
            </w:r>
          </w:p>
          <w:p w14:paraId="53D953EA">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bCs/>
                <w:sz w:val="24"/>
                <w:lang w:val="en-US" w:eastAsia="zh-CN"/>
              </w:rPr>
              <w:t>③车辆行驶动力扬尘</w:t>
            </w:r>
          </w:p>
          <w:p w14:paraId="305C0217">
            <w:pPr>
              <w:rPr>
                <w:rFonts w:hint="default"/>
                <w:lang w:val="en-US" w:eastAsia="zh-CN"/>
              </w:rPr>
            </w:pPr>
            <w:r>
              <w:rPr>
                <w:rFonts w:hint="default"/>
                <w:lang w:val="en-US" w:eastAsia="zh-CN"/>
              </w:rPr>
              <w:t>项目运输车辆在行驶过程会产生一定的动力扬尘，本次评价车辆运输扬尘产生量</w:t>
            </w:r>
            <w:r>
              <w:rPr>
                <w:rFonts w:hint="eastAsia"/>
                <w:lang w:val="en-US" w:eastAsia="zh-CN"/>
              </w:rPr>
              <w:t>采用下述经验公式计算：</w:t>
            </w:r>
          </w:p>
          <w:p w14:paraId="676D3B67">
            <w:pPr>
              <w:autoSpaceDE w:val="0"/>
              <w:adjustRightInd w:val="0"/>
              <w:snapToGrid w:val="0"/>
              <w:spacing w:line="360" w:lineRule="auto"/>
              <w:jc w:val="center"/>
              <w:rPr>
                <w:rFonts w:hint="default" w:ascii="Times New Roman" w:hAnsi="Times New Roman" w:eastAsia="宋体" w:cs="Times New Roman"/>
                <w:bCs/>
                <w:color w:val="auto"/>
                <w:spacing w:val="6"/>
                <w:sz w:val="24"/>
                <w:highlight w:val="none"/>
                <w:lang w:val="en-US" w:eastAsia="zh-CN" w:bidi="ar"/>
              </w:rPr>
            </w:pPr>
            <w:r>
              <w:rPr>
                <w:rFonts w:hint="default" w:ascii="Times New Roman" w:hAnsi="Times New Roman" w:eastAsia="宋体" w:cs="Times New Roman"/>
                <w:bCs/>
                <w:color w:val="auto"/>
                <w:spacing w:val="6"/>
                <w:sz w:val="24"/>
                <w:highlight w:val="none"/>
                <w:lang w:bidi="ar"/>
              </w:rPr>
              <w:t>Q</w:t>
            </w:r>
            <w:r>
              <w:rPr>
                <w:rFonts w:hint="eastAsia" w:cs="Times New Roman"/>
                <w:bCs/>
                <w:color w:val="auto"/>
                <w:spacing w:val="6"/>
                <w:sz w:val="24"/>
                <w:highlight w:val="none"/>
                <w:vertAlign w:val="subscript"/>
                <w:lang w:val="en-US" w:eastAsia="zh-CN" w:bidi="ar"/>
              </w:rPr>
              <w:t>P</w:t>
            </w:r>
            <w:r>
              <w:rPr>
                <w:rFonts w:hint="default" w:ascii="Times New Roman" w:hAnsi="Times New Roman" w:eastAsia="宋体" w:cs="Times New Roman"/>
                <w:bCs/>
                <w:color w:val="auto"/>
                <w:spacing w:val="6"/>
                <w:sz w:val="24"/>
                <w:highlight w:val="none"/>
                <w:lang w:bidi="ar"/>
              </w:rPr>
              <w:t>=</w:t>
            </w:r>
            <w:r>
              <w:rPr>
                <w:rFonts w:hint="default" w:ascii="Times New Roman" w:hAnsi="Times New Roman" w:eastAsia="宋体" w:cs="Times New Roman"/>
                <w:bCs/>
                <w:color w:val="auto"/>
                <w:spacing w:val="6"/>
                <w:sz w:val="24"/>
                <w:highlight w:val="none"/>
                <w:lang w:val="en-US" w:eastAsia="zh-CN" w:bidi="ar"/>
              </w:rPr>
              <w:t>0.123（V/5）x（M/6.8）</w:t>
            </w:r>
            <w:r>
              <w:rPr>
                <w:rFonts w:hint="default" w:ascii="Times New Roman" w:hAnsi="Times New Roman" w:eastAsia="宋体" w:cs="Times New Roman"/>
                <w:bCs/>
                <w:color w:val="auto"/>
                <w:spacing w:val="6"/>
                <w:sz w:val="24"/>
                <w:highlight w:val="none"/>
                <w:vertAlign w:val="superscript"/>
                <w:lang w:val="en-US" w:eastAsia="zh-CN" w:bidi="ar"/>
              </w:rPr>
              <w:t>0.85</w:t>
            </w:r>
            <w:r>
              <w:rPr>
                <w:rFonts w:hint="default" w:ascii="Times New Roman" w:hAnsi="Times New Roman" w:eastAsia="宋体" w:cs="Times New Roman"/>
                <w:bCs/>
                <w:color w:val="auto"/>
                <w:spacing w:val="6"/>
                <w:sz w:val="24"/>
                <w:highlight w:val="none"/>
                <w:lang w:val="en-US" w:eastAsia="zh-CN" w:bidi="ar"/>
              </w:rPr>
              <w:t>x（P/0.5）</w:t>
            </w:r>
            <w:r>
              <w:rPr>
                <w:rFonts w:hint="default" w:ascii="Times New Roman" w:hAnsi="Times New Roman" w:eastAsia="宋体" w:cs="Times New Roman"/>
                <w:bCs/>
                <w:color w:val="auto"/>
                <w:spacing w:val="6"/>
                <w:sz w:val="24"/>
                <w:highlight w:val="none"/>
                <w:vertAlign w:val="superscript"/>
                <w:lang w:val="en-US" w:eastAsia="zh-CN" w:bidi="ar"/>
              </w:rPr>
              <w:t>0.72</w:t>
            </w:r>
          </w:p>
          <w:p w14:paraId="765267B5">
            <w:pPr>
              <w:autoSpaceDE w:val="0"/>
              <w:adjustRightInd w:val="0"/>
              <w:snapToGrid w:val="0"/>
              <w:spacing w:line="360" w:lineRule="auto"/>
              <w:jc w:val="center"/>
              <w:rPr>
                <w:rFonts w:hint="default" w:ascii="Times New Roman" w:hAnsi="Times New Roman" w:eastAsia="宋体" w:cs="Times New Roman"/>
                <w:bCs/>
                <w:color w:val="auto"/>
                <w:spacing w:val="6"/>
                <w:sz w:val="24"/>
                <w:highlight w:val="none"/>
                <w:lang w:val="en-US" w:eastAsia="zh-CN"/>
              </w:rPr>
            </w:pPr>
            <w:r>
              <w:rPr>
                <w:rFonts w:hint="default" w:ascii="Times New Roman" w:hAnsi="Times New Roman" w:eastAsia="宋体" w:cs="Times New Roman"/>
                <w:bCs/>
                <w:color w:val="auto"/>
                <w:spacing w:val="6"/>
                <w:sz w:val="24"/>
                <w:highlight w:val="none"/>
                <w:lang w:bidi="ar"/>
              </w:rPr>
              <w:t>Q</w:t>
            </w:r>
            <w:r>
              <w:rPr>
                <w:rFonts w:hint="eastAsia" w:cs="Times New Roman"/>
                <w:bCs/>
                <w:color w:val="auto"/>
                <w:spacing w:val="6"/>
                <w:sz w:val="24"/>
                <w:highlight w:val="none"/>
                <w:vertAlign w:val="subscript"/>
                <w:lang w:val="en-US" w:eastAsia="zh-CN" w:bidi="ar"/>
              </w:rPr>
              <w:t>P</w:t>
            </w:r>
            <w:r>
              <w:rPr>
                <w:rFonts w:hint="eastAsia" w:cs="Times New Roman"/>
                <w:bCs/>
                <w:color w:val="auto"/>
                <w:spacing w:val="6"/>
                <w:sz w:val="24"/>
                <w:highlight w:val="none"/>
                <w:vertAlign w:val="superscript"/>
                <w:lang w:val="en-US" w:eastAsia="zh-CN" w:bidi="ar"/>
              </w:rPr>
              <w:t>1</w:t>
            </w:r>
            <w:r>
              <w:rPr>
                <w:rFonts w:hint="default" w:ascii="Times New Roman" w:hAnsi="Times New Roman" w:eastAsia="宋体" w:cs="Times New Roman"/>
                <w:bCs/>
                <w:color w:val="auto"/>
                <w:spacing w:val="6"/>
                <w:sz w:val="24"/>
                <w:highlight w:val="none"/>
                <w:lang w:bidi="ar"/>
              </w:rPr>
              <w:t>=Q</w:t>
            </w:r>
            <w:r>
              <w:rPr>
                <w:rFonts w:hint="eastAsia" w:cs="Times New Roman"/>
                <w:bCs/>
                <w:color w:val="auto"/>
                <w:spacing w:val="6"/>
                <w:sz w:val="24"/>
                <w:highlight w:val="none"/>
                <w:vertAlign w:val="subscript"/>
                <w:lang w:val="en-US" w:eastAsia="zh-CN" w:bidi="ar"/>
              </w:rPr>
              <w:t>P</w:t>
            </w:r>
            <w:r>
              <w:rPr>
                <w:rFonts w:hint="default" w:ascii="Times New Roman" w:hAnsi="Times New Roman" w:eastAsia="宋体" w:cs="Times New Roman"/>
                <w:bCs/>
                <w:color w:val="auto"/>
                <w:spacing w:val="6"/>
                <w:sz w:val="24"/>
                <w:highlight w:val="none"/>
                <w:lang w:bidi="ar"/>
              </w:rPr>
              <w:t>×</w:t>
            </w:r>
            <w:r>
              <w:rPr>
                <w:rFonts w:hint="eastAsia" w:cs="Times New Roman"/>
                <w:bCs/>
                <w:color w:val="auto"/>
                <w:spacing w:val="6"/>
                <w:sz w:val="24"/>
                <w:highlight w:val="none"/>
                <w:lang w:val="en-US" w:eastAsia="zh-CN" w:bidi="ar"/>
              </w:rPr>
              <w:t>L</w:t>
            </w:r>
            <w:r>
              <w:rPr>
                <w:rFonts w:hint="default" w:ascii="Times New Roman" w:hAnsi="Times New Roman" w:eastAsia="宋体" w:cs="Times New Roman"/>
                <w:bCs/>
                <w:color w:val="auto"/>
                <w:spacing w:val="6"/>
                <w:sz w:val="24"/>
                <w:highlight w:val="none"/>
                <w:lang w:bidi="ar"/>
              </w:rPr>
              <w:t>×</w:t>
            </w:r>
            <w:r>
              <w:rPr>
                <w:rFonts w:hint="eastAsia" w:cs="Times New Roman"/>
                <w:bCs/>
                <w:color w:val="auto"/>
                <w:spacing w:val="6"/>
                <w:sz w:val="24"/>
                <w:highlight w:val="none"/>
                <w:lang w:val="en-US" w:eastAsia="zh-CN" w:bidi="ar"/>
              </w:rPr>
              <w:t>Q/M</w:t>
            </w:r>
          </w:p>
          <w:p w14:paraId="31671B43">
            <w:pPr>
              <w:autoSpaceDE w:val="0"/>
              <w:adjustRightInd w:val="0"/>
              <w:snapToGrid w:val="0"/>
              <w:spacing w:line="360" w:lineRule="auto"/>
              <w:ind w:firstLine="504" w:firstLineChars="200"/>
              <w:rPr>
                <w:rFonts w:hint="default" w:ascii="Times New Roman" w:hAnsi="Times New Roman" w:eastAsia="宋体" w:cs="Times New Roman"/>
                <w:bCs/>
                <w:color w:val="auto"/>
                <w:spacing w:val="6"/>
                <w:sz w:val="24"/>
                <w:highlight w:val="none"/>
              </w:rPr>
            </w:pPr>
            <w:r>
              <w:rPr>
                <w:rFonts w:hint="default" w:ascii="Times New Roman" w:hAnsi="Times New Roman" w:eastAsia="宋体" w:cs="Times New Roman"/>
                <w:bCs/>
                <w:color w:val="auto"/>
                <w:spacing w:val="6"/>
                <w:sz w:val="24"/>
                <w:highlight w:val="none"/>
                <w:lang w:bidi="ar"/>
              </w:rPr>
              <w:t>式中：Q</w:t>
            </w:r>
            <w:r>
              <w:rPr>
                <w:rFonts w:hint="eastAsia" w:cs="Times New Roman"/>
                <w:bCs/>
                <w:color w:val="auto"/>
                <w:spacing w:val="6"/>
                <w:sz w:val="24"/>
                <w:highlight w:val="none"/>
                <w:vertAlign w:val="subscript"/>
                <w:lang w:val="en-US" w:eastAsia="zh-CN" w:bidi="ar"/>
              </w:rPr>
              <w:t>P</w:t>
            </w:r>
            <w:r>
              <w:rPr>
                <w:rFonts w:hint="default" w:ascii="Times New Roman" w:hAnsi="Times New Roman" w:eastAsia="宋体" w:cs="Times New Roman"/>
                <w:bCs/>
                <w:color w:val="auto"/>
                <w:spacing w:val="6"/>
                <w:sz w:val="24"/>
                <w:highlight w:val="none"/>
                <w:lang w:bidi="ar"/>
              </w:rPr>
              <w:t>—每辆汽车行驶扬尘量（kg/km•辆）</w:t>
            </w:r>
          </w:p>
          <w:p w14:paraId="2F241931">
            <w:pPr>
              <w:autoSpaceDE w:val="0"/>
              <w:adjustRightInd w:val="0"/>
              <w:snapToGrid w:val="0"/>
              <w:spacing w:line="360" w:lineRule="auto"/>
              <w:ind w:firstLine="1260" w:firstLineChars="500"/>
              <w:rPr>
                <w:rFonts w:hint="default" w:ascii="Times New Roman" w:hAnsi="Times New Roman" w:eastAsia="宋体" w:cs="Times New Roman"/>
                <w:bCs/>
                <w:color w:val="auto"/>
                <w:spacing w:val="6"/>
                <w:sz w:val="24"/>
                <w:highlight w:val="none"/>
              </w:rPr>
            </w:pPr>
            <w:r>
              <w:rPr>
                <w:rFonts w:hint="default" w:ascii="Times New Roman" w:hAnsi="Times New Roman" w:eastAsia="宋体" w:cs="Times New Roman"/>
                <w:bCs/>
                <w:color w:val="auto"/>
                <w:spacing w:val="6"/>
                <w:sz w:val="24"/>
                <w:highlight w:val="none"/>
                <w:lang w:bidi="ar"/>
              </w:rPr>
              <w:t>Q</w:t>
            </w:r>
            <w:r>
              <w:rPr>
                <w:rFonts w:hint="eastAsia" w:cs="Times New Roman"/>
                <w:bCs/>
                <w:color w:val="auto"/>
                <w:spacing w:val="6"/>
                <w:sz w:val="24"/>
                <w:highlight w:val="none"/>
                <w:vertAlign w:val="subscript"/>
                <w:lang w:val="en-US" w:eastAsia="zh-CN" w:bidi="ar"/>
              </w:rPr>
              <w:t>P</w:t>
            </w:r>
            <w:r>
              <w:rPr>
                <w:rFonts w:hint="eastAsia" w:cs="Times New Roman"/>
                <w:bCs/>
                <w:color w:val="auto"/>
                <w:spacing w:val="6"/>
                <w:sz w:val="24"/>
                <w:highlight w:val="none"/>
                <w:vertAlign w:val="superscript"/>
                <w:lang w:val="en-US" w:eastAsia="zh-CN" w:bidi="ar"/>
              </w:rPr>
              <w:t>1</w:t>
            </w:r>
            <w:r>
              <w:rPr>
                <w:rFonts w:hint="default" w:ascii="Times New Roman" w:hAnsi="Times New Roman" w:eastAsia="宋体" w:cs="Times New Roman"/>
                <w:bCs/>
                <w:color w:val="auto"/>
                <w:spacing w:val="6"/>
                <w:sz w:val="24"/>
                <w:highlight w:val="none"/>
                <w:lang w:bidi="ar"/>
              </w:rPr>
              <w:t>—汽车运输总扬尘量</w:t>
            </w:r>
          </w:p>
          <w:p w14:paraId="5EF398A9">
            <w:pPr>
              <w:autoSpaceDE w:val="0"/>
              <w:adjustRightInd w:val="0"/>
              <w:snapToGrid w:val="0"/>
              <w:spacing w:line="360" w:lineRule="auto"/>
              <w:ind w:firstLine="1260" w:firstLineChars="500"/>
              <w:rPr>
                <w:rFonts w:hint="default" w:ascii="Times New Roman" w:hAnsi="Times New Roman" w:eastAsia="宋体" w:cs="Times New Roman"/>
                <w:bCs/>
                <w:color w:val="auto"/>
                <w:spacing w:val="6"/>
                <w:sz w:val="24"/>
                <w:highlight w:val="none"/>
              </w:rPr>
            </w:pPr>
            <w:r>
              <w:rPr>
                <w:rFonts w:hint="default" w:ascii="Times New Roman" w:hAnsi="Times New Roman" w:eastAsia="宋体" w:cs="Times New Roman"/>
                <w:bCs/>
                <w:color w:val="auto"/>
                <w:spacing w:val="6"/>
                <w:sz w:val="24"/>
                <w:highlight w:val="none"/>
                <w:lang w:bidi="ar"/>
              </w:rPr>
              <w:t>V—汽车行驶速度（km/h），</w:t>
            </w:r>
            <w:r>
              <w:rPr>
                <w:rFonts w:hint="default" w:ascii="Times New Roman" w:hAnsi="Times New Roman" w:eastAsia="宋体" w:cs="Times New Roman"/>
                <w:bCs/>
                <w:color w:val="auto"/>
                <w:spacing w:val="6"/>
                <w:sz w:val="24"/>
                <w:highlight w:val="none"/>
                <w:lang w:val="en-US" w:eastAsia="zh-CN" w:bidi="ar"/>
              </w:rPr>
              <w:t>本项目</w:t>
            </w:r>
            <w:r>
              <w:rPr>
                <w:rFonts w:hint="default" w:ascii="Times New Roman" w:hAnsi="Times New Roman" w:eastAsia="宋体" w:cs="Times New Roman"/>
                <w:bCs/>
                <w:color w:val="auto"/>
                <w:spacing w:val="6"/>
                <w:sz w:val="24"/>
                <w:highlight w:val="none"/>
                <w:lang w:bidi="ar"/>
              </w:rPr>
              <w:t>取1</w:t>
            </w:r>
            <w:r>
              <w:rPr>
                <w:rFonts w:hint="eastAsia" w:cs="Times New Roman"/>
                <w:bCs/>
                <w:color w:val="auto"/>
                <w:spacing w:val="6"/>
                <w:sz w:val="24"/>
                <w:highlight w:val="none"/>
                <w:lang w:val="en-US" w:eastAsia="zh-CN" w:bidi="ar"/>
              </w:rPr>
              <w:t>5</w:t>
            </w:r>
            <w:r>
              <w:rPr>
                <w:rFonts w:hint="default" w:ascii="Times New Roman" w:hAnsi="Times New Roman" w:eastAsia="宋体" w:cs="Times New Roman"/>
                <w:bCs/>
                <w:color w:val="auto"/>
                <w:spacing w:val="6"/>
                <w:sz w:val="24"/>
                <w:highlight w:val="none"/>
                <w:lang w:bidi="ar"/>
              </w:rPr>
              <w:t>km/h</w:t>
            </w:r>
          </w:p>
          <w:p w14:paraId="097DD30F">
            <w:pPr>
              <w:autoSpaceDE w:val="0"/>
              <w:adjustRightInd w:val="0"/>
              <w:snapToGrid w:val="0"/>
              <w:spacing w:line="360" w:lineRule="auto"/>
              <w:ind w:firstLine="1260" w:firstLineChars="500"/>
              <w:rPr>
                <w:rFonts w:hint="default" w:ascii="Times New Roman" w:hAnsi="Times New Roman" w:eastAsia="宋体" w:cs="Times New Roman"/>
                <w:bCs/>
                <w:color w:val="auto"/>
                <w:spacing w:val="6"/>
                <w:sz w:val="24"/>
                <w:highlight w:val="none"/>
              </w:rPr>
            </w:pPr>
            <w:r>
              <w:rPr>
                <w:rFonts w:hint="eastAsia" w:cs="Times New Roman"/>
                <w:bCs/>
                <w:color w:val="auto"/>
                <w:spacing w:val="6"/>
                <w:sz w:val="24"/>
                <w:highlight w:val="none"/>
                <w:lang w:val="en-US" w:eastAsia="zh-CN" w:bidi="ar"/>
              </w:rPr>
              <w:t>M</w:t>
            </w:r>
            <w:r>
              <w:rPr>
                <w:rFonts w:hint="default" w:ascii="Times New Roman" w:hAnsi="Times New Roman" w:eastAsia="宋体" w:cs="Times New Roman"/>
                <w:bCs/>
                <w:color w:val="auto"/>
                <w:spacing w:val="6"/>
                <w:sz w:val="24"/>
                <w:highlight w:val="none"/>
                <w:lang w:bidi="ar"/>
              </w:rPr>
              <w:t>—汽车重量（t），取满载量</w:t>
            </w:r>
            <w:r>
              <w:rPr>
                <w:rFonts w:hint="default" w:ascii="Times New Roman" w:hAnsi="Times New Roman" w:eastAsia="宋体" w:cs="Times New Roman"/>
                <w:bCs/>
                <w:color w:val="auto"/>
                <w:spacing w:val="6"/>
                <w:sz w:val="24"/>
                <w:highlight w:val="none"/>
                <w:lang w:val="en-US" w:eastAsia="zh-CN" w:bidi="ar"/>
              </w:rPr>
              <w:t>3</w:t>
            </w:r>
            <w:r>
              <w:rPr>
                <w:rFonts w:hint="eastAsia" w:cs="Times New Roman"/>
                <w:bCs/>
                <w:color w:val="auto"/>
                <w:spacing w:val="6"/>
                <w:sz w:val="24"/>
                <w:highlight w:val="none"/>
                <w:lang w:val="en-US" w:eastAsia="zh-CN" w:bidi="ar"/>
              </w:rPr>
              <w:t>0</w:t>
            </w:r>
            <w:r>
              <w:rPr>
                <w:rFonts w:hint="default" w:ascii="Times New Roman" w:hAnsi="Times New Roman" w:eastAsia="宋体" w:cs="Times New Roman"/>
                <w:bCs/>
                <w:color w:val="auto"/>
                <w:spacing w:val="6"/>
                <w:sz w:val="24"/>
                <w:highlight w:val="none"/>
                <w:lang w:bidi="ar"/>
              </w:rPr>
              <w:t>t</w:t>
            </w:r>
          </w:p>
          <w:p w14:paraId="4300529A">
            <w:pPr>
              <w:autoSpaceDE w:val="0"/>
              <w:adjustRightInd w:val="0"/>
              <w:snapToGrid w:val="0"/>
              <w:spacing w:line="360" w:lineRule="auto"/>
              <w:ind w:firstLine="1260" w:firstLineChars="500"/>
              <w:rPr>
                <w:rFonts w:hint="default" w:ascii="Times New Roman" w:hAnsi="Times New Roman" w:eastAsia="宋体" w:cs="Times New Roman"/>
                <w:bCs/>
                <w:color w:val="auto"/>
                <w:spacing w:val="6"/>
                <w:sz w:val="24"/>
                <w:highlight w:val="none"/>
              </w:rPr>
            </w:pPr>
            <w:r>
              <w:rPr>
                <w:rFonts w:hint="default" w:ascii="Times New Roman" w:hAnsi="Times New Roman" w:eastAsia="宋体" w:cs="Times New Roman"/>
                <w:bCs/>
                <w:color w:val="auto"/>
                <w:spacing w:val="6"/>
                <w:sz w:val="24"/>
                <w:highlight w:val="none"/>
                <w:lang w:bidi="ar"/>
              </w:rPr>
              <w:t>P—道路表面粉尘量（kg/m</w:t>
            </w:r>
            <w:r>
              <w:rPr>
                <w:rFonts w:hint="default" w:ascii="Times New Roman" w:hAnsi="Times New Roman" w:eastAsia="宋体" w:cs="Times New Roman"/>
                <w:bCs/>
                <w:color w:val="auto"/>
                <w:spacing w:val="6"/>
                <w:sz w:val="24"/>
                <w:highlight w:val="none"/>
                <w:vertAlign w:val="superscript"/>
                <w:lang w:bidi="ar"/>
              </w:rPr>
              <w:t>2</w:t>
            </w:r>
            <w:r>
              <w:rPr>
                <w:rFonts w:hint="default" w:ascii="Times New Roman" w:hAnsi="Times New Roman" w:eastAsia="宋体" w:cs="Times New Roman"/>
                <w:bCs/>
                <w:color w:val="auto"/>
                <w:spacing w:val="6"/>
                <w:sz w:val="24"/>
                <w:highlight w:val="none"/>
                <w:lang w:bidi="ar"/>
              </w:rPr>
              <w:t>），</w:t>
            </w:r>
            <w:r>
              <w:rPr>
                <w:rFonts w:hint="default" w:ascii="Times New Roman" w:hAnsi="Times New Roman" w:eastAsia="宋体" w:cs="Times New Roman"/>
                <w:bCs/>
                <w:color w:val="auto"/>
                <w:spacing w:val="6"/>
                <w:sz w:val="24"/>
                <w:highlight w:val="none"/>
                <w:lang w:val="en-US" w:eastAsia="zh-CN" w:bidi="ar"/>
              </w:rPr>
              <w:t>本次</w:t>
            </w:r>
            <w:r>
              <w:rPr>
                <w:rFonts w:hint="default" w:ascii="Times New Roman" w:hAnsi="Times New Roman" w:eastAsia="宋体" w:cs="Times New Roman"/>
                <w:bCs/>
                <w:color w:val="auto"/>
                <w:spacing w:val="6"/>
                <w:sz w:val="24"/>
                <w:highlight w:val="none"/>
                <w:lang w:bidi="ar"/>
              </w:rPr>
              <w:t>取0.</w:t>
            </w:r>
            <w:r>
              <w:rPr>
                <w:rFonts w:hint="eastAsia" w:cs="Times New Roman"/>
                <w:bCs/>
                <w:color w:val="auto"/>
                <w:spacing w:val="6"/>
                <w:sz w:val="24"/>
                <w:highlight w:val="none"/>
                <w:lang w:val="en-US" w:eastAsia="zh-CN" w:bidi="ar"/>
              </w:rPr>
              <w:t>2</w:t>
            </w:r>
            <w:r>
              <w:rPr>
                <w:rFonts w:hint="default" w:ascii="Times New Roman" w:hAnsi="Times New Roman" w:eastAsia="宋体" w:cs="Times New Roman"/>
                <w:bCs/>
                <w:color w:val="auto"/>
                <w:spacing w:val="6"/>
                <w:sz w:val="24"/>
                <w:highlight w:val="none"/>
                <w:lang w:bidi="ar"/>
              </w:rPr>
              <w:t>kg/m</w:t>
            </w:r>
            <w:r>
              <w:rPr>
                <w:rFonts w:hint="default" w:ascii="Times New Roman" w:hAnsi="Times New Roman" w:eastAsia="宋体" w:cs="Times New Roman"/>
                <w:bCs/>
                <w:color w:val="auto"/>
                <w:spacing w:val="6"/>
                <w:sz w:val="24"/>
                <w:highlight w:val="none"/>
                <w:vertAlign w:val="superscript"/>
                <w:lang w:bidi="ar"/>
              </w:rPr>
              <w:t>2</w:t>
            </w:r>
            <w:r>
              <w:rPr>
                <w:rFonts w:hint="default" w:ascii="Times New Roman" w:hAnsi="Times New Roman" w:eastAsia="宋体" w:cs="Times New Roman"/>
                <w:bCs/>
                <w:color w:val="auto"/>
                <w:spacing w:val="6"/>
                <w:sz w:val="24"/>
                <w:highlight w:val="none"/>
                <w:lang w:bidi="ar"/>
              </w:rPr>
              <w:t>。</w:t>
            </w:r>
          </w:p>
          <w:p w14:paraId="70B8E40D">
            <w:pPr>
              <w:autoSpaceDE w:val="0"/>
              <w:adjustRightInd w:val="0"/>
              <w:snapToGrid w:val="0"/>
              <w:spacing w:line="360" w:lineRule="auto"/>
              <w:ind w:firstLine="1260" w:firstLineChars="500"/>
              <w:rPr>
                <w:rFonts w:hint="default" w:ascii="Times New Roman" w:hAnsi="Times New Roman" w:eastAsia="宋体" w:cs="Times New Roman"/>
                <w:bCs/>
                <w:color w:val="auto"/>
                <w:spacing w:val="6"/>
                <w:sz w:val="24"/>
                <w:highlight w:val="none"/>
                <w:lang w:val="en-US" w:eastAsia="zh-CN" w:bidi="ar"/>
              </w:rPr>
            </w:pPr>
            <w:r>
              <w:rPr>
                <w:rFonts w:hint="eastAsia" w:cs="Times New Roman"/>
                <w:bCs/>
                <w:color w:val="auto"/>
                <w:spacing w:val="6"/>
                <w:sz w:val="24"/>
                <w:highlight w:val="none"/>
                <w:lang w:val="en-US" w:eastAsia="zh-CN" w:bidi="ar"/>
              </w:rPr>
              <w:t>Q</w:t>
            </w:r>
            <w:r>
              <w:rPr>
                <w:rFonts w:hint="default" w:ascii="Times New Roman" w:hAnsi="Times New Roman" w:eastAsia="宋体" w:cs="Times New Roman"/>
                <w:bCs/>
                <w:color w:val="auto"/>
                <w:spacing w:val="6"/>
                <w:sz w:val="24"/>
                <w:highlight w:val="none"/>
                <w:lang w:bidi="ar"/>
              </w:rPr>
              <w:t>—运输</w:t>
            </w:r>
            <w:r>
              <w:rPr>
                <w:rFonts w:hint="eastAsia" w:ascii="Times New Roman" w:hAnsi="Times New Roman" w:cs="Times New Roman"/>
                <w:bCs/>
                <w:color w:val="auto"/>
                <w:spacing w:val="6"/>
                <w:sz w:val="24"/>
                <w:highlight w:val="none"/>
                <w:lang w:val="en-US" w:eastAsia="zh-CN" w:bidi="ar"/>
              </w:rPr>
              <w:t>量</w:t>
            </w:r>
            <w:r>
              <w:rPr>
                <w:rFonts w:hint="eastAsia" w:cs="Times New Roman"/>
                <w:bCs/>
                <w:color w:val="auto"/>
                <w:spacing w:val="6"/>
                <w:sz w:val="24"/>
                <w:highlight w:val="none"/>
                <w:lang w:eastAsia="zh-CN" w:bidi="ar"/>
              </w:rPr>
              <w:t>（</w:t>
            </w:r>
            <w:r>
              <w:rPr>
                <w:rFonts w:hint="eastAsia" w:cs="Times New Roman"/>
                <w:bCs/>
                <w:color w:val="auto"/>
                <w:spacing w:val="6"/>
                <w:sz w:val="24"/>
                <w:highlight w:val="none"/>
                <w:lang w:val="en-US" w:eastAsia="zh-CN" w:bidi="ar"/>
              </w:rPr>
              <w:t>t/a</w:t>
            </w:r>
            <w:r>
              <w:rPr>
                <w:rFonts w:hint="eastAsia" w:cs="Times New Roman"/>
                <w:bCs/>
                <w:color w:val="auto"/>
                <w:spacing w:val="6"/>
                <w:sz w:val="24"/>
                <w:highlight w:val="none"/>
                <w:lang w:eastAsia="zh-CN" w:bidi="ar"/>
              </w:rPr>
              <w:t>），</w:t>
            </w:r>
            <w:r>
              <w:rPr>
                <w:rFonts w:hint="eastAsia" w:cs="Times New Roman"/>
                <w:bCs/>
                <w:color w:val="auto"/>
                <w:spacing w:val="6"/>
                <w:sz w:val="24"/>
                <w:highlight w:val="none"/>
                <w:lang w:val="en-US" w:eastAsia="zh-CN" w:bidi="ar"/>
              </w:rPr>
              <w:t>项目年转运煤10万吨（运入及运出）；</w:t>
            </w:r>
          </w:p>
          <w:p w14:paraId="6063D9DC">
            <w:pPr>
              <w:autoSpaceDE w:val="0"/>
              <w:adjustRightInd w:val="0"/>
              <w:snapToGrid w:val="0"/>
              <w:spacing w:line="360" w:lineRule="auto"/>
              <w:ind w:firstLine="1260" w:firstLineChars="500"/>
              <w:rPr>
                <w:rFonts w:hint="default" w:ascii="Times New Roman" w:hAnsi="Times New Roman" w:eastAsia="宋体" w:cs="Times New Roman"/>
                <w:bCs/>
                <w:color w:val="auto"/>
                <w:spacing w:val="6"/>
                <w:sz w:val="24"/>
                <w:highlight w:val="none"/>
                <w:lang w:val="en-US" w:eastAsia="zh-CN"/>
              </w:rPr>
            </w:pPr>
            <w:r>
              <w:rPr>
                <w:rFonts w:hint="default" w:ascii="Times New Roman" w:hAnsi="Times New Roman" w:eastAsia="宋体" w:cs="Times New Roman"/>
                <w:bCs/>
                <w:color w:val="auto"/>
                <w:spacing w:val="6"/>
                <w:sz w:val="24"/>
                <w:highlight w:val="none"/>
                <w:lang w:bidi="ar"/>
              </w:rPr>
              <w:t>L—运输距离</w:t>
            </w:r>
            <w:r>
              <w:rPr>
                <w:rFonts w:hint="eastAsia" w:cs="Times New Roman"/>
                <w:bCs/>
                <w:color w:val="auto"/>
                <w:spacing w:val="6"/>
                <w:sz w:val="24"/>
                <w:highlight w:val="none"/>
                <w:lang w:eastAsia="zh-CN" w:bidi="ar"/>
              </w:rPr>
              <w:t>（</w:t>
            </w:r>
            <w:r>
              <w:rPr>
                <w:rFonts w:hint="eastAsia" w:cs="Times New Roman"/>
                <w:bCs/>
                <w:color w:val="auto"/>
                <w:spacing w:val="6"/>
                <w:sz w:val="24"/>
                <w:highlight w:val="none"/>
                <w:lang w:val="en-US" w:eastAsia="zh-CN" w:bidi="ar"/>
              </w:rPr>
              <w:t>km</w:t>
            </w:r>
            <w:r>
              <w:rPr>
                <w:rFonts w:hint="eastAsia" w:cs="Times New Roman"/>
                <w:bCs/>
                <w:color w:val="auto"/>
                <w:spacing w:val="6"/>
                <w:sz w:val="24"/>
                <w:highlight w:val="none"/>
                <w:lang w:eastAsia="zh-CN" w:bidi="ar"/>
              </w:rPr>
              <w:t>），</w:t>
            </w:r>
            <w:r>
              <w:rPr>
                <w:rFonts w:hint="eastAsia" w:cs="Times New Roman"/>
                <w:bCs/>
                <w:color w:val="auto"/>
                <w:spacing w:val="6"/>
                <w:sz w:val="24"/>
                <w:highlight w:val="none"/>
                <w:lang w:val="en-US" w:eastAsia="zh-CN" w:bidi="ar"/>
              </w:rPr>
              <w:t>根据场地情况取1.187km。</w:t>
            </w:r>
          </w:p>
          <w:p w14:paraId="4EEE7A6D">
            <w:pPr>
              <w:rPr>
                <w:rFonts w:hint="default"/>
                <w:color w:val="0000FF"/>
                <w:lang w:val="en-US" w:eastAsia="zh-CN"/>
              </w:rPr>
            </w:pPr>
            <w:r>
              <w:rPr>
                <w:rFonts w:hint="eastAsia"/>
                <w:color w:val="0000FF"/>
                <w:lang w:val="en-US" w:eastAsia="zh-CN"/>
              </w:rPr>
              <w:t>根据上述公式计算，堆煤场道路扬尘量为0.674kg/</w:t>
            </w:r>
            <w:r>
              <w:rPr>
                <w:rFonts w:hint="default" w:ascii="Times New Roman" w:hAnsi="Times New Roman" w:eastAsia="宋体" w:cs="Times New Roman"/>
                <w:bCs/>
                <w:color w:val="0000FF"/>
                <w:spacing w:val="6"/>
                <w:sz w:val="24"/>
                <w:highlight w:val="none"/>
                <w:lang w:bidi="ar"/>
              </w:rPr>
              <w:t>km•辆</w:t>
            </w:r>
            <w:r>
              <w:rPr>
                <w:rFonts w:hint="eastAsia" w:ascii="Times New Roman" w:hAnsi="Times New Roman" w:cs="Times New Roman"/>
                <w:bCs/>
                <w:color w:val="0000FF"/>
                <w:spacing w:val="6"/>
                <w:sz w:val="24"/>
                <w:highlight w:val="none"/>
                <w:lang w:eastAsia="zh-CN" w:bidi="ar"/>
              </w:rPr>
              <w:t>，</w:t>
            </w:r>
            <w:r>
              <w:rPr>
                <w:rFonts w:hint="eastAsia" w:cs="Times New Roman"/>
                <w:bCs/>
                <w:color w:val="0000FF"/>
                <w:spacing w:val="6"/>
                <w:sz w:val="24"/>
                <w:highlight w:val="none"/>
                <w:lang w:val="en-US" w:eastAsia="zh-CN" w:bidi="ar"/>
              </w:rPr>
              <w:t>汽车运输总扬尘</w:t>
            </w:r>
            <w:r>
              <w:rPr>
                <w:rFonts w:hint="eastAsia" w:ascii="Times New Roman" w:hAnsi="Times New Roman" w:cs="Times New Roman"/>
                <w:bCs/>
                <w:color w:val="0000FF"/>
                <w:spacing w:val="6"/>
                <w:sz w:val="24"/>
                <w:highlight w:val="none"/>
                <w:lang w:val="en-US" w:eastAsia="zh-CN" w:bidi="ar"/>
              </w:rPr>
              <w:t>量为</w:t>
            </w:r>
            <w:r>
              <w:rPr>
                <w:rFonts w:hint="eastAsia" w:cs="Times New Roman"/>
                <w:bCs/>
                <w:color w:val="0000FF"/>
                <w:spacing w:val="6"/>
                <w:sz w:val="24"/>
                <w:highlight w:val="none"/>
                <w:lang w:val="en-US" w:eastAsia="zh-CN" w:bidi="ar"/>
              </w:rPr>
              <w:t>2.667</w:t>
            </w:r>
            <w:r>
              <w:rPr>
                <w:rFonts w:hint="eastAsia" w:ascii="Times New Roman" w:hAnsi="Times New Roman" w:cs="Times New Roman"/>
                <w:bCs/>
                <w:color w:val="0000FF"/>
                <w:spacing w:val="6"/>
                <w:sz w:val="24"/>
                <w:highlight w:val="none"/>
                <w:lang w:val="en-US" w:eastAsia="zh-CN" w:bidi="ar"/>
              </w:rPr>
              <w:t>t/a</w:t>
            </w:r>
            <w:r>
              <w:rPr>
                <w:rFonts w:hint="eastAsia" w:cs="Times New Roman"/>
                <w:bCs/>
                <w:color w:val="0000FF"/>
                <w:spacing w:val="6"/>
                <w:sz w:val="24"/>
                <w:highlight w:val="none"/>
                <w:lang w:val="en-US" w:eastAsia="zh-CN" w:bidi="ar"/>
              </w:rPr>
              <w:t>，产生速率为1.111</w:t>
            </w:r>
            <w:r>
              <w:rPr>
                <w:rFonts w:hint="eastAsia" w:ascii="Times New Roman" w:hAnsi="Times New Roman" w:eastAsia="宋体"/>
                <w:b w:val="0"/>
                <w:bCs w:val="0"/>
                <w:color w:val="0000FF"/>
                <w:sz w:val="24"/>
                <w:u w:val="none"/>
                <w:lang w:val="en-US" w:eastAsia="zh-CN"/>
              </w:rPr>
              <w:t>kg/h</w:t>
            </w:r>
            <w:r>
              <w:rPr>
                <w:rFonts w:hint="eastAsia" w:ascii="Times New Roman" w:hAnsi="Times New Roman" w:cs="Times New Roman"/>
                <w:bCs/>
                <w:color w:val="0000FF"/>
                <w:spacing w:val="6"/>
                <w:sz w:val="24"/>
                <w:highlight w:val="none"/>
                <w:lang w:val="en-US" w:eastAsia="zh-CN" w:bidi="ar"/>
              </w:rPr>
              <w:t>。</w:t>
            </w:r>
          </w:p>
          <w:p w14:paraId="27634A4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sz w:val="24"/>
                <w:lang w:val="en-US" w:eastAsia="zh-CN"/>
              </w:rPr>
            </w:pPr>
            <w:r>
              <w:rPr>
                <w:rFonts w:hint="eastAsia"/>
                <w:b/>
                <w:bCs/>
                <w:sz w:val="24"/>
                <w:lang w:val="en-US" w:eastAsia="zh-CN"/>
              </w:rPr>
              <w:t>治理措施：</w:t>
            </w:r>
            <w:r>
              <w:rPr>
                <w:rFonts w:hint="eastAsia"/>
                <w:b w:val="0"/>
                <w:bCs w:val="0"/>
                <w:color w:val="0000FF"/>
                <w:sz w:val="24"/>
                <w:lang w:val="en-US" w:eastAsia="zh-CN"/>
              </w:rPr>
              <w:t>采取篷布遮盖密闭运输、洒水降尘，降尘率可达70%，则车辆行驶动力扬尘排放量为0.800</w:t>
            </w:r>
            <w:r>
              <w:rPr>
                <w:rFonts w:hint="eastAsia" w:ascii="Times New Roman" w:hAnsi="Times New Roman" w:cs="Times New Roman"/>
                <w:bCs/>
                <w:color w:val="0000FF"/>
                <w:spacing w:val="6"/>
                <w:sz w:val="24"/>
                <w:highlight w:val="none"/>
                <w:lang w:val="en-US" w:eastAsia="zh-CN" w:bidi="ar"/>
              </w:rPr>
              <w:t>t/a，排放速率为</w:t>
            </w:r>
            <w:r>
              <w:rPr>
                <w:rFonts w:hint="eastAsia" w:cs="Times New Roman"/>
                <w:bCs/>
                <w:color w:val="0000FF"/>
                <w:spacing w:val="6"/>
                <w:sz w:val="24"/>
                <w:highlight w:val="none"/>
                <w:lang w:val="en-US" w:eastAsia="zh-CN" w:bidi="ar"/>
              </w:rPr>
              <w:t>0.333</w:t>
            </w:r>
            <w:r>
              <w:rPr>
                <w:rFonts w:hint="eastAsia" w:ascii="Times New Roman" w:hAnsi="Times New Roman" w:cs="Times New Roman"/>
                <w:bCs/>
                <w:color w:val="0000FF"/>
                <w:spacing w:val="6"/>
                <w:sz w:val="24"/>
                <w:highlight w:val="none"/>
                <w:lang w:val="en-US" w:eastAsia="zh-CN" w:bidi="ar"/>
              </w:rPr>
              <w:t>kg/h。</w:t>
            </w:r>
          </w:p>
          <w:p w14:paraId="0914FD7C">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lang w:val="en-US" w:eastAsia="zh-CN"/>
              </w:rPr>
            </w:pPr>
            <w:r>
              <w:rPr>
                <w:rFonts w:hint="eastAsia"/>
                <w:lang w:val="en-US" w:eastAsia="zh-CN"/>
              </w:rPr>
              <w:t>综上所述，本项目废气主要污染物产生情况见下表。</w:t>
            </w:r>
          </w:p>
          <w:p w14:paraId="51EAE23C">
            <w:pPr>
              <w:pStyle w:val="29"/>
              <w:bidi w:val="0"/>
              <w:rPr>
                <w:rFonts w:cs="Times New Roman"/>
                <w:color w:val="auto"/>
                <w:highlight w:val="none"/>
                <w:u w:val="none"/>
              </w:rPr>
            </w:pPr>
            <w:r>
              <w:rPr>
                <w:rFonts w:hint="default" w:ascii="Times New Roman" w:hAnsi="Times New Roman" w:eastAsia="宋体" w:cs="Times New Roman"/>
                <w:b/>
                <w:bCs/>
                <w:color w:val="auto"/>
                <w:highlight w:val="none"/>
                <w:u w:val="none"/>
              </w:rPr>
              <w:t>表4-</w:t>
            </w:r>
            <w:r>
              <w:rPr>
                <w:rFonts w:hint="eastAsia" w:ascii="Times New Roman" w:hAnsi="Times New Roman" w:eastAsia="宋体" w:cs="Times New Roman"/>
                <w:b/>
                <w:bCs/>
                <w:color w:val="auto"/>
                <w:highlight w:val="none"/>
                <w:u w:val="none"/>
                <w:lang w:val="en-US" w:eastAsia="zh-CN"/>
              </w:rPr>
              <w:t>1</w:t>
            </w:r>
            <w:r>
              <w:rPr>
                <w:rFonts w:hint="default" w:ascii="Times New Roman" w:hAnsi="Times New Roman" w:eastAsia="宋体" w:cs="Times New Roman"/>
                <w:b/>
                <w:bCs/>
                <w:color w:val="auto"/>
                <w:highlight w:val="none"/>
                <w:u w:val="none"/>
              </w:rPr>
              <w:t xml:space="preserve"> </w:t>
            </w:r>
            <w:r>
              <w:rPr>
                <w:rFonts w:hint="default" w:ascii="Times New Roman" w:hAnsi="Times New Roman" w:eastAsia="宋体" w:cs="Times New Roman"/>
                <w:b/>
                <w:bCs/>
                <w:color w:val="auto"/>
                <w:highlight w:val="none"/>
                <w:u w:val="none"/>
                <w:lang w:val="en-US" w:eastAsia="zh-CN"/>
              </w:rPr>
              <w:t xml:space="preserve"> </w:t>
            </w:r>
            <w:r>
              <w:rPr>
                <w:rFonts w:hint="default" w:ascii="Times New Roman" w:hAnsi="Times New Roman" w:eastAsia="宋体" w:cs="Times New Roman"/>
                <w:b/>
                <w:bCs/>
                <w:color w:val="auto"/>
                <w:highlight w:val="none"/>
                <w:u w:val="none"/>
              </w:rPr>
              <w:t>废气产生环节及产生源强表</w:t>
            </w:r>
          </w:p>
          <w:tbl>
            <w:tblPr>
              <w:tblStyle w:val="24"/>
              <w:tblW w:w="745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4"/>
              <w:gridCol w:w="1015"/>
              <w:gridCol w:w="1356"/>
              <w:gridCol w:w="1404"/>
              <w:gridCol w:w="1568"/>
            </w:tblGrid>
            <w:tr w14:paraId="37861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2114" w:type="dxa"/>
                  <w:tcBorders>
                    <w:tl2br w:val="nil"/>
                    <w:tr2bl w:val="nil"/>
                  </w:tcBorders>
                  <w:vAlign w:val="center"/>
                </w:tcPr>
                <w:p w14:paraId="72670802">
                  <w:pPr>
                    <w:pStyle w:val="33"/>
                    <w:bidi w:val="0"/>
                    <w:jc w:val="center"/>
                    <w:rPr>
                      <w:rFonts w:hint="default"/>
                      <w:b/>
                      <w:bCs/>
                      <w:lang w:val="en-US" w:eastAsia="zh-CN"/>
                    </w:rPr>
                  </w:pPr>
                  <w:r>
                    <w:rPr>
                      <w:rFonts w:hint="eastAsia"/>
                      <w:b/>
                      <w:bCs/>
                      <w:lang w:val="en-US" w:eastAsia="zh-CN"/>
                    </w:rPr>
                    <w:t>废气名称</w:t>
                  </w:r>
                </w:p>
              </w:tc>
              <w:tc>
                <w:tcPr>
                  <w:tcW w:w="1015" w:type="dxa"/>
                  <w:tcBorders>
                    <w:tl2br w:val="nil"/>
                    <w:tr2bl w:val="nil"/>
                  </w:tcBorders>
                  <w:vAlign w:val="center"/>
                </w:tcPr>
                <w:p w14:paraId="0711F2FC">
                  <w:pPr>
                    <w:pStyle w:val="33"/>
                    <w:bidi w:val="0"/>
                    <w:jc w:val="center"/>
                    <w:rPr>
                      <w:rFonts w:hint="default"/>
                      <w:b/>
                      <w:bCs/>
                      <w:lang w:val="en-US" w:eastAsia="zh-CN"/>
                    </w:rPr>
                  </w:pPr>
                  <w:r>
                    <w:rPr>
                      <w:rFonts w:hint="eastAsia"/>
                      <w:b/>
                      <w:bCs/>
                      <w:lang w:val="en-US" w:eastAsia="zh-CN"/>
                    </w:rPr>
                    <w:t>污染物种类</w:t>
                  </w:r>
                </w:p>
              </w:tc>
              <w:tc>
                <w:tcPr>
                  <w:tcW w:w="1356" w:type="dxa"/>
                  <w:tcBorders>
                    <w:tl2br w:val="nil"/>
                    <w:tr2bl w:val="nil"/>
                  </w:tcBorders>
                  <w:vAlign w:val="center"/>
                </w:tcPr>
                <w:p w14:paraId="018DD297">
                  <w:pPr>
                    <w:pStyle w:val="33"/>
                    <w:bidi w:val="0"/>
                    <w:jc w:val="center"/>
                    <w:rPr>
                      <w:rFonts w:hint="default"/>
                      <w:b/>
                      <w:bCs/>
                      <w:lang w:val="en-US" w:eastAsia="zh-CN"/>
                    </w:rPr>
                  </w:pPr>
                  <w:r>
                    <w:rPr>
                      <w:rFonts w:hint="eastAsia"/>
                      <w:b/>
                      <w:bCs/>
                      <w:lang w:val="en-US" w:eastAsia="zh-CN"/>
                    </w:rPr>
                    <w:t>运行时间（h）</w:t>
                  </w:r>
                </w:p>
              </w:tc>
              <w:tc>
                <w:tcPr>
                  <w:tcW w:w="1404" w:type="dxa"/>
                  <w:tcBorders>
                    <w:tl2br w:val="nil"/>
                    <w:tr2bl w:val="nil"/>
                  </w:tcBorders>
                  <w:vAlign w:val="center"/>
                </w:tcPr>
                <w:p w14:paraId="7E811CB4">
                  <w:pPr>
                    <w:pStyle w:val="33"/>
                    <w:bidi w:val="0"/>
                    <w:jc w:val="center"/>
                    <w:rPr>
                      <w:rFonts w:hint="default"/>
                      <w:b/>
                      <w:bCs/>
                      <w:lang w:val="en-US" w:eastAsia="zh-CN"/>
                    </w:rPr>
                  </w:pPr>
                  <w:r>
                    <w:rPr>
                      <w:rFonts w:hint="eastAsia"/>
                      <w:b/>
                      <w:bCs/>
                      <w:lang w:val="en-US" w:eastAsia="zh-CN"/>
                    </w:rPr>
                    <w:t>产生量（t/a）</w:t>
                  </w:r>
                </w:p>
              </w:tc>
              <w:tc>
                <w:tcPr>
                  <w:tcW w:w="1568" w:type="dxa"/>
                  <w:tcBorders>
                    <w:tl2br w:val="nil"/>
                    <w:tr2bl w:val="nil"/>
                  </w:tcBorders>
                  <w:vAlign w:val="center"/>
                </w:tcPr>
                <w:p w14:paraId="36ADFE27">
                  <w:pPr>
                    <w:pStyle w:val="33"/>
                    <w:bidi w:val="0"/>
                    <w:jc w:val="center"/>
                    <w:rPr>
                      <w:rFonts w:hint="default"/>
                      <w:b/>
                      <w:bCs/>
                      <w:lang w:val="en-US" w:eastAsia="zh-CN"/>
                    </w:rPr>
                  </w:pPr>
                  <w:r>
                    <w:rPr>
                      <w:rFonts w:hint="eastAsia"/>
                      <w:b/>
                      <w:bCs/>
                      <w:lang w:val="en-US" w:eastAsia="zh-CN"/>
                    </w:rPr>
                    <w:t>产生速率（kg/h）</w:t>
                  </w:r>
                </w:p>
              </w:tc>
            </w:tr>
            <w:tr w14:paraId="22290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4" w:type="dxa"/>
                  <w:tcBorders>
                    <w:tl2br w:val="nil"/>
                    <w:tr2bl w:val="nil"/>
                  </w:tcBorders>
                  <w:vAlign w:val="center"/>
                </w:tcPr>
                <w:p w14:paraId="2124207B">
                  <w:pPr>
                    <w:pStyle w:val="33"/>
                    <w:bidi w:val="0"/>
                    <w:jc w:val="center"/>
                    <w:rPr>
                      <w:rFonts w:hint="default"/>
                      <w:lang w:val="en-US" w:eastAsia="zh-CN"/>
                    </w:rPr>
                  </w:pPr>
                  <w:r>
                    <w:rPr>
                      <w:rFonts w:hint="eastAsia"/>
                      <w:lang w:val="en-US" w:eastAsia="zh-CN"/>
                    </w:rPr>
                    <w:t>煤炭堆放及装卸扬尘</w:t>
                  </w:r>
                </w:p>
              </w:tc>
              <w:tc>
                <w:tcPr>
                  <w:tcW w:w="1015" w:type="dxa"/>
                  <w:vMerge w:val="restart"/>
                  <w:tcBorders>
                    <w:tl2br w:val="nil"/>
                    <w:tr2bl w:val="nil"/>
                  </w:tcBorders>
                  <w:vAlign w:val="center"/>
                </w:tcPr>
                <w:p w14:paraId="7980AE57">
                  <w:pPr>
                    <w:pStyle w:val="33"/>
                    <w:bidi w:val="0"/>
                    <w:jc w:val="center"/>
                    <w:rPr>
                      <w:rFonts w:hint="default"/>
                      <w:lang w:val="en-US" w:eastAsia="zh-CN"/>
                    </w:rPr>
                  </w:pPr>
                  <w:r>
                    <w:rPr>
                      <w:rFonts w:hint="eastAsia"/>
                      <w:lang w:val="en-US" w:eastAsia="zh-CN"/>
                    </w:rPr>
                    <w:t>颗粒物</w:t>
                  </w:r>
                </w:p>
              </w:tc>
              <w:tc>
                <w:tcPr>
                  <w:tcW w:w="1356" w:type="dxa"/>
                  <w:tcBorders>
                    <w:tl2br w:val="nil"/>
                    <w:tr2bl w:val="nil"/>
                  </w:tcBorders>
                  <w:vAlign w:val="center"/>
                </w:tcPr>
                <w:p w14:paraId="63063041">
                  <w:pPr>
                    <w:pStyle w:val="33"/>
                    <w:bidi w:val="0"/>
                    <w:jc w:val="center"/>
                    <w:rPr>
                      <w:rFonts w:hint="default"/>
                      <w:lang w:val="en-US" w:eastAsia="zh-CN"/>
                    </w:rPr>
                  </w:pPr>
                  <w:r>
                    <w:rPr>
                      <w:rFonts w:hint="eastAsia"/>
                      <w:lang w:val="en-US" w:eastAsia="zh-CN"/>
                    </w:rPr>
                    <w:t>7200</w:t>
                  </w:r>
                </w:p>
              </w:tc>
              <w:tc>
                <w:tcPr>
                  <w:tcW w:w="1404" w:type="dxa"/>
                  <w:tcBorders>
                    <w:tl2br w:val="nil"/>
                    <w:tr2bl w:val="nil"/>
                  </w:tcBorders>
                  <w:vAlign w:val="center"/>
                </w:tcPr>
                <w:p w14:paraId="28A47B8F">
                  <w:pPr>
                    <w:pStyle w:val="33"/>
                    <w:bidi w:val="0"/>
                    <w:jc w:val="center"/>
                    <w:rPr>
                      <w:rFonts w:hint="default"/>
                      <w:lang w:val="en-US" w:eastAsia="zh-CN"/>
                    </w:rPr>
                  </w:pPr>
                  <w:r>
                    <w:rPr>
                      <w:rFonts w:hint="eastAsia"/>
                      <w:lang w:val="en-US" w:eastAsia="zh-CN"/>
                    </w:rPr>
                    <w:t>1058.702</w:t>
                  </w:r>
                </w:p>
              </w:tc>
              <w:tc>
                <w:tcPr>
                  <w:tcW w:w="1568" w:type="dxa"/>
                  <w:tcBorders>
                    <w:tl2br w:val="nil"/>
                    <w:tr2bl w:val="nil"/>
                  </w:tcBorders>
                  <w:vAlign w:val="center"/>
                </w:tcPr>
                <w:p w14:paraId="5DAD1D01">
                  <w:pPr>
                    <w:pStyle w:val="33"/>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147.042</w:t>
                  </w:r>
                </w:p>
              </w:tc>
            </w:tr>
            <w:tr w14:paraId="4DB11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4" w:type="dxa"/>
                  <w:tcBorders>
                    <w:tl2br w:val="nil"/>
                    <w:tr2bl w:val="nil"/>
                  </w:tcBorders>
                  <w:vAlign w:val="center"/>
                </w:tcPr>
                <w:p w14:paraId="27810275">
                  <w:pPr>
                    <w:pStyle w:val="33"/>
                    <w:bidi w:val="0"/>
                    <w:jc w:val="center"/>
                    <w:rPr>
                      <w:rFonts w:hint="default"/>
                      <w:lang w:val="en-US" w:eastAsia="zh-CN"/>
                    </w:rPr>
                  </w:pPr>
                  <w:r>
                    <w:rPr>
                      <w:rFonts w:hint="eastAsia"/>
                      <w:lang w:val="en-US" w:eastAsia="zh-CN"/>
                    </w:rPr>
                    <w:t>车辆行驶动力扬尘</w:t>
                  </w:r>
                </w:p>
              </w:tc>
              <w:tc>
                <w:tcPr>
                  <w:tcW w:w="1015" w:type="dxa"/>
                  <w:vMerge w:val="continue"/>
                  <w:tcBorders>
                    <w:tl2br w:val="nil"/>
                    <w:tr2bl w:val="nil"/>
                  </w:tcBorders>
                  <w:vAlign w:val="center"/>
                </w:tcPr>
                <w:p w14:paraId="41FA034D">
                  <w:pPr>
                    <w:pStyle w:val="33"/>
                    <w:bidi w:val="0"/>
                    <w:jc w:val="center"/>
                    <w:rPr>
                      <w:rFonts w:hint="eastAsia"/>
                      <w:lang w:val="en-US" w:eastAsia="zh-CN"/>
                    </w:rPr>
                  </w:pPr>
                </w:p>
              </w:tc>
              <w:tc>
                <w:tcPr>
                  <w:tcW w:w="1356" w:type="dxa"/>
                  <w:tcBorders>
                    <w:tl2br w:val="nil"/>
                    <w:tr2bl w:val="nil"/>
                  </w:tcBorders>
                  <w:vAlign w:val="center"/>
                </w:tcPr>
                <w:p w14:paraId="087486DA">
                  <w:pPr>
                    <w:pStyle w:val="33"/>
                    <w:bidi w:val="0"/>
                    <w:jc w:val="center"/>
                    <w:rPr>
                      <w:rFonts w:hint="default"/>
                      <w:lang w:val="en-US" w:eastAsia="zh-CN"/>
                    </w:rPr>
                  </w:pPr>
                  <w:r>
                    <w:rPr>
                      <w:rFonts w:hint="eastAsia"/>
                      <w:lang w:val="en-US" w:eastAsia="zh-CN"/>
                    </w:rPr>
                    <w:t>2400</w:t>
                  </w:r>
                </w:p>
              </w:tc>
              <w:tc>
                <w:tcPr>
                  <w:tcW w:w="1404" w:type="dxa"/>
                  <w:tcBorders>
                    <w:tl2br w:val="nil"/>
                    <w:tr2bl w:val="nil"/>
                  </w:tcBorders>
                  <w:vAlign w:val="center"/>
                </w:tcPr>
                <w:p w14:paraId="768D0278">
                  <w:pPr>
                    <w:pStyle w:val="33"/>
                    <w:bidi w:val="0"/>
                    <w:jc w:val="center"/>
                    <w:rPr>
                      <w:rFonts w:hint="default"/>
                      <w:lang w:val="en-US" w:eastAsia="zh-CN"/>
                    </w:rPr>
                  </w:pPr>
                  <w:r>
                    <w:rPr>
                      <w:rFonts w:hint="eastAsia"/>
                      <w:lang w:val="en-US" w:eastAsia="zh-CN"/>
                    </w:rPr>
                    <w:t>0.981</w:t>
                  </w:r>
                </w:p>
              </w:tc>
              <w:tc>
                <w:tcPr>
                  <w:tcW w:w="1568" w:type="dxa"/>
                  <w:tcBorders>
                    <w:tl2br w:val="nil"/>
                    <w:tr2bl w:val="nil"/>
                  </w:tcBorders>
                  <w:vAlign w:val="center"/>
                </w:tcPr>
                <w:p w14:paraId="474915B6">
                  <w:pPr>
                    <w:pStyle w:val="33"/>
                    <w:bidi w:val="0"/>
                    <w:ind w:firstLine="0" w:firstLineChars="0"/>
                    <w:jc w:val="center"/>
                    <w:rPr>
                      <w:rFonts w:hint="default"/>
                      <w:lang w:val="en-US" w:eastAsia="zh-CN"/>
                    </w:rPr>
                  </w:pPr>
                  <w:r>
                    <w:rPr>
                      <w:rFonts w:hint="eastAsia"/>
                      <w:lang w:val="en-US" w:eastAsia="zh-CN"/>
                    </w:rPr>
                    <w:t>0.409</w:t>
                  </w:r>
                </w:p>
              </w:tc>
            </w:tr>
            <w:tr w14:paraId="0806A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4" w:type="dxa"/>
                  <w:tcBorders>
                    <w:tl2br w:val="nil"/>
                    <w:tr2bl w:val="nil"/>
                  </w:tcBorders>
                  <w:vAlign w:val="center"/>
                </w:tcPr>
                <w:p w14:paraId="2C609754">
                  <w:pPr>
                    <w:pStyle w:val="33"/>
                    <w:bidi w:val="0"/>
                    <w:jc w:val="center"/>
                    <w:rPr>
                      <w:rFonts w:hint="default"/>
                      <w:lang w:val="en-US" w:eastAsia="zh-CN"/>
                    </w:rPr>
                  </w:pPr>
                  <w:r>
                    <w:rPr>
                      <w:rFonts w:hint="eastAsia"/>
                      <w:lang w:val="en-US" w:eastAsia="zh-CN"/>
                    </w:rPr>
                    <w:t>混料扬尘</w:t>
                  </w:r>
                </w:p>
              </w:tc>
              <w:tc>
                <w:tcPr>
                  <w:tcW w:w="1015" w:type="dxa"/>
                  <w:vMerge w:val="continue"/>
                  <w:tcBorders>
                    <w:tl2br w:val="nil"/>
                    <w:tr2bl w:val="nil"/>
                  </w:tcBorders>
                  <w:vAlign w:val="center"/>
                </w:tcPr>
                <w:p w14:paraId="3EA0629C">
                  <w:pPr>
                    <w:pStyle w:val="33"/>
                    <w:bidi w:val="0"/>
                    <w:jc w:val="center"/>
                    <w:rPr>
                      <w:rFonts w:hint="eastAsia"/>
                      <w:lang w:val="en-US" w:eastAsia="zh-CN"/>
                    </w:rPr>
                  </w:pPr>
                </w:p>
              </w:tc>
              <w:tc>
                <w:tcPr>
                  <w:tcW w:w="1356" w:type="dxa"/>
                  <w:tcBorders>
                    <w:tl2br w:val="nil"/>
                    <w:tr2bl w:val="nil"/>
                  </w:tcBorders>
                  <w:vAlign w:val="center"/>
                </w:tcPr>
                <w:p w14:paraId="2B278023">
                  <w:pPr>
                    <w:pStyle w:val="33"/>
                    <w:bidi w:val="0"/>
                    <w:jc w:val="center"/>
                    <w:rPr>
                      <w:rFonts w:hint="default"/>
                      <w:lang w:val="en-US" w:eastAsia="zh-CN"/>
                    </w:rPr>
                  </w:pPr>
                  <w:r>
                    <w:rPr>
                      <w:rFonts w:hint="eastAsia"/>
                      <w:lang w:val="en-US" w:eastAsia="zh-CN"/>
                    </w:rPr>
                    <w:t>2400</w:t>
                  </w:r>
                </w:p>
              </w:tc>
              <w:tc>
                <w:tcPr>
                  <w:tcW w:w="1404" w:type="dxa"/>
                  <w:tcBorders>
                    <w:tl2br w:val="nil"/>
                    <w:tr2bl w:val="nil"/>
                  </w:tcBorders>
                  <w:vAlign w:val="center"/>
                </w:tcPr>
                <w:p w14:paraId="6E99DEA2">
                  <w:pPr>
                    <w:pStyle w:val="33"/>
                    <w:bidi w:val="0"/>
                    <w:jc w:val="center"/>
                    <w:rPr>
                      <w:rFonts w:hint="default"/>
                      <w:lang w:val="en-US" w:eastAsia="zh-CN"/>
                    </w:rPr>
                  </w:pPr>
                  <w:r>
                    <w:rPr>
                      <w:rFonts w:hint="eastAsia"/>
                      <w:lang w:val="en-US" w:eastAsia="zh-CN"/>
                    </w:rPr>
                    <w:t>10</w:t>
                  </w:r>
                </w:p>
              </w:tc>
              <w:tc>
                <w:tcPr>
                  <w:tcW w:w="1568" w:type="dxa"/>
                  <w:tcBorders>
                    <w:tl2br w:val="nil"/>
                    <w:tr2bl w:val="nil"/>
                  </w:tcBorders>
                  <w:vAlign w:val="center"/>
                </w:tcPr>
                <w:p w14:paraId="188D1C5C">
                  <w:pPr>
                    <w:pStyle w:val="33"/>
                    <w:bidi w:val="0"/>
                    <w:ind w:firstLine="0" w:firstLineChars="0"/>
                    <w:jc w:val="center"/>
                    <w:rPr>
                      <w:rFonts w:hint="default"/>
                      <w:lang w:val="en-US" w:eastAsia="zh-CN"/>
                    </w:rPr>
                  </w:pPr>
                  <w:r>
                    <w:rPr>
                      <w:rFonts w:hint="eastAsia"/>
                      <w:lang w:val="en-US" w:eastAsia="zh-CN"/>
                    </w:rPr>
                    <w:t>0.04</w:t>
                  </w:r>
                </w:p>
              </w:tc>
            </w:tr>
          </w:tbl>
          <w:p w14:paraId="7FD87536">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b w:val="0"/>
                <w:bCs w:val="0"/>
                <w:sz w:val="24"/>
                <w:lang w:val="en-US" w:eastAsia="zh-CN"/>
              </w:rPr>
            </w:pPr>
          </w:p>
          <w:p w14:paraId="3C83E4FE">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b w:val="0"/>
                <w:bCs w:val="0"/>
                <w:sz w:val="24"/>
                <w:lang w:val="en-US" w:eastAsia="zh-CN"/>
              </w:rPr>
            </w:pPr>
          </w:p>
          <w:p w14:paraId="47E8309F">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b w:val="0"/>
                <w:bCs w:val="0"/>
                <w:sz w:val="24"/>
                <w:lang w:val="en-US" w:eastAsia="zh-CN"/>
              </w:rPr>
            </w:pPr>
          </w:p>
          <w:p w14:paraId="483350FC">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b w:val="0"/>
                <w:bCs w:val="0"/>
                <w:sz w:val="24"/>
                <w:lang w:val="en-US" w:eastAsia="zh-CN"/>
              </w:rPr>
            </w:pPr>
          </w:p>
          <w:p w14:paraId="7B5102E9">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b w:val="0"/>
                <w:bCs w:val="0"/>
                <w:sz w:val="24"/>
                <w:lang w:val="en-US" w:eastAsia="zh-CN"/>
              </w:rPr>
            </w:pPr>
          </w:p>
          <w:p w14:paraId="46EA2D87">
            <w:pPr>
              <w:pStyle w:val="3"/>
              <w:ind w:left="0" w:leftChars="0" w:firstLine="0" w:firstLineChars="0"/>
              <w:outlineLvl w:val="9"/>
              <w:rPr>
                <w:rFonts w:hint="default"/>
                <w:lang w:val="en-US" w:eastAsia="zh-CN"/>
              </w:rPr>
            </w:pPr>
          </w:p>
        </w:tc>
        <w:tc>
          <w:tcPr>
            <w:tcW w:w="389" w:type="dxa"/>
          </w:tcPr>
          <w:p w14:paraId="20180B49">
            <w:pPr>
              <w:bidi w:val="0"/>
              <w:rPr>
                <w:rFonts w:hint="default"/>
                <w:b w:val="0"/>
                <w:bCs w:val="0"/>
                <w:sz w:val="24"/>
                <w:lang w:val="en-US" w:eastAsia="zh-CN"/>
              </w:rPr>
            </w:pPr>
          </w:p>
        </w:tc>
      </w:tr>
    </w:tbl>
    <w:p w14:paraId="3D7157A4">
      <w:pPr>
        <w:bidi w:val="0"/>
        <w:ind w:left="0" w:leftChars="0" w:firstLine="0" w:firstLineChars="0"/>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4"/>
        <w:tblW w:w="132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12805"/>
      </w:tblGrid>
      <w:tr w14:paraId="62194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tcPr>
          <w:p w14:paraId="105B2496">
            <w:pPr>
              <w:pStyle w:val="12"/>
              <w:rPr>
                <w:rFonts w:hint="eastAsia"/>
                <w:vertAlign w:val="baseline"/>
              </w:rPr>
            </w:pPr>
          </w:p>
        </w:tc>
        <w:tc>
          <w:tcPr>
            <w:tcW w:w="12805" w:type="dxa"/>
          </w:tcPr>
          <w:p w14:paraId="0D41B93D">
            <w:pPr>
              <w:pStyle w:val="29"/>
              <w:bidi w:val="0"/>
              <w:rPr>
                <w:rFonts w:hint="default"/>
                <w:highlight w:val="none"/>
                <w:lang w:val="en-US" w:eastAsia="zh-CN"/>
              </w:rPr>
            </w:pPr>
            <w:r>
              <w:rPr>
                <w:rFonts w:hint="default" w:ascii="Times New Roman" w:hAnsi="Times New Roman" w:eastAsia="宋体" w:cs="Times New Roman"/>
                <w:b/>
                <w:bCs/>
                <w:highlight w:val="none"/>
                <w:lang w:val="en-US" w:eastAsia="zh-CN"/>
              </w:rPr>
              <w:t>表4-2  本项目废气产排情况及废气处理设施一览表</w:t>
            </w:r>
          </w:p>
          <w:tbl>
            <w:tblPr>
              <w:tblStyle w:val="24"/>
              <w:tblW w:w="125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4"/>
              <w:gridCol w:w="945"/>
              <w:gridCol w:w="1740"/>
              <w:gridCol w:w="830"/>
              <w:gridCol w:w="831"/>
              <w:gridCol w:w="990"/>
              <w:gridCol w:w="390"/>
              <w:gridCol w:w="960"/>
              <w:gridCol w:w="1142"/>
              <w:gridCol w:w="1020"/>
              <w:gridCol w:w="1138"/>
              <w:gridCol w:w="1114"/>
            </w:tblGrid>
            <w:tr w14:paraId="25B11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84" w:type="dxa"/>
                  <w:vMerge w:val="restart"/>
                  <w:vAlign w:val="center"/>
                </w:tcPr>
                <w:p w14:paraId="0B365135">
                  <w:pPr>
                    <w:pStyle w:val="33"/>
                    <w:jc w:val="center"/>
                    <w:rPr>
                      <w:rFonts w:ascii="Times New Roman" w:hAnsi="Times New Roman" w:eastAsia="宋体"/>
                      <w:b/>
                      <w:color w:val="0000FF"/>
                      <w:sz w:val="21"/>
                      <w:u w:val="none"/>
                    </w:rPr>
                  </w:pPr>
                  <w:r>
                    <w:rPr>
                      <w:rFonts w:ascii="Times New Roman" w:hAnsi="Times New Roman" w:eastAsia="宋体"/>
                      <w:b/>
                      <w:color w:val="0000FF"/>
                      <w:sz w:val="21"/>
                      <w:u w:val="none"/>
                    </w:rPr>
                    <w:t>废气名称</w:t>
                  </w:r>
                </w:p>
              </w:tc>
              <w:tc>
                <w:tcPr>
                  <w:tcW w:w="945" w:type="dxa"/>
                  <w:vMerge w:val="restart"/>
                  <w:vAlign w:val="center"/>
                </w:tcPr>
                <w:p w14:paraId="41B64F6E">
                  <w:pPr>
                    <w:pStyle w:val="33"/>
                    <w:jc w:val="center"/>
                    <w:rPr>
                      <w:rFonts w:hint="eastAsia" w:ascii="Times New Roman" w:hAnsi="Times New Roman" w:eastAsia="宋体"/>
                      <w:b/>
                      <w:color w:val="0000FF"/>
                      <w:sz w:val="21"/>
                      <w:u w:val="none"/>
                      <w:lang w:val="en-US" w:eastAsia="zh-CN"/>
                    </w:rPr>
                  </w:pPr>
                  <w:r>
                    <w:rPr>
                      <w:rFonts w:hint="eastAsia"/>
                      <w:b/>
                      <w:color w:val="0000FF"/>
                      <w:sz w:val="21"/>
                      <w:u w:val="none"/>
                      <w:lang w:val="en-US" w:eastAsia="zh-CN"/>
                    </w:rPr>
                    <w:t>污染物</w:t>
                  </w:r>
                </w:p>
              </w:tc>
              <w:tc>
                <w:tcPr>
                  <w:tcW w:w="1740" w:type="dxa"/>
                  <w:vMerge w:val="restart"/>
                  <w:vAlign w:val="center"/>
                </w:tcPr>
                <w:p w14:paraId="35A16CD1">
                  <w:pPr>
                    <w:pStyle w:val="33"/>
                    <w:jc w:val="center"/>
                    <w:rPr>
                      <w:rFonts w:ascii="Times New Roman" w:hAnsi="Times New Roman" w:eastAsia="宋体"/>
                      <w:b/>
                      <w:color w:val="0000FF"/>
                      <w:sz w:val="21"/>
                      <w:u w:val="none"/>
                    </w:rPr>
                  </w:pPr>
                  <w:r>
                    <w:rPr>
                      <w:rFonts w:ascii="Times New Roman" w:hAnsi="Times New Roman" w:eastAsia="宋体"/>
                      <w:b/>
                      <w:color w:val="0000FF"/>
                      <w:sz w:val="21"/>
                      <w:u w:val="none"/>
                    </w:rPr>
                    <w:t>废气收集及处理措施</w:t>
                  </w:r>
                </w:p>
              </w:tc>
              <w:tc>
                <w:tcPr>
                  <w:tcW w:w="830" w:type="dxa"/>
                  <w:vMerge w:val="restart"/>
                  <w:vAlign w:val="center"/>
                </w:tcPr>
                <w:p w14:paraId="22E0E03D">
                  <w:pPr>
                    <w:pStyle w:val="33"/>
                    <w:ind w:firstLine="0" w:firstLineChars="0"/>
                    <w:jc w:val="center"/>
                    <w:rPr>
                      <w:rFonts w:hint="default" w:ascii="Times New Roman" w:hAnsi="Times New Roman" w:eastAsia="宋体"/>
                      <w:b/>
                      <w:color w:val="0000FF"/>
                      <w:sz w:val="21"/>
                      <w:u w:val="none"/>
                      <w:lang w:val="en-US"/>
                    </w:rPr>
                  </w:pPr>
                  <w:r>
                    <w:rPr>
                      <w:rFonts w:hint="eastAsia" w:ascii="Times New Roman" w:hAnsi="Times New Roman" w:eastAsia="宋体"/>
                      <w:b/>
                      <w:color w:val="0000FF"/>
                      <w:sz w:val="21"/>
                      <w:u w:val="none"/>
                      <w:lang w:val="en-US" w:eastAsia="zh-CN"/>
                    </w:rPr>
                    <w:t>产生</w:t>
                  </w:r>
                  <w:r>
                    <w:rPr>
                      <w:rFonts w:ascii="Times New Roman" w:hAnsi="Times New Roman" w:eastAsia="宋体"/>
                      <w:b/>
                      <w:color w:val="0000FF"/>
                      <w:sz w:val="21"/>
                      <w:u w:val="none"/>
                    </w:rPr>
                    <w:t>量（</w:t>
                  </w:r>
                  <w:r>
                    <w:rPr>
                      <w:rFonts w:hint="eastAsia" w:ascii="Times New Roman" w:hAnsi="Times New Roman" w:eastAsia="宋体"/>
                      <w:b/>
                      <w:color w:val="0000FF"/>
                      <w:sz w:val="21"/>
                      <w:u w:val="none"/>
                    </w:rPr>
                    <w:t>t/a）</w:t>
                  </w:r>
                </w:p>
              </w:tc>
              <w:tc>
                <w:tcPr>
                  <w:tcW w:w="831" w:type="dxa"/>
                  <w:vMerge w:val="restart"/>
                  <w:vAlign w:val="center"/>
                </w:tcPr>
                <w:p w14:paraId="194685D2">
                  <w:pPr>
                    <w:pStyle w:val="33"/>
                    <w:ind w:firstLine="0" w:firstLineChars="0"/>
                    <w:jc w:val="center"/>
                    <w:rPr>
                      <w:rFonts w:hint="eastAsia" w:ascii="Times New Roman" w:hAnsi="Times New Roman" w:eastAsia="宋体"/>
                      <w:b/>
                      <w:color w:val="0000FF"/>
                      <w:sz w:val="21"/>
                      <w:u w:val="none"/>
                      <w:lang w:val="en-US" w:eastAsia="zh-CN"/>
                    </w:rPr>
                  </w:pPr>
                  <w:r>
                    <w:rPr>
                      <w:rFonts w:hint="eastAsia" w:ascii="Times New Roman" w:hAnsi="Times New Roman" w:eastAsia="宋体"/>
                      <w:b/>
                      <w:color w:val="0000FF"/>
                      <w:sz w:val="21"/>
                      <w:u w:val="none"/>
                      <w:lang w:val="en-US" w:eastAsia="zh-CN"/>
                    </w:rPr>
                    <w:t>产生</w:t>
                  </w:r>
                  <w:r>
                    <w:rPr>
                      <w:rFonts w:ascii="Times New Roman" w:hAnsi="Times New Roman" w:eastAsia="宋体"/>
                      <w:b/>
                      <w:color w:val="0000FF"/>
                      <w:sz w:val="21"/>
                      <w:u w:val="none"/>
                    </w:rPr>
                    <w:t>速率（</w:t>
                  </w:r>
                  <w:r>
                    <w:rPr>
                      <w:rFonts w:hint="eastAsia" w:ascii="Times New Roman" w:hAnsi="Times New Roman" w:eastAsia="宋体"/>
                      <w:b/>
                      <w:color w:val="0000FF"/>
                      <w:sz w:val="21"/>
                      <w:u w:val="none"/>
                    </w:rPr>
                    <w:t>kg/h</w:t>
                  </w:r>
                  <w:r>
                    <w:rPr>
                      <w:rFonts w:ascii="Times New Roman" w:hAnsi="Times New Roman" w:eastAsia="宋体"/>
                      <w:b/>
                      <w:color w:val="0000FF"/>
                      <w:sz w:val="21"/>
                      <w:u w:val="none"/>
                    </w:rPr>
                    <w:t>）</w:t>
                  </w:r>
                </w:p>
              </w:tc>
              <w:tc>
                <w:tcPr>
                  <w:tcW w:w="990" w:type="dxa"/>
                  <w:vMerge w:val="restart"/>
                  <w:vAlign w:val="center"/>
                </w:tcPr>
                <w:p w14:paraId="7641F30F">
                  <w:pPr>
                    <w:pStyle w:val="33"/>
                    <w:jc w:val="center"/>
                    <w:rPr>
                      <w:rFonts w:hint="eastAsia" w:ascii="Times New Roman" w:hAnsi="Times New Roman" w:eastAsia="宋体"/>
                      <w:b/>
                      <w:color w:val="0000FF"/>
                      <w:sz w:val="21"/>
                      <w:u w:val="none"/>
                    </w:rPr>
                  </w:pPr>
                  <w:r>
                    <w:rPr>
                      <w:rFonts w:hint="default" w:ascii="Times New Roman" w:hAnsi="Times New Roman" w:eastAsia="宋体"/>
                      <w:b/>
                      <w:bCs/>
                      <w:color w:val="0000FF"/>
                      <w:sz w:val="21"/>
                      <w:u w:val="none"/>
                      <w:vertAlign w:val="baseline"/>
                      <w:lang w:val="en-US" w:eastAsia="zh-CN"/>
                    </w:rPr>
                    <w:t>是否为可行技术</w:t>
                  </w:r>
                </w:p>
              </w:tc>
              <w:tc>
                <w:tcPr>
                  <w:tcW w:w="390" w:type="dxa"/>
                  <w:vMerge w:val="restart"/>
                  <w:vAlign w:val="center"/>
                </w:tcPr>
                <w:p w14:paraId="4FD89485">
                  <w:pPr>
                    <w:pStyle w:val="33"/>
                    <w:jc w:val="center"/>
                    <w:rPr>
                      <w:rFonts w:ascii="Times New Roman" w:hAnsi="Times New Roman" w:eastAsia="宋体"/>
                      <w:b/>
                      <w:color w:val="0000FF"/>
                      <w:sz w:val="21"/>
                      <w:u w:val="none"/>
                    </w:rPr>
                  </w:pPr>
                  <w:r>
                    <w:rPr>
                      <w:rFonts w:hint="eastAsia" w:ascii="Times New Roman" w:hAnsi="Times New Roman" w:eastAsia="宋体"/>
                      <w:b/>
                      <w:color w:val="0000FF"/>
                      <w:sz w:val="21"/>
                      <w:u w:val="none"/>
                    </w:rPr>
                    <w:t>排放</w:t>
                  </w:r>
                </w:p>
                <w:p w14:paraId="5E791114">
                  <w:pPr>
                    <w:pStyle w:val="33"/>
                    <w:jc w:val="center"/>
                    <w:rPr>
                      <w:rFonts w:ascii="Times New Roman" w:hAnsi="Times New Roman" w:eastAsia="宋体"/>
                      <w:b/>
                      <w:color w:val="0000FF"/>
                      <w:sz w:val="21"/>
                      <w:u w:val="none"/>
                    </w:rPr>
                  </w:pPr>
                  <w:r>
                    <w:rPr>
                      <w:rFonts w:hint="eastAsia" w:ascii="Times New Roman" w:hAnsi="Times New Roman" w:eastAsia="宋体"/>
                      <w:b/>
                      <w:color w:val="0000FF"/>
                      <w:sz w:val="21"/>
                      <w:u w:val="none"/>
                    </w:rPr>
                    <w:t>方式</w:t>
                  </w:r>
                </w:p>
              </w:tc>
              <w:tc>
                <w:tcPr>
                  <w:tcW w:w="4260" w:type="dxa"/>
                  <w:gridSpan w:val="4"/>
                  <w:vAlign w:val="center"/>
                </w:tcPr>
                <w:p w14:paraId="183DA801">
                  <w:pPr>
                    <w:pStyle w:val="33"/>
                    <w:jc w:val="center"/>
                    <w:rPr>
                      <w:rFonts w:ascii="Times New Roman" w:hAnsi="Times New Roman" w:eastAsia="宋体"/>
                      <w:b/>
                      <w:color w:val="0000FF"/>
                      <w:sz w:val="21"/>
                      <w:u w:val="none"/>
                    </w:rPr>
                  </w:pPr>
                  <w:r>
                    <w:rPr>
                      <w:rFonts w:hint="eastAsia" w:ascii="Times New Roman" w:hAnsi="Times New Roman" w:eastAsia="宋体"/>
                      <w:b/>
                      <w:color w:val="0000FF"/>
                      <w:sz w:val="21"/>
                      <w:u w:val="none"/>
                    </w:rPr>
                    <w:t>污染物排放源强</w:t>
                  </w:r>
                </w:p>
              </w:tc>
              <w:tc>
                <w:tcPr>
                  <w:tcW w:w="1114" w:type="dxa"/>
                  <w:vMerge w:val="restart"/>
                  <w:vAlign w:val="center"/>
                </w:tcPr>
                <w:p w14:paraId="7757BE12">
                  <w:pPr>
                    <w:pStyle w:val="33"/>
                    <w:jc w:val="center"/>
                    <w:rPr>
                      <w:rFonts w:ascii="Times New Roman" w:hAnsi="Times New Roman" w:eastAsia="宋体"/>
                      <w:b/>
                      <w:color w:val="0000FF"/>
                      <w:sz w:val="21"/>
                      <w:u w:val="none"/>
                    </w:rPr>
                  </w:pPr>
                  <w:r>
                    <w:rPr>
                      <w:rFonts w:hint="eastAsia" w:ascii="Times New Roman" w:hAnsi="Times New Roman" w:eastAsia="宋体"/>
                      <w:b/>
                      <w:color w:val="0000FF"/>
                      <w:sz w:val="21"/>
                      <w:u w:val="none"/>
                    </w:rPr>
                    <w:t>排放标准</w:t>
                  </w:r>
                </w:p>
                <w:p w14:paraId="2E3B3905">
                  <w:pPr>
                    <w:pStyle w:val="33"/>
                    <w:jc w:val="center"/>
                    <w:rPr>
                      <w:rFonts w:ascii="Times New Roman" w:hAnsi="Times New Roman" w:eastAsia="宋体"/>
                      <w:b/>
                      <w:color w:val="0000FF"/>
                      <w:sz w:val="21"/>
                      <w:u w:val="none"/>
                    </w:rPr>
                  </w:pPr>
                  <w:r>
                    <w:rPr>
                      <w:rFonts w:hint="eastAsia" w:ascii="Times New Roman" w:hAnsi="Times New Roman" w:eastAsia="宋体"/>
                      <w:b/>
                      <w:color w:val="0000FF"/>
                      <w:sz w:val="21"/>
                      <w:u w:val="none"/>
                    </w:rPr>
                    <w:t>（mg/m</w:t>
                  </w:r>
                  <w:r>
                    <w:rPr>
                      <w:rFonts w:hint="eastAsia" w:ascii="Times New Roman" w:hAnsi="Times New Roman" w:eastAsia="宋体"/>
                      <w:b/>
                      <w:color w:val="0000FF"/>
                      <w:sz w:val="21"/>
                      <w:u w:val="none"/>
                      <w:vertAlign w:val="superscript"/>
                    </w:rPr>
                    <w:t>3</w:t>
                  </w:r>
                  <w:r>
                    <w:rPr>
                      <w:rFonts w:hint="eastAsia" w:ascii="Times New Roman" w:hAnsi="Times New Roman" w:eastAsia="宋体"/>
                      <w:b/>
                      <w:color w:val="0000FF"/>
                      <w:sz w:val="21"/>
                      <w:u w:val="none"/>
                    </w:rPr>
                    <w:t>）</w:t>
                  </w:r>
                </w:p>
              </w:tc>
            </w:tr>
            <w:tr w14:paraId="4A5EC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484" w:type="dxa"/>
                  <w:vMerge w:val="continue"/>
                  <w:vAlign w:val="center"/>
                </w:tcPr>
                <w:p w14:paraId="0787C19B">
                  <w:pPr>
                    <w:pStyle w:val="33"/>
                    <w:ind w:firstLine="0" w:firstLineChars="0"/>
                    <w:jc w:val="center"/>
                    <w:rPr>
                      <w:rFonts w:hint="eastAsia" w:ascii="Times New Roman" w:hAnsi="Times New Roman" w:eastAsia="宋体" w:cs="Times New Roman"/>
                      <w:b/>
                      <w:color w:val="0000FF"/>
                      <w:kern w:val="2"/>
                      <w:sz w:val="21"/>
                      <w:szCs w:val="36"/>
                      <w:u w:val="none"/>
                      <w:lang w:val="en-US" w:eastAsia="zh-CN" w:bidi="ar-SA"/>
                    </w:rPr>
                  </w:pPr>
                </w:p>
              </w:tc>
              <w:tc>
                <w:tcPr>
                  <w:tcW w:w="945" w:type="dxa"/>
                  <w:vMerge w:val="continue"/>
                  <w:vAlign w:val="center"/>
                </w:tcPr>
                <w:p w14:paraId="1942E52E">
                  <w:pPr>
                    <w:pStyle w:val="33"/>
                    <w:jc w:val="center"/>
                    <w:rPr>
                      <w:rFonts w:ascii="Times New Roman" w:hAnsi="Times New Roman" w:eastAsia="宋体"/>
                      <w:b/>
                      <w:color w:val="0000FF"/>
                      <w:sz w:val="21"/>
                      <w:u w:val="none"/>
                    </w:rPr>
                  </w:pPr>
                </w:p>
              </w:tc>
              <w:tc>
                <w:tcPr>
                  <w:tcW w:w="1740" w:type="dxa"/>
                  <w:vMerge w:val="continue"/>
                  <w:vAlign w:val="center"/>
                </w:tcPr>
                <w:p w14:paraId="38736A61">
                  <w:pPr>
                    <w:pStyle w:val="33"/>
                    <w:jc w:val="center"/>
                    <w:rPr>
                      <w:rFonts w:ascii="Times New Roman" w:hAnsi="Times New Roman" w:eastAsia="宋体"/>
                      <w:b/>
                      <w:color w:val="0000FF"/>
                      <w:sz w:val="21"/>
                      <w:u w:val="none"/>
                    </w:rPr>
                  </w:pPr>
                </w:p>
              </w:tc>
              <w:tc>
                <w:tcPr>
                  <w:tcW w:w="830" w:type="dxa"/>
                  <w:vMerge w:val="continue"/>
                  <w:vAlign w:val="center"/>
                </w:tcPr>
                <w:p w14:paraId="278ACFD2">
                  <w:pPr>
                    <w:pStyle w:val="33"/>
                    <w:jc w:val="center"/>
                    <w:rPr>
                      <w:rFonts w:ascii="Times New Roman" w:hAnsi="Times New Roman" w:eastAsia="宋体"/>
                      <w:b/>
                      <w:color w:val="0000FF"/>
                      <w:sz w:val="21"/>
                      <w:u w:val="none"/>
                    </w:rPr>
                  </w:pPr>
                </w:p>
              </w:tc>
              <w:tc>
                <w:tcPr>
                  <w:tcW w:w="831" w:type="dxa"/>
                  <w:vMerge w:val="continue"/>
                  <w:vAlign w:val="center"/>
                </w:tcPr>
                <w:p w14:paraId="78764138">
                  <w:pPr>
                    <w:pStyle w:val="33"/>
                    <w:jc w:val="center"/>
                    <w:rPr>
                      <w:rFonts w:ascii="Times New Roman" w:hAnsi="Times New Roman" w:eastAsia="宋体"/>
                      <w:b/>
                      <w:color w:val="0000FF"/>
                      <w:sz w:val="21"/>
                      <w:u w:val="none"/>
                    </w:rPr>
                  </w:pPr>
                </w:p>
              </w:tc>
              <w:tc>
                <w:tcPr>
                  <w:tcW w:w="990" w:type="dxa"/>
                  <w:vMerge w:val="continue"/>
                  <w:vAlign w:val="center"/>
                </w:tcPr>
                <w:p w14:paraId="03F2163F">
                  <w:pPr>
                    <w:pStyle w:val="33"/>
                    <w:jc w:val="center"/>
                    <w:rPr>
                      <w:rFonts w:ascii="Times New Roman" w:hAnsi="Times New Roman" w:eastAsia="宋体"/>
                      <w:b/>
                      <w:color w:val="0000FF"/>
                      <w:sz w:val="21"/>
                      <w:u w:val="none"/>
                    </w:rPr>
                  </w:pPr>
                </w:p>
              </w:tc>
              <w:tc>
                <w:tcPr>
                  <w:tcW w:w="390" w:type="dxa"/>
                  <w:vMerge w:val="continue"/>
                  <w:vAlign w:val="center"/>
                </w:tcPr>
                <w:p w14:paraId="56D92B6E">
                  <w:pPr>
                    <w:pStyle w:val="33"/>
                    <w:jc w:val="center"/>
                    <w:rPr>
                      <w:rFonts w:ascii="Times New Roman" w:hAnsi="Times New Roman" w:eastAsia="宋体"/>
                      <w:b/>
                      <w:color w:val="0000FF"/>
                      <w:sz w:val="21"/>
                      <w:u w:val="none"/>
                    </w:rPr>
                  </w:pPr>
                </w:p>
              </w:tc>
              <w:tc>
                <w:tcPr>
                  <w:tcW w:w="960" w:type="dxa"/>
                  <w:vAlign w:val="center"/>
                </w:tcPr>
                <w:p w14:paraId="7222364F">
                  <w:pPr>
                    <w:pStyle w:val="33"/>
                    <w:jc w:val="center"/>
                    <w:rPr>
                      <w:rFonts w:ascii="Times New Roman" w:hAnsi="Times New Roman" w:eastAsia="宋体"/>
                      <w:b/>
                      <w:color w:val="0000FF"/>
                      <w:sz w:val="21"/>
                      <w:u w:val="none"/>
                    </w:rPr>
                  </w:pPr>
                  <w:r>
                    <w:rPr>
                      <w:rFonts w:hint="eastAsia" w:ascii="Times New Roman" w:hAnsi="Times New Roman" w:eastAsia="宋体"/>
                      <w:b/>
                      <w:color w:val="0000FF"/>
                      <w:sz w:val="21"/>
                      <w:u w:val="none"/>
                      <w:lang w:val="en-US" w:eastAsia="zh-CN"/>
                    </w:rPr>
                    <w:t>废气量</w:t>
                  </w:r>
                  <w:r>
                    <w:rPr>
                      <w:rFonts w:hint="eastAsia" w:ascii="Times New Roman" w:hAnsi="Times New Roman" w:eastAsia="宋体"/>
                      <w:b/>
                      <w:color w:val="0000FF"/>
                      <w:sz w:val="21"/>
                      <w:u w:val="none"/>
                    </w:rPr>
                    <w:t>（m</w:t>
                  </w:r>
                  <w:r>
                    <w:rPr>
                      <w:rFonts w:hint="eastAsia" w:ascii="Times New Roman" w:hAnsi="Times New Roman" w:eastAsia="宋体"/>
                      <w:b/>
                      <w:color w:val="0000FF"/>
                      <w:sz w:val="21"/>
                      <w:u w:val="none"/>
                      <w:vertAlign w:val="superscript"/>
                    </w:rPr>
                    <w:t>3</w:t>
                  </w:r>
                  <w:r>
                    <w:rPr>
                      <w:rFonts w:hint="eastAsia" w:ascii="Times New Roman" w:hAnsi="Times New Roman" w:eastAsia="宋体"/>
                      <w:b/>
                      <w:color w:val="0000FF"/>
                      <w:sz w:val="21"/>
                      <w:u w:val="none"/>
                      <w:lang w:val="en-US" w:eastAsia="zh-CN"/>
                    </w:rPr>
                    <w:t>/h</w:t>
                  </w:r>
                  <w:r>
                    <w:rPr>
                      <w:rFonts w:hint="eastAsia" w:ascii="Times New Roman" w:hAnsi="Times New Roman" w:eastAsia="宋体"/>
                      <w:b/>
                      <w:color w:val="0000FF"/>
                      <w:sz w:val="21"/>
                      <w:u w:val="none"/>
                    </w:rPr>
                    <w:t>）</w:t>
                  </w:r>
                </w:p>
              </w:tc>
              <w:tc>
                <w:tcPr>
                  <w:tcW w:w="1142" w:type="dxa"/>
                  <w:vAlign w:val="center"/>
                </w:tcPr>
                <w:p w14:paraId="270A809B">
                  <w:pPr>
                    <w:pStyle w:val="33"/>
                    <w:jc w:val="center"/>
                    <w:rPr>
                      <w:rFonts w:ascii="Times New Roman" w:hAnsi="Times New Roman" w:eastAsia="宋体"/>
                      <w:b/>
                      <w:color w:val="0000FF"/>
                      <w:sz w:val="21"/>
                      <w:u w:val="none"/>
                    </w:rPr>
                  </w:pPr>
                  <w:r>
                    <w:rPr>
                      <w:rFonts w:ascii="Times New Roman" w:hAnsi="Times New Roman" w:eastAsia="宋体"/>
                      <w:b/>
                      <w:color w:val="0000FF"/>
                      <w:sz w:val="21"/>
                      <w:u w:val="none"/>
                    </w:rPr>
                    <w:t>排放量（</w:t>
                  </w:r>
                  <w:r>
                    <w:rPr>
                      <w:rFonts w:hint="eastAsia" w:ascii="Times New Roman" w:hAnsi="Times New Roman" w:eastAsia="宋体"/>
                      <w:b/>
                      <w:color w:val="0000FF"/>
                      <w:sz w:val="21"/>
                      <w:u w:val="none"/>
                    </w:rPr>
                    <w:t>t/a）</w:t>
                  </w:r>
                </w:p>
              </w:tc>
              <w:tc>
                <w:tcPr>
                  <w:tcW w:w="1020" w:type="dxa"/>
                  <w:vAlign w:val="center"/>
                </w:tcPr>
                <w:p w14:paraId="5F010CB4">
                  <w:pPr>
                    <w:pStyle w:val="33"/>
                    <w:jc w:val="center"/>
                    <w:rPr>
                      <w:rFonts w:ascii="Times New Roman" w:hAnsi="Times New Roman" w:eastAsia="宋体"/>
                      <w:b/>
                      <w:color w:val="0000FF"/>
                      <w:sz w:val="21"/>
                      <w:u w:val="none"/>
                    </w:rPr>
                  </w:pPr>
                  <w:r>
                    <w:rPr>
                      <w:rFonts w:ascii="Times New Roman" w:hAnsi="Times New Roman" w:eastAsia="宋体"/>
                      <w:b/>
                      <w:color w:val="0000FF"/>
                      <w:sz w:val="21"/>
                      <w:u w:val="none"/>
                    </w:rPr>
                    <w:t>排放速率（</w:t>
                  </w:r>
                  <w:r>
                    <w:rPr>
                      <w:rFonts w:hint="eastAsia" w:ascii="Times New Roman" w:hAnsi="Times New Roman" w:eastAsia="宋体"/>
                      <w:b/>
                      <w:color w:val="0000FF"/>
                      <w:sz w:val="21"/>
                      <w:u w:val="none"/>
                    </w:rPr>
                    <w:t>kg/h</w:t>
                  </w:r>
                  <w:r>
                    <w:rPr>
                      <w:rFonts w:ascii="Times New Roman" w:hAnsi="Times New Roman" w:eastAsia="宋体"/>
                      <w:b/>
                      <w:color w:val="0000FF"/>
                      <w:sz w:val="21"/>
                      <w:u w:val="none"/>
                    </w:rPr>
                    <w:t>）</w:t>
                  </w:r>
                </w:p>
              </w:tc>
              <w:tc>
                <w:tcPr>
                  <w:tcW w:w="1138" w:type="dxa"/>
                  <w:vAlign w:val="center"/>
                </w:tcPr>
                <w:p w14:paraId="67B59F5B">
                  <w:pPr>
                    <w:pStyle w:val="33"/>
                    <w:jc w:val="center"/>
                    <w:rPr>
                      <w:rFonts w:ascii="Times New Roman" w:hAnsi="Times New Roman" w:eastAsia="宋体"/>
                      <w:b/>
                      <w:color w:val="0000FF"/>
                      <w:sz w:val="21"/>
                      <w:u w:val="none"/>
                    </w:rPr>
                  </w:pPr>
                  <w:r>
                    <w:rPr>
                      <w:rFonts w:ascii="Times New Roman" w:hAnsi="Times New Roman" w:eastAsia="宋体"/>
                      <w:b/>
                      <w:color w:val="0000FF"/>
                      <w:sz w:val="21"/>
                      <w:u w:val="none"/>
                    </w:rPr>
                    <w:t>排放浓度</w:t>
                  </w:r>
                  <w:r>
                    <w:rPr>
                      <w:rFonts w:hint="eastAsia" w:ascii="Times New Roman" w:hAnsi="Times New Roman" w:eastAsia="宋体"/>
                      <w:b/>
                      <w:color w:val="0000FF"/>
                      <w:sz w:val="21"/>
                      <w:u w:val="none"/>
                    </w:rPr>
                    <w:t>（mg/m</w:t>
                  </w:r>
                  <w:r>
                    <w:rPr>
                      <w:rFonts w:hint="eastAsia" w:ascii="Times New Roman" w:hAnsi="Times New Roman" w:eastAsia="宋体"/>
                      <w:b/>
                      <w:color w:val="0000FF"/>
                      <w:sz w:val="21"/>
                      <w:u w:val="none"/>
                      <w:vertAlign w:val="superscript"/>
                    </w:rPr>
                    <w:t>3</w:t>
                  </w:r>
                  <w:r>
                    <w:rPr>
                      <w:rFonts w:hint="eastAsia" w:ascii="Times New Roman" w:hAnsi="Times New Roman" w:eastAsia="宋体"/>
                      <w:b/>
                      <w:color w:val="0000FF"/>
                      <w:sz w:val="21"/>
                      <w:u w:val="none"/>
                    </w:rPr>
                    <w:t>）</w:t>
                  </w:r>
                </w:p>
              </w:tc>
              <w:tc>
                <w:tcPr>
                  <w:tcW w:w="1114" w:type="dxa"/>
                  <w:vMerge w:val="continue"/>
                  <w:vAlign w:val="center"/>
                </w:tcPr>
                <w:p w14:paraId="5CF5DC3B">
                  <w:pPr>
                    <w:pStyle w:val="33"/>
                    <w:jc w:val="center"/>
                    <w:rPr>
                      <w:rFonts w:ascii="Times New Roman" w:hAnsi="Times New Roman" w:eastAsia="宋体"/>
                      <w:color w:val="0000FF"/>
                      <w:sz w:val="21"/>
                      <w:u w:val="none"/>
                    </w:rPr>
                  </w:pPr>
                </w:p>
              </w:tc>
            </w:tr>
            <w:tr w14:paraId="4B295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484" w:type="dxa"/>
                  <w:vAlign w:val="center"/>
                </w:tcPr>
                <w:p w14:paraId="76E84971">
                  <w:pPr>
                    <w:pStyle w:val="33"/>
                    <w:bidi w:val="0"/>
                    <w:ind w:firstLine="0" w:firstLineChars="0"/>
                    <w:rPr>
                      <w:rFonts w:hint="default" w:ascii="Times New Roman" w:hAnsi="Times New Roman" w:eastAsia="宋体" w:cs="Times New Roman"/>
                      <w:color w:val="0000FF"/>
                      <w:kern w:val="2"/>
                      <w:sz w:val="21"/>
                      <w:szCs w:val="36"/>
                      <w:highlight w:val="none"/>
                      <w:u w:val="none"/>
                      <w:lang w:val="en-US" w:eastAsia="zh-CN" w:bidi="ar-SA"/>
                    </w:rPr>
                  </w:pPr>
                  <w:r>
                    <w:rPr>
                      <w:rFonts w:hint="eastAsia"/>
                      <w:color w:val="0000FF"/>
                      <w:u w:val="none"/>
                      <w:lang w:val="en-US" w:eastAsia="zh-CN"/>
                    </w:rPr>
                    <w:t>煤炭风蚀及装卸扬尘</w:t>
                  </w:r>
                </w:p>
              </w:tc>
              <w:tc>
                <w:tcPr>
                  <w:tcW w:w="945" w:type="dxa"/>
                  <w:vMerge w:val="restart"/>
                  <w:vAlign w:val="center"/>
                </w:tcPr>
                <w:p w14:paraId="26D6FD6E">
                  <w:pPr>
                    <w:pStyle w:val="33"/>
                    <w:bidi w:val="0"/>
                    <w:ind w:firstLine="0" w:firstLineChars="0"/>
                    <w:rPr>
                      <w:rFonts w:hint="default" w:ascii="Times New Roman" w:hAnsi="Times New Roman" w:eastAsia="宋体" w:cs="Times New Roman"/>
                      <w:color w:val="0000FF"/>
                      <w:kern w:val="2"/>
                      <w:sz w:val="21"/>
                      <w:szCs w:val="36"/>
                      <w:highlight w:val="none"/>
                      <w:u w:val="none"/>
                      <w:lang w:val="en-US" w:eastAsia="zh-CN" w:bidi="ar-SA"/>
                    </w:rPr>
                  </w:pPr>
                  <w:r>
                    <w:rPr>
                      <w:rFonts w:hint="eastAsia" w:ascii="Times New Roman" w:hAnsi="Times New Roman" w:cs="Times New Roman"/>
                      <w:color w:val="0000FF"/>
                      <w:kern w:val="2"/>
                      <w:sz w:val="21"/>
                      <w:szCs w:val="36"/>
                      <w:highlight w:val="none"/>
                      <w:u w:val="none"/>
                      <w:lang w:val="en-US" w:eastAsia="zh-CN" w:bidi="ar-SA"/>
                    </w:rPr>
                    <w:t>颗粒物</w:t>
                  </w:r>
                </w:p>
              </w:tc>
              <w:tc>
                <w:tcPr>
                  <w:tcW w:w="1740" w:type="dxa"/>
                  <w:vAlign w:val="center"/>
                </w:tcPr>
                <w:p w14:paraId="33FA14D4">
                  <w:pPr>
                    <w:pStyle w:val="33"/>
                    <w:ind w:firstLine="0" w:firstLineChars="0"/>
                    <w:jc w:val="center"/>
                    <w:rPr>
                      <w:rFonts w:hint="default" w:ascii="Times New Roman" w:hAnsi="Times New Roman" w:eastAsia="宋体" w:cs="Times New Roman"/>
                      <w:color w:val="0000FF"/>
                      <w:kern w:val="2"/>
                      <w:sz w:val="21"/>
                      <w:szCs w:val="36"/>
                      <w:u w:val="none"/>
                      <w:lang w:val="en-US" w:eastAsia="zh-CN" w:bidi="ar-SA"/>
                    </w:rPr>
                  </w:pPr>
                  <w:r>
                    <w:rPr>
                      <w:rFonts w:hint="eastAsia"/>
                      <w:color w:val="0000FF"/>
                      <w:sz w:val="21"/>
                      <w:u w:val="none"/>
                      <w:lang w:val="en-US" w:eastAsia="zh-CN"/>
                    </w:rPr>
                    <w:t>厂房密闭</w:t>
                  </w:r>
                </w:p>
              </w:tc>
              <w:tc>
                <w:tcPr>
                  <w:tcW w:w="830" w:type="dxa"/>
                  <w:vAlign w:val="center"/>
                </w:tcPr>
                <w:p w14:paraId="3D44F2E6">
                  <w:pPr>
                    <w:pStyle w:val="33"/>
                    <w:jc w:val="center"/>
                    <w:rPr>
                      <w:rFonts w:hint="default" w:ascii="Times New Roman" w:hAnsi="Times New Roman" w:eastAsia="宋体"/>
                      <w:color w:val="0000FF"/>
                      <w:sz w:val="21"/>
                      <w:u w:val="none"/>
                      <w:lang w:val="en-US" w:eastAsia="zh-CN"/>
                    </w:rPr>
                  </w:pPr>
                  <w:r>
                    <w:rPr>
                      <w:rFonts w:hint="eastAsia"/>
                      <w:color w:val="0000FF"/>
                      <w:sz w:val="21"/>
                      <w:u w:val="none"/>
                      <w:lang w:val="en-US" w:eastAsia="zh-CN"/>
                    </w:rPr>
                    <w:t>1058.702</w:t>
                  </w:r>
                </w:p>
              </w:tc>
              <w:tc>
                <w:tcPr>
                  <w:tcW w:w="831" w:type="dxa"/>
                  <w:vAlign w:val="center"/>
                </w:tcPr>
                <w:p w14:paraId="7B10EA36">
                  <w:pPr>
                    <w:pStyle w:val="33"/>
                    <w:jc w:val="center"/>
                    <w:rPr>
                      <w:rFonts w:hint="default" w:ascii="Times New Roman" w:hAnsi="Times New Roman" w:eastAsia="宋体"/>
                      <w:color w:val="0000FF"/>
                      <w:sz w:val="21"/>
                      <w:u w:val="none"/>
                      <w:lang w:val="en-US" w:eastAsia="zh-CN"/>
                    </w:rPr>
                  </w:pPr>
                  <w:r>
                    <w:rPr>
                      <w:rFonts w:hint="eastAsia" w:ascii="Times New Roman" w:hAnsi="Times New Roman" w:eastAsia="宋体"/>
                      <w:color w:val="0000FF"/>
                      <w:sz w:val="21"/>
                      <w:u w:val="none"/>
                      <w:lang w:val="en-US" w:eastAsia="zh-CN"/>
                    </w:rPr>
                    <w:t>147.042</w:t>
                  </w:r>
                </w:p>
              </w:tc>
              <w:tc>
                <w:tcPr>
                  <w:tcW w:w="990" w:type="dxa"/>
                  <w:vAlign w:val="center"/>
                </w:tcPr>
                <w:p w14:paraId="2C66E841">
                  <w:pPr>
                    <w:pStyle w:val="33"/>
                    <w:jc w:val="center"/>
                    <w:rPr>
                      <w:rFonts w:hint="default" w:ascii="Times New Roman" w:hAnsi="Times New Roman" w:eastAsia="宋体"/>
                      <w:color w:val="0000FF"/>
                      <w:sz w:val="21"/>
                      <w:u w:val="none"/>
                      <w:lang w:val="en-US" w:eastAsia="zh-CN"/>
                    </w:rPr>
                  </w:pPr>
                  <w:r>
                    <w:rPr>
                      <w:rFonts w:hint="eastAsia"/>
                      <w:color w:val="0000FF"/>
                      <w:sz w:val="21"/>
                      <w:u w:val="none"/>
                      <w:lang w:val="en-US" w:eastAsia="zh-CN"/>
                    </w:rPr>
                    <w:t>是</w:t>
                  </w:r>
                </w:p>
              </w:tc>
              <w:tc>
                <w:tcPr>
                  <w:tcW w:w="390" w:type="dxa"/>
                  <w:vMerge w:val="restart"/>
                  <w:vAlign w:val="center"/>
                </w:tcPr>
                <w:p w14:paraId="59563061">
                  <w:pPr>
                    <w:pStyle w:val="33"/>
                    <w:jc w:val="center"/>
                    <w:rPr>
                      <w:rFonts w:hint="default" w:ascii="Times New Roman" w:hAnsi="Times New Roman" w:eastAsia="宋体"/>
                      <w:color w:val="0000FF"/>
                      <w:sz w:val="21"/>
                      <w:u w:val="none"/>
                      <w:lang w:val="en-US" w:eastAsia="zh-CN"/>
                    </w:rPr>
                  </w:pPr>
                  <w:r>
                    <w:rPr>
                      <w:rFonts w:hint="eastAsia" w:ascii="Times New Roman" w:hAnsi="Times New Roman" w:eastAsia="宋体"/>
                      <w:color w:val="0000FF"/>
                      <w:sz w:val="21"/>
                      <w:u w:val="none"/>
                      <w:lang w:val="en-US" w:eastAsia="zh-CN"/>
                    </w:rPr>
                    <w:t>无组织</w:t>
                  </w:r>
                </w:p>
              </w:tc>
              <w:tc>
                <w:tcPr>
                  <w:tcW w:w="960" w:type="dxa"/>
                  <w:vAlign w:val="center"/>
                </w:tcPr>
                <w:p w14:paraId="54C04F90">
                  <w:pPr>
                    <w:pStyle w:val="33"/>
                    <w:jc w:val="center"/>
                    <w:rPr>
                      <w:rFonts w:hint="eastAsia" w:ascii="Times New Roman" w:hAnsi="Times New Roman" w:eastAsia="宋体"/>
                      <w:color w:val="0000FF"/>
                      <w:sz w:val="21"/>
                      <w:u w:val="none"/>
                      <w:lang w:val="en-US" w:eastAsia="zh-CN"/>
                    </w:rPr>
                  </w:pPr>
                  <w:r>
                    <w:rPr>
                      <w:rFonts w:hint="eastAsia" w:ascii="Times New Roman" w:hAnsi="Times New Roman" w:eastAsia="宋体"/>
                      <w:color w:val="0000FF"/>
                      <w:sz w:val="21"/>
                      <w:u w:val="none"/>
                      <w:lang w:val="en-US" w:eastAsia="zh-CN"/>
                    </w:rPr>
                    <w:t>/</w:t>
                  </w:r>
                </w:p>
              </w:tc>
              <w:tc>
                <w:tcPr>
                  <w:tcW w:w="1142" w:type="dxa"/>
                  <w:vAlign w:val="center"/>
                </w:tcPr>
                <w:p w14:paraId="5EF782BD">
                  <w:pPr>
                    <w:pStyle w:val="33"/>
                    <w:bidi w:val="0"/>
                    <w:ind w:firstLine="0" w:firstLineChars="0"/>
                    <w:jc w:val="center"/>
                    <w:rPr>
                      <w:rFonts w:hint="default" w:ascii="Times New Roman" w:hAnsi="Times New Roman" w:eastAsia="宋体" w:cs="Times New Roman"/>
                      <w:color w:val="0000FF"/>
                      <w:kern w:val="2"/>
                      <w:sz w:val="21"/>
                      <w:szCs w:val="36"/>
                      <w:highlight w:val="none"/>
                      <w:u w:val="none"/>
                      <w:lang w:val="en-US" w:eastAsia="zh-CN" w:bidi="ar-SA"/>
                    </w:rPr>
                  </w:pPr>
                  <w:r>
                    <w:rPr>
                      <w:rFonts w:hint="eastAsia" w:cs="Times New Roman"/>
                      <w:color w:val="0000FF"/>
                      <w:kern w:val="2"/>
                      <w:sz w:val="21"/>
                      <w:szCs w:val="36"/>
                      <w:highlight w:val="none"/>
                      <w:u w:val="none"/>
                      <w:lang w:val="en-US" w:eastAsia="zh-CN" w:bidi="ar-SA"/>
                    </w:rPr>
                    <w:t>4.382</w:t>
                  </w:r>
                </w:p>
              </w:tc>
              <w:tc>
                <w:tcPr>
                  <w:tcW w:w="1020" w:type="dxa"/>
                  <w:vAlign w:val="center"/>
                </w:tcPr>
                <w:p w14:paraId="10B60EFA">
                  <w:pPr>
                    <w:pStyle w:val="33"/>
                    <w:ind w:firstLine="0" w:firstLineChars="0"/>
                    <w:jc w:val="center"/>
                    <w:rPr>
                      <w:rFonts w:hint="default" w:ascii="Times New Roman" w:hAnsi="Times New Roman" w:eastAsia="宋体" w:cs="Times New Roman"/>
                      <w:color w:val="0000FF"/>
                      <w:kern w:val="2"/>
                      <w:sz w:val="21"/>
                      <w:szCs w:val="36"/>
                      <w:u w:val="none"/>
                      <w:lang w:val="en-US" w:eastAsia="zh-CN" w:bidi="ar-SA"/>
                    </w:rPr>
                  </w:pPr>
                  <w:r>
                    <w:rPr>
                      <w:rFonts w:hint="eastAsia" w:cs="Times New Roman"/>
                      <w:color w:val="0000FF"/>
                      <w:kern w:val="2"/>
                      <w:sz w:val="21"/>
                      <w:szCs w:val="36"/>
                      <w:u w:val="none"/>
                      <w:lang w:val="en-US" w:eastAsia="zh-CN" w:bidi="ar-SA"/>
                    </w:rPr>
                    <w:t>0.609</w:t>
                  </w:r>
                </w:p>
              </w:tc>
              <w:tc>
                <w:tcPr>
                  <w:tcW w:w="1138" w:type="dxa"/>
                  <w:vAlign w:val="center"/>
                </w:tcPr>
                <w:p w14:paraId="53A87613">
                  <w:pPr>
                    <w:pStyle w:val="33"/>
                    <w:jc w:val="center"/>
                    <w:rPr>
                      <w:rFonts w:hint="default" w:ascii="Times New Roman" w:hAnsi="Times New Roman" w:eastAsia="宋体"/>
                      <w:color w:val="0000FF"/>
                      <w:sz w:val="21"/>
                      <w:u w:val="none"/>
                      <w:lang w:val="en-US" w:eastAsia="zh-CN"/>
                    </w:rPr>
                  </w:pPr>
                  <w:r>
                    <w:rPr>
                      <w:rFonts w:hint="eastAsia" w:ascii="Times New Roman" w:hAnsi="Times New Roman" w:eastAsia="宋体"/>
                      <w:color w:val="0000FF"/>
                      <w:sz w:val="21"/>
                      <w:u w:val="none"/>
                      <w:lang w:val="en-US" w:eastAsia="zh-CN"/>
                    </w:rPr>
                    <w:t>/</w:t>
                  </w:r>
                </w:p>
              </w:tc>
              <w:tc>
                <w:tcPr>
                  <w:tcW w:w="1114" w:type="dxa"/>
                  <w:vAlign w:val="center"/>
                </w:tcPr>
                <w:p w14:paraId="7E645893">
                  <w:pPr>
                    <w:pStyle w:val="33"/>
                    <w:ind w:firstLine="0" w:firstLineChars="0"/>
                    <w:jc w:val="center"/>
                    <w:rPr>
                      <w:rFonts w:hint="default"/>
                      <w:color w:val="0000FF"/>
                      <w:sz w:val="21"/>
                      <w:u w:val="none"/>
                      <w:lang w:val="en-US" w:eastAsia="zh-CN"/>
                    </w:rPr>
                  </w:pPr>
                  <w:r>
                    <w:rPr>
                      <w:rFonts w:hint="eastAsia"/>
                      <w:color w:val="0000FF"/>
                      <w:sz w:val="21"/>
                      <w:u w:val="none"/>
                      <w:lang w:val="en-US" w:eastAsia="zh-CN"/>
                    </w:rPr>
                    <w:t>1.0</w:t>
                  </w:r>
                </w:p>
              </w:tc>
            </w:tr>
            <w:tr w14:paraId="390F4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84" w:type="dxa"/>
                  <w:vAlign w:val="center"/>
                </w:tcPr>
                <w:p w14:paraId="671E9F92">
                  <w:pPr>
                    <w:pStyle w:val="33"/>
                    <w:bidi w:val="0"/>
                    <w:ind w:firstLine="0" w:firstLineChars="0"/>
                    <w:jc w:val="center"/>
                    <w:rPr>
                      <w:rFonts w:hint="default" w:ascii="Times New Roman" w:hAnsi="Times New Roman" w:eastAsia="宋体" w:cs="Times New Roman"/>
                      <w:color w:val="0000FF"/>
                      <w:kern w:val="2"/>
                      <w:sz w:val="21"/>
                      <w:szCs w:val="36"/>
                      <w:u w:val="none"/>
                      <w:lang w:val="en-US" w:eastAsia="zh-CN" w:bidi="ar-SA"/>
                    </w:rPr>
                  </w:pPr>
                  <w:r>
                    <w:rPr>
                      <w:rFonts w:hint="eastAsia"/>
                      <w:color w:val="0000FF"/>
                      <w:lang w:val="en-US" w:eastAsia="zh-CN"/>
                    </w:rPr>
                    <w:t>车辆行驶动力扬尘</w:t>
                  </w:r>
                </w:p>
              </w:tc>
              <w:tc>
                <w:tcPr>
                  <w:tcW w:w="945" w:type="dxa"/>
                  <w:vMerge w:val="continue"/>
                  <w:vAlign w:val="center"/>
                </w:tcPr>
                <w:p w14:paraId="7910D803">
                  <w:pPr>
                    <w:pStyle w:val="33"/>
                    <w:bidi w:val="0"/>
                    <w:ind w:firstLine="0" w:firstLineChars="0"/>
                    <w:rPr>
                      <w:rFonts w:hint="default" w:ascii="Times New Roman" w:hAnsi="Times New Roman" w:eastAsia="宋体" w:cs="Times New Roman"/>
                      <w:color w:val="0000FF"/>
                      <w:kern w:val="2"/>
                      <w:sz w:val="21"/>
                      <w:szCs w:val="36"/>
                      <w:highlight w:val="none"/>
                      <w:u w:val="none"/>
                      <w:lang w:val="en-US" w:eastAsia="zh-CN" w:bidi="ar-SA"/>
                    </w:rPr>
                  </w:pPr>
                </w:p>
              </w:tc>
              <w:tc>
                <w:tcPr>
                  <w:tcW w:w="1740" w:type="dxa"/>
                  <w:vAlign w:val="center"/>
                </w:tcPr>
                <w:p w14:paraId="4A4E52C2">
                  <w:pPr>
                    <w:pStyle w:val="33"/>
                    <w:ind w:firstLine="0" w:firstLineChars="0"/>
                    <w:jc w:val="center"/>
                    <w:rPr>
                      <w:rFonts w:hint="default" w:ascii="Times New Roman" w:hAnsi="Times New Roman" w:eastAsia="宋体" w:cs="Times New Roman"/>
                      <w:color w:val="0000FF"/>
                      <w:kern w:val="2"/>
                      <w:sz w:val="21"/>
                      <w:szCs w:val="36"/>
                      <w:u w:val="none"/>
                      <w:lang w:val="en-US" w:eastAsia="zh-CN" w:bidi="ar-SA"/>
                    </w:rPr>
                  </w:pPr>
                  <w:r>
                    <w:rPr>
                      <w:rFonts w:hint="default" w:ascii="Times New Roman" w:hAnsi="Times New Roman" w:eastAsia="宋体"/>
                      <w:color w:val="0000FF"/>
                      <w:sz w:val="21"/>
                      <w:u w:val="none"/>
                      <w:lang w:val="en-US" w:eastAsia="zh-CN"/>
                    </w:rPr>
                    <w:t>密闭运输、洒水降尘</w:t>
                  </w:r>
                </w:p>
              </w:tc>
              <w:tc>
                <w:tcPr>
                  <w:tcW w:w="830" w:type="dxa"/>
                  <w:vAlign w:val="center"/>
                </w:tcPr>
                <w:p w14:paraId="609AC83E">
                  <w:pPr>
                    <w:pStyle w:val="33"/>
                    <w:jc w:val="center"/>
                    <w:rPr>
                      <w:rFonts w:hint="default" w:ascii="Times New Roman" w:hAnsi="Times New Roman" w:eastAsia="宋体"/>
                      <w:color w:val="0000FF"/>
                      <w:sz w:val="21"/>
                      <w:u w:val="none"/>
                      <w:lang w:val="en-US" w:eastAsia="zh-CN"/>
                    </w:rPr>
                  </w:pPr>
                  <w:r>
                    <w:rPr>
                      <w:rFonts w:hint="eastAsia"/>
                      <w:color w:val="0000FF"/>
                      <w:sz w:val="21"/>
                      <w:u w:val="none"/>
                      <w:lang w:val="en-US" w:eastAsia="zh-CN"/>
                    </w:rPr>
                    <w:t>0.981</w:t>
                  </w:r>
                </w:p>
              </w:tc>
              <w:tc>
                <w:tcPr>
                  <w:tcW w:w="831" w:type="dxa"/>
                  <w:vAlign w:val="center"/>
                </w:tcPr>
                <w:p w14:paraId="2F653417">
                  <w:pPr>
                    <w:pStyle w:val="33"/>
                    <w:jc w:val="center"/>
                    <w:rPr>
                      <w:rFonts w:hint="default" w:ascii="Times New Roman" w:hAnsi="Times New Roman" w:eastAsia="宋体"/>
                      <w:color w:val="0000FF"/>
                      <w:sz w:val="21"/>
                      <w:u w:val="none"/>
                      <w:lang w:val="en-US" w:eastAsia="zh-CN"/>
                    </w:rPr>
                  </w:pPr>
                  <w:r>
                    <w:rPr>
                      <w:rFonts w:hint="eastAsia"/>
                      <w:color w:val="0000FF"/>
                      <w:sz w:val="21"/>
                      <w:u w:val="none"/>
                      <w:lang w:val="en-US" w:eastAsia="zh-CN"/>
                    </w:rPr>
                    <w:t>0.409</w:t>
                  </w:r>
                </w:p>
              </w:tc>
              <w:tc>
                <w:tcPr>
                  <w:tcW w:w="990" w:type="dxa"/>
                  <w:vAlign w:val="center"/>
                </w:tcPr>
                <w:p w14:paraId="05816B13">
                  <w:pPr>
                    <w:pStyle w:val="33"/>
                    <w:jc w:val="center"/>
                    <w:rPr>
                      <w:rFonts w:hint="default" w:ascii="Times New Roman" w:hAnsi="Times New Roman" w:eastAsia="宋体"/>
                      <w:color w:val="0000FF"/>
                      <w:sz w:val="21"/>
                      <w:u w:val="none"/>
                      <w:lang w:val="en-US" w:eastAsia="zh-CN"/>
                    </w:rPr>
                  </w:pPr>
                  <w:r>
                    <w:rPr>
                      <w:rFonts w:hint="eastAsia"/>
                      <w:color w:val="0000FF"/>
                      <w:sz w:val="21"/>
                      <w:u w:val="none"/>
                      <w:lang w:val="en-US" w:eastAsia="zh-CN"/>
                    </w:rPr>
                    <w:t>是</w:t>
                  </w:r>
                </w:p>
              </w:tc>
              <w:tc>
                <w:tcPr>
                  <w:tcW w:w="390" w:type="dxa"/>
                  <w:vMerge w:val="continue"/>
                  <w:vAlign w:val="center"/>
                </w:tcPr>
                <w:p w14:paraId="6D9A8122">
                  <w:pPr>
                    <w:pStyle w:val="33"/>
                    <w:jc w:val="center"/>
                    <w:rPr>
                      <w:rFonts w:hint="default" w:ascii="Times New Roman" w:hAnsi="Times New Roman" w:eastAsia="宋体"/>
                      <w:color w:val="0000FF"/>
                      <w:sz w:val="21"/>
                      <w:u w:val="none"/>
                      <w:lang w:val="en-US" w:eastAsia="zh-CN"/>
                    </w:rPr>
                  </w:pPr>
                </w:p>
              </w:tc>
              <w:tc>
                <w:tcPr>
                  <w:tcW w:w="960" w:type="dxa"/>
                  <w:vAlign w:val="center"/>
                </w:tcPr>
                <w:p w14:paraId="2534EF44">
                  <w:pPr>
                    <w:pStyle w:val="33"/>
                    <w:jc w:val="center"/>
                    <w:rPr>
                      <w:rFonts w:hint="eastAsia" w:ascii="Times New Roman" w:hAnsi="Times New Roman" w:eastAsia="宋体"/>
                      <w:color w:val="0000FF"/>
                      <w:sz w:val="21"/>
                      <w:u w:val="none"/>
                      <w:lang w:val="en-US" w:eastAsia="zh-CN"/>
                    </w:rPr>
                  </w:pPr>
                  <w:r>
                    <w:rPr>
                      <w:rFonts w:hint="eastAsia" w:ascii="Times New Roman" w:hAnsi="Times New Roman" w:eastAsia="宋体"/>
                      <w:color w:val="0000FF"/>
                      <w:sz w:val="21"/>
                      <w:u w:val="none"/>
                      <w:lang w:val="en-US" w:eastAsia="zh-CN"/>
                    </w:rPr>
                    <w:t>/</w:t>
                  </w:r>
                </w:p>
              </w:tc>
              <w:tc>
                <w:tcPr>
                  <w:tcW w:w="1142" w:type="dxa"/>
                  <w:vAlign w:val="center"/>
                </w:tcPr>
                <w:p w14:paraId="69420186">
                  <w:pPr>
                    <w:pStyle w:val="33"/>
                    <w:bidi w:val="0"/>
                    <w:ind w:firstLine="0" w:firstLineChars="0"/>
                    <w:jc w:val="center"/>
                    <w:rPr>
                      <w:rFonts w:hint="default" w:ascii="Times New Roman" w:hAnsi="Times New Roman" w:eastAsia="宋体" w:cs="Times New Roman"/>
                      <w:color w:val="0000FF"/>
                      <w:kern w:val="2"/>
                      <w:sz w:val="21"/>
                      <w:szCs w:val="36"/>
                      <w:highlight w:val="none"/>
                      <w:u w:val="none"/>
                      <w:lang w:val="en-US" w:eastAsia="zh-CN" w:bidi="ar-SA"/>
                    </w:rPr>
                  </w:pPr>
                  <w:r>
                    <w:rPr>
                      <w:rFonts w:hint="eastAsia" w:cs="Times New Roman"/>
                      <w:color w:val="0000FF"/>
                      <w:kern w:val="2"/>
                      <w:sz w:val="21"/>
                      <w:szCs w:val="36"/>
                      <w:highlight w:val="none"/>
                      <w:u w:val="none"/>
                      <w:lang w:val="en-US" w:eastAsia="zh-CN" w:bidi="ar-SA"/>
                    </w:rPr>
                    <w:t>0.800</w:t>
                  </w:r>
                </w:p>
              </w:tc>
              <w:tc>
                <w:tcPr>
                  <w:tcW w:w="1020" w:type="dxa"/>
                  <w:vAlign w:val="center"/>
                </w:tcPr>
                <w:p w14:paraId="6F6ACCF1">
                  <w:pPr>
                    <w:pStyle w:val="33"/>
                    <w:jc w:val="center"/>
                    <w:rPr>
                      <w:rFonts w:hint="default" w:ascii="Times New Roman" w:hAnsi="Times New Roman" w:eastAsia="宋体"/>
                      <w:color w:val="0000FF"/>
                      <w:sz w:val="21"/>
                      <w:u w:val="none"/>
                      <w:lang w:val="en-US" w:eastAsia="zh-CN"/>
                    </w:rPr>
                  </w:pPr>
                  <w:r>
                    <w:rPr>
                      <w:rFonts w:hint="eastAsia"/>
                      <w:color w:val="0000FF"/>
                      <w:sz w:val="21"/>
                      <w:u w:val="none"/>
                      <w:lang w:val="en-US" w:eastAsia="zh-CN"/>
                    </w:rPr>
                    <w:t>0.333</w:t>
                  </w:r>
                </w:p>
              </w:tc>
              <w:tc>
                <w:tcPr>
                  <w:tcW w:w="1138" w:type="dxa"/>
                  <w:vAlign w:val="center"/>
                </w:tcPr>
                <w:p w14:paraId="300387F7">
                  <w:pPr>
                    <w:pStyle w:val="33"/>
                    <w:jc w:val="center"/>
                    <w:rPr>
                      <w:rFonts w:hint="default" w:ascii="Times New Roman" w:hAnsi="Times New Roman" w:eastAsia="宋体"/>
                      <w:color w:val="0000FF"/>
                      <w:sz w:val="21"/>
                      <w:u w:val="none"/>
                      <w:lang w:val="en-US" w:eastAsia="zh-CN"/>
                    </w:rPr>
                  </w:pPr>
                  <w:r>
                    <w:rPr>
                      <w:rFonts w:hint="eastAsia" w:ascii="Times New Roman" w:hAnsi="Times New Roman" w:eastAsia="宋体"/>
                      <w:color w:val="0000FF"/>
                      <w:sz w:val="21"/>
                      <w:u w:val="none"/>
                      <w:lang w:val="en-US" w:eastAsia="zh-CN"/>
                    </w:rPr>
                    <w:t>/</w:t>
                  </w:r>
                </w:p>
              </w:tc>
              <w:tc>
                <w:tcPr>
                  <w:tcW w:w="1114" w:type="dxa"/>
                  <w:vAlign w:val="center"/>
                </w:tcPr>
                <w:p w14:paraId="577C983A">
                  <w:pPr>
                    <w:pStyle w:val="33"/>
                    <w:jc w:val="center"/>
                    <w:rPr>
                      <w:rFonts w:hint="default" w:ascii="Times New Roman" w:hAnsi="Times New Roman" w:eastAsia="宋体"/>
                      <w:color w:val="0000FF"/>
                      <w:sz w:val="21"/>
                      <w:u w:val="none"/>
                      <w:lang w:val="en-US" w:eastAsia="zh-CN"/>
                    </w:rPr>
                  </w:pPr>
                  <w:r>
                    <w:rPr>
                      <w:rFonts w:hint="eastAsia"/>
                      <w:color w:val="0000FF"/>
                      <w:sz w:val="21"/>
                      <w:u w:val="none"/>
                      <w:lang w:val="en-US" w:eastAsia="zh-CN"/>
                    </w:rPr>
                    <w:t>1.0</w:t>
                  </w:r>
                </w:p>
              </w:tc>
            </w:tr>
            <w:tr w14:paraId="10833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84" w:type="dxa"/>
                  <w:vAlign w:val="center"/>
                </w:tcPr>
                <w:p w14:paraId="090C1CC3">
                  <w:pPr>
                    <w:pStyle w:val="33"/>
                    <w:bidi w:val="0"/>
                    <w:ind w:firstLine="0" w:firstLineChars="0"/>
                    <w:jc w:val="center"/>
                    <w:rPr>
                      <w:rFonts w:hint="default"/>
                      <w:color w:val="0000FF"/>
                      <w:lang w:val="en-US" w:eastAsia="zh-CN"/>
                    </w:rPr>
                  </w:pPr>
                  <w:r>
                    <w:rPr>
                      <w:rFonts w:hint="eastAsia"/>
                      <w:color w:val="0000FF"/>
                      <w:lang w:val="en-US" w:eastAsia="zh-CN"/>
                    </w:rPr>
                    <w:t>混料扬尘</w:t>
                  </w:r>
                </w:p>
              </w:tc>
              <w:tc>
                <w:tcPr>
                  <w:tcW w:w="945" w:type="dxa"/>
                  <w:vMerge w:val="continue"/>
                  <w:vAlign w:val="center"/>
                </w:tcPr>
                <w:p w14:paraId="7674D09E">
                  <w:pPr>
                    <w:pStyle w:val="33"/>
                    <w:bidi w:val="0"/>
                    <w:ind w:firstLine="0" w:firstLineChars="0"/>
                    <w:rPr>
                      <w:rFonts w:hint="default" w:ascii="Times New Roman" w:hAnsi="Times New Roman" w:eastAsia="宋体" w:cs="Times New Roman"/>
                      <w:color w:val="0000FF"/>
                      <w:kern w:val="2"/>
                      <w:sz w:val="21"/>
                      <w:szCs w:val="36"/>
                      <w:highlight w:val="none"/>
                      <w:u w:val="none"/>
                      <w:lang w:val="en-US" w:eastAsia="zh-CN" w:bidi="ar-SA"/>
                    </w:rPr>
                  </w:pPr>
                </w:p>
              </w:tc>
              <w:tc>
                <w:tcPr>
                  <w:tcW w:w="1740" w:type="dxa"/>
                  <w:vAlign w:val="center"/>
                </w:tcPr>
                <w:p w14:paraId="6223496C">
                  <w:pPr>
                    <w:pStyle w:val="33"/>
                    <w:ind w:firstLine="0" w:firstLineChars="0"/>
                    <w:jc w:val="center"/>
                    <w:rPr>
                      <w:rFonts w:hint="default" w:ascii="Times New Roman" w:hAnsi="Times New Roman" w:eastAsia="宋体"/>
                      <w:color w:val="0000FF"/>
                      <w:sz w:val="21"/>
                      <w:u w:val="none"/>
                      <w:lang w:val="en-US" w:eastAsia="zh-CN"/>
                    </w:rPr>
                  </w:pPr>
                  <w:r>
                    <w:rPr>
                      <w:rFonts w:hint="eastAsia"/>
                      <w:color w:val="0000FF"/>
                      <w:sz w:val="21"/>
                      <w:u w:val="none"/>
                      <w:lang w:val="en-US" w:eastAsia="zh-CN"/>
                    </w:rPr>
                    <w:t>厂房密闭</w:t>
                  </w:r>
                </w:p>
              </w:tc>
              <w:tc>
                <w:tcPr>
                  <w:tcW w:w="830" w:type="dxa"/>
                  <w:vAlign w:val="center"/>
                </w:tcPr>
                <w:p w14:paraId="6A1D8C1C">
                  <w:pPr>
                    <w:pStyle w:val="33"/>
                    <w:jc w:val="center"/>
                    <w:rPr>
                      <w:rFonts w:hint="default"/>
                      <w:color w:val="0000FF"/>
                      <w:sz w:val="21"/>
                      <w:u w:val="none"/>
                      <w:lang w:val="en-US" w:eastAsia="zh-CN"/>
                    </w:rPr>
                  </w:pPr>
                  <w:r>
                    <w:rPr>
                      <w:rFonts w:hint="eastAsia"/>
                      <w:color w:val="0000FF"/>
                      <w:sz w:val="21"/>
                      <w:u w:val="none"/>
                      <w:lang w:val="en-US" w:eastAsia="zh-CN"/>
                    </w:rPr>
                    <w:t>10</w:t>
                  </w:r>
                </w:p>
              </w:tc>
              <w:tc>
                <w:tcPr>
                  <w:tcW w:w="831" w:type="dxa"/>
                  <w:vAlign w:val="center"/>
                </w:tcPr>
                <w:p w14:paraId="44FFFCC0">
                  <w:pPr>
                    <w:pStyle w:val="33"/>
                    <w:jc w:val="center"/>
                    <w:rPr>
                      <w:rFonts w:hint="default"/>
                      <w:color w:val="0000FF"/>
                      <w:sz w:val="21"/>
                      <w:u w:val="none"/>
                      <w:lang w:val="en-US" w:eastAsia="zh-CN"/>
                    </w:rPr>
                  </w:pPr>
                  <w:r>
                    <w:rPr>
                      <w:rFonts w:hint="eastAsia"/>
                      <w:color w:val="0000FF"/>
                      <w:sz w:val="21"/>
                      <w:u w:val="none"/>
                      <w:lang w:val="en-US" w:eastAsia="zh-CN"/>
                    </w:rPr>
                    <w:t>4.167</w:t>
                  </w:r>
                </w:p>
              </w:tc>
              <w:tc>
                <w:tcPr>
                  <w:tcW w:w="990" w:type="dxa"/>
                  <w:vAlign w:val="center"/>
                </w:tcPr>
                <w:p w14:paraId="775C15C5">
                  <w:pPr>
                    <w:pStyle w:val="33"/>
                    <w:jc w:val="center"/>
                    <w:rPr>
                      <w:rFonts w:hint="default"/>
                      <w:color w:val="0000FF"/>
                      <w:sz w:val="21"/>
                      <w:u w:val="none"/>
                      <w:lang w:val="en-US" w:eastAsia="zh-CN"/>
                    </w:rPr>
                  </w:pPr>
                  <w:r>
                    <w:rPr>
                      <w:rFonts w:hint="eastAsia"/>
                      <w:color w:val="0000FF"/>
                      <w:sz w:val="21"/>
                      <w:u w:val="none"/>
                      <w:lang w:val="en-US" w:eastAsia="zh-CN"/>
                    </w:rPr>
                    <w:t>是</w:t>
                  </w:r>
                </w:p>
              </w:tc>
              <w:tc>
                <w:tcPr>
                  <w:tcW w:w="390" w:type="dxa"/>
                  <w:vMerge w:val="continue"/>
                  <w:vAlign w:val="center"/>
                </w:tcPr>
                <w:p w14:paraId="0E6DE954">
                  <w:pPr>
                    <w:pStyle w:val="33"/>
                    <w:jc w:val="center"/>
                    <w:rPr>
                      <w:rFonts w:hint="default" w:ascii="Times New Roman" w:hAnsi="Times New Roman" w:eastAsia="宋体"/>
                      <w:color w:val="0000FF"/>
                      <w:sz w:val="21"/>
                      <w:u w:val="none"/>
                      <w:lang w:val="en-US" w:eastAsia="zh-CN"/>
                    </w:rPr>
                  </w:pPr>
                </w:p>
              </w:tc>
              <w:tc>
                <w:tcPr>
                  <w:tcW w:w="960" w:type="dxa"/>
                  <w:vAlign w:val="center"/>
                </w:tcPr>
                <w:p w14:paraId="719D92FF">
                  <w:pPr>
                    <w:pStyle w:val="33"/>
                    <w:jc w:val="center"/>
                    <w:rPr>
                      <w:rFonts w:hint="eastAsia" w:ascii="Times New Roman" w:hAnsi="Times New Roman" w:eastAsia="宋体"/>
                      <w:color w:val="0000FF"/>
                      <w:sz w:val="21"/>
                      <w:u w:val="none"/>
                      <w:lang w:val="en-US" w:eastAsia="zh-CN"/>
                    </w:rPr>
                  </w:pPr>
                  <w:r>
                    <w:rPr>
                      <w:rFonts w:hint="eastAsia" w:ascii="Times New Roman" w:hAnsi="Times New Roman" w:eastAsia="宋体"/>
                      <w:color w:val="0000FF"/>
                      <w:sz w:val="21"/>
                      <w:u w:val="none"/>
                      <w:lang w:val="en-US" w:eastAsia="zh-CN"/>
                    </w:rPr>
                    <w:t>/</w:t>
                  </w:r>
                </w:p>
              </w:tc>
              <w:tc>
                <w:tcPr>
                  <w:tcW w:w="1142" w:type="dxa"/>
                  <w:vAlign w:val="center"/>
                </w:tcPr>
                <w:p w14:paraId="64C71363">
                  <w:pPr>
                    <w:pStyle w:val="33"/>
                    <w:bidi w:val="0"/>
                    <w:ind w:firstLine="0" w:firstLineChars="0"/>
                    <w:jc w:val="center"/>
                    <w:rPr>
                      <w:rFonts w:hint="default" w:cs="Times New Roman"/>
                      <w:color w:val="0000FF"/>
                      <w:kern w:val="2"/>
                      <w:sz w:val="21"/>
                      <w:szCs w:val="36"/>
                      <w:highlight w:val="none"/>
                      <w:u w:val="none"/>
                      <w:lang w:val="en-US" w:eastAsia="zh-CN" w:bidi="ar-SA"/>
                    </w:rPr>
                  </w:pPr>
                  <w:r>
                    <w:rPr>
                      <w:rFonts w:hint="eastAsia" w:cs="Times New Roman"/>
                      <w:color w:val="0000FF"/>
                      <w:kern w:val="2"/>
                      <w:sz w:val="21"/>
                      <w:szCs w:val="36"/>
                      <w:highlight w:val="none"/>
                      <w:u w:val="none"/>
                      <w:lang w:val="en-US" w:eastAsia="zh-CN" w:bidi="ar-SA"/>
                    </w:rPr>
                    <w:t>0.04</w:t>
                  </w:r>
                </w:p>
              </w:tc>
              <w:tc>
                <w:tcPr>
                  <w:tcW w:w="1020" w:type="dxa"/>
                  <w:vAlign w:val="center"/>
                </w:tcPr>
                <w:p w14:paraId="12FA00C7">
                  <w:pPr>
                    <w:pStyle w:val="33"/>
                    <w:jc w:val="center"/>
                    <w:rPr>
                      <w:rFonts w:hint="default"/>
                      <w:color w:val="0000FF"/>
                      <w:sz w:val="21"/>
                      <w:u w:val="none"/>
                      <w:lang w:val="en-US" w:eastAsia="zh-CN"/>
                    </w:rPr>
                  </w:pPr>
                  <w:r>
                    <w:rPr>
                      <w:rFonts w:hint="eastAsia"/>
                      <w:color w:val="0000FF"/>
                      <w:sz w:val="21"/>
                      <w:u w:val="none"/>
                      <w:lang w:val="en-US" w:eastAsia="zh-CN"/>
                    </w:rPr>
                    <w:t>0.017</w:t>
                  </w:r>
                </w:p>
              </w:tc>
              <w:tc>
                <w:tcPr>
                  <w:tcW w:w="1138" w:type="dxa"/>
                  <w:vAlign w:val="center"/>
                </w:tcPr>
                <w:p w14:paraId="63610F4C">
                  <w:pPr>
                    <w:pStyle w:val="33"/>
                    <w:jc w:val="center"/>
                    <w:rPr>
                      <w:rFonts w:hint="default" w:ascii="Times New Roman" w:hAnsi="Times New Roman" w:eastAsia="宋体"/>
                      <w:color w:val="0000FF"/>
                      <w:sz w:val="21"/>
                      <w:u w:val="none"/>
                      <w:lang w:val="en-US" w:eastAsia="zh-CN"/>
                    </w:rPr>
                  </w:pPr>
                  <w:r>
                    <w:rPr>
                      <w:rFonts w:hint="eastAsia"/>
                      <w:color w:val="0000FF"/>
                      <w:sz w:val="21"/>
                      <w:u w:val="none"/>
                      <w:lang w:val="en-US" w:eastAsia="zh-CN"/>
                    </w:rPr>
                    <w:t>/</w:t>
                  </w:r>
                </w:p>
              </w:tc>
              <w:tc>
                <w:tcPr>
                  <w:tcW w:w="1114" w:type="dxa"/>
                  <w:vAlign w:val="center"/>
                </w:tcPr>
                <w:p w14:paraId="73FC79F3">
                  <w:pPr>
                    <w:pStyle w:val="33"/>
                    <w:jc w:val="center"/>
                    <w:rPr>
                      <w:rFonts w:hint="default"/>
                      <w:color w:val="0000FF"/>
                      <w:sz w:val="21"/>
                      <w:u w:val="none"/>
                      <w:lang w:val="en-US" w:eastAsia="zh-CN"/>
                    </w:rPr>
                  </w:pPr>
                  <w:r>
                    <w:rPr>
                      <w:rFonts w:hint="eastAsia"/>
                      <w:color w:val="0000FF"/>
                      <w:sz w:val="21"/>
                      <w:u w:val="none"/>
                      <w:lang w:val="en-US" w:eastAsia="zh-CN"/>
                    </w:rPr>
                    <w:t>1.0</w:t>
                  </w:r>
                </w:p>
              </w:tc>
            </w:tr>
            <w:tr w14:paraId="3C33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210" w:type="dxa"/>
                  <w:gridSpan w:val="7"/>
                  <w:vAlign w:val="center"/>
                </w:tcPr>
                <w:p w14:paraId="663FE294">
                  <w:pPr>
                    <w:pStyle w:val="33"/>
                    <w:jc w:val="center"/>
                    <w:rPr>
                      <w:rFonts w:hint="default" w:ascii="Times New Roman" w:hAnsi="Times New Roman" w:eastAsia="宋体"/>
                      <w:color w:val="0000FF"/>
                      <w:sz w:val="21"/>
                      <w:u w:val="none"/>
                      <w:lang w:val="en-US" w:eastAsia="zh-CN"/>
                    </w:rPr>
                  </w:pPr>
                  <w:r>
                    <w:rPr>
                      <w:rFonts w:hint="eastAsia"/>
                      <w:color w:val="0000FF"/>
                      <w:sz w:val="21"/>
                      <w:u w:val="none"/>
                      <w:lang w:val="en-US" w:eastAsia="zh-CN"/>
                    </w:rPr>
                    <w:t>无组织颗粒物排放总量</w:t>
                  </w:r>
                </w:p>
              </w:tc>
              <w:tc>
                <w:tcPr>
                  <w:tcW w:w="960" w:type="dxa"/>
                  <w:vAlign w:val="center"/>
                </w:tcPr>
                <w:p w14:paraId="36110884">
                  <w:pPr>
                    <w:pStyle w:val="33"/>
                    <w:jc w:val="center"/>
                    <w:rPr>
                      <w:rFonts w:hint="default" w:ascii="Times New Roman" w:hAnsi="Times New Roman" w:eastAsia="宋体"/>
                      <w:color w:val="0000FF"/>
                      <w:sz w:val="21"/>
                      <w:u w:val="none"/>
                      <w:lang w:val="en-US" w:eastAsia="zh-CN"/>
                    </w:rPr>
                  </w:pPr>
                  <w:r>
                    <w:rPr>
                      <w:rFonts w:hint="eastAsia"/>
                      <w:color w:val="0000FF"/>
                      <w:sz w:val="21"/>
                      <w:u w:val="none"/>
                      <w:lang w:val="en-US" w:eastAsia="zh-CN"/>
                    </w:rPr>
                    <w:t>/</w:t>
                  </w:r>
                </w:p>
              </w:tc>
              <w:tc>
                <w:tcPr>
                  <w:tcW w:w="1142" w:type="dxa"/>
                  <w:vAlign w:val="center"/>
                </w:tcPr>
                <w:p w14:paraId="68CC6D22">
                  <w:pPr>
                    <w:pStyle w:val="33"/>
                    <w:bidi w:val="0"/>
                    <w:ind w:firstLine="0" w:firstLineChars="0"/>
                    <w:jc w:val="center"/>
                    <w:rPr>
                      <w:rFonts w:hint="default" w:cs="Times New Roman"/>
                      <w:color w:val="0000FF"/>
                      <w:kern w:val="2"/>
                      <w:sz w:val="21"/>
                      <w:szCs w:val="36"/>
                      <w:highlight w:val="none"/>
                      <w:u w:val="none"/>
                      <w:lang w:val="en-US" w:eastAsia="zh-CN" w:bidi="ar-SA"/>
                    </w:rPr>
                  </w:pPr>
                  <w:r>
                    <w:rPr>
                      <w:rFonts w:hint="eastAsia" w:cs="Times New Roman"/>
                      <w:color w:val="0000FF"/>
                      <w:kern w:val="2"/>
                      <w:sz w:val="21"/>
                      <w:szCs w:val="36"/>
                      <w:highlight w:val="none"/>
                      <w:u w:val="none"/>
                      <w:lang w:val="en-US" w:eastAsia="zh-CN" w:bidi="ar-SA"/>
                    </w:rPr>
                    <w:t>5.222</w:t>
                  </w:r>
                </w:p>
              </w:tc>
              <w:tc>
                <w:tcPr>
                  <w:tcW w:w="1020" w:type="dxa"/>
                  <w:vAlign w:val="center"/>
                </w:tcPr>
                <w:p w14:paraId="161CFFEE">
                  <w:pPr>
                    <w:pStyle w:val="33"/>
                    <w:jc w:val="center"/>
                    <w:rPr>
                      <w:rFonts w:hint="default"/>
                      <w:color w:val="0000FF"/>
                      <w:sz w:val="21"/>
                      <w:u w:val="none"/>
                      <w:lang w:val="en-US" w:eastAsia="zh-CN"/>
                    </w:rPr>
                  </w:pPr>
                  <w:r>
                    <w:rPr>
                      <w:rFonts w:hint="eastAsia"/>
                      <w:color w:val="0000FF"/>
                      <w:sz w:val="21"/>
                      <w:u w:val="none"/>
                      <w:lang w:val="en-US" w:eastAsia="zh-CN"/>
                    </w:rPr>
                    <w:t>0.725</w:t>
                  </w:r>
                </w:p>
              </w:tc>
              <w:tc>
                <w:tcPr>
                  <w:tcW w:w="1138" w:type="dxa"/>
                  <w:vAlign w:val="center"/>
                </w:tcPr>
                <w:p w14:paraId="59D57FD8">
                  <w:pPr>
                    <w:pStyle w:val="33"/>
                    <w:jc w:val="center"/>
                    <w:rPr>
                      <w:rFonts w:hint="default" w:ascii="Times New Roman" w:hAnsi="Times New Roman" w:eastAsia="宋体"/>
                      <w:color w:val="0000FF"/>
                      <w:sz w:val="21"/>
                      <w:u w:val="none"/>
                      <w:lang w:val="en-US" w:eastAsia="zh-CN"/>
                    </w:rPr>
                  </w:pPr>
                  <w:r>
                    <w:rPr>
                      <w:rFonts w:hint="eastAsia"/>
                      <w:color w:val="0000FF"/>
                      <w:sz w:val="21"/>
                      <w:u w:val="none"/>
                      <w:lang w:val="en-US" w:eastAsia="zh-CN"/>
                    </w:rPr>
                    <w:t>/</w:t>
                  </w:r>
                </w:p>
              </w:tc>
              <w:tc>
                <w:tcPr>
                  <w:tcW w:w="1114" w:type="dxa"/>
                  <w:vAlign w:val="center"/>
                </w:tcPr>
                <w:p w14:paraId="5F1914C6">
                  <w:pPr>
                    <w:pStyle w:val="33"/>
                    <w:jc w:val="center"/>
                    <w:rPr>
                      <w:rFonts w:hint="default"/>
                      <w:color w:val="0000FF"/>
                      <w:sz w:val="21"/>
                      <w:u w:val="none"/>
                      <w:lang w:val="en-US" w:eastAsia="zh-CN"/>
                    </w:rPr>
                  </w:pPr>
                  <w:r>
                    <w:rPr>
                      <w:rFonts w:hint="eastAsia"/>
                      <w:color w:val="0000FF"/>
                      <w:sz w:val="21"/>
                      <w:u w:val="none"/>
                      <w:lang w:val="en-US" w:eastAsia="zh-CN"/>
                    </w:rPr>
                    <w:t>1.0</w:t>
                  </w:r>
                </w:p>
              </w:tc>
            </w:tr>
          </w:tbl>
          <w:p w14:paraId="4D2BA9C3">
            <w:pPr>
              <w:ind w:left="0" w:leftChars="0" w:firstLine="0" w:firstLineChars="0"/>
              <w:rPr>
                <w:rFonts w:hint="eastAsia"/>
              </w:rPr>
            </w:pPr>
          </w:p>
        </w:tc>
      </w:tr>
    </w:tbl>
    <w:p w14:paraId="714703AF">
      <w:pPr>
        <w:pStyle w:val="12"/>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
        <w:gridCol w:w="8239"/>
      </w:tblGrid>
      <w:tr w14:paraId="2B793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3" w:hRule="atLeast"/>
        </w:trPr>
        <w:tc>
          <w:tcPr>
            <w:tcW w:w="283" w:type="dxa"/>
          </w:tcPr>
          <w:p w14:paraId="25169F39">
            <w:pPr>
              <w:rPr>
                <w:rFonts w:hint="default" w:ascii="Times New Roman" w:hAnsi="Times New Roman" w:cs="Times New Roman"/>
                <w:vertAlign w:val="baseline"/>
              </w:rPr>
            </w:pPr>
          </w:p>
        </w:tc>
        <w:tc>
          <w:tcPr>
            <w:tcW w:w="8239" w:type="dxa"/>
          </w:tcPr>
          <w:p w14:paraId="0858A399">
            <w:pPr>
              <w:spacing w:line="360" w:lineRule="auto"/>
              <w:ind w:firstLine="482" w:firstLineChars="200"/>
              <w:rPr>
                <w:rFonts w:hint="default" w:ascii="Times New Roman" w:hAnsi="Times New Roman" w:cs="Times New Roman"/>
                <w:b/>
                <w:color w:val="auto"/>
                <w:spacing w:val="-10"/>
                <w:sz w:val="24"/>
              </w:rPr>
            </w:pPr>
            <w:r>
              <w:rPr>
                <w:rFonts w:hint="default" w:ascii="Times New Roman" w:hAnsi="Times New Roman" w:cs="Times New Roman"/>
                <w:b/>
                <w:bCs/>
                <w:color w:val="auto"/>
                <w:highlight w:val="none"/>
                <w:u w:val="none"/>
                <w:lang w:val="en-US" w:eastAsia="zh-CN"/>
              </w:rPr>
              <w:t>（2）</w:t>
            </w:r>
            <w:r>
              <w:rPr>
                <w:rFonts w:hint="default" w:ascii="Times New Roman" w:hAnsi="Times New Roman" w:cs="Times New Roman"/>
                <w:b/>
                <w:bCs/>
                <w:color w:val="auto"/>
                <w:sz w:val="24"/>
              </w:rPr>
              <w:t>废气防治措施可行性分析</w:t>
            </w:r>
          </w:p>
          <w:p w14:paraId="30DB1B70">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根据《环境空气细颗粒物污染综合防治技术政策》（2013年9月25日实施）细颗粒物污染防治技术简要说明：（一）遮风技术，包括适用于各种露天堆场和施工工地遮挡措施。（二）抑尘技术，包括喷洒水雾和抑尘剂，适用于施工场所、堆场、装卸作业等场地。（三）施工物料运输车辆清洗技术，适用于上路行驶的物料、渣土运输车辆。（四）道路清扫技术，包括人工清扫、机械清扫。</w:t>
            </w:r>
          </w:p>
          <w:p w14:paraId="751AC62E">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项目晾晒厂房和</w:t>
            </w:r>
            <w:r>
              <w:rPr>
                <w:rFonts w:hint="default" w:ascii="Times New Roman" w:hAnsi="Times New Roman" w:cs="Times New Roman"/>
                <w:color w:val="000000"/>
                <w:kern w:val="0"/>
                <w:sz w:val="24"/>
                <w:szCs w:val="24"/>
                <w:highlight w:val="none"/>
                <w:lang w:val="en-US" w:eastAsia="zh-CN" w:bidi="ar"/>
              </w:rPr>
              <w:t>堆煤场</w:t>
            </w:r>
            <w:r>
              <w:rPr>
                <w:rFonts w:hint="default" w:ascii="Times New Roman" w:hAnsi="Times New Roman" w:eastAsia="宋体" w:cs="Times New Roman"/>
                <w:color w:val="000000"/>
                <w:kern w:val="0"/>
                <w:sz w:val="24"/>
                <w:szCs w:val="24"/>
                <w:highlight w:val="none"/>
                <w:lang w:val="en-US" w:eastAsia="zh-CN" w:bidi="ar"/>
              </w:rPr>
              <w:t>全封闭，仅保留进出口，可有效起到抑尘效果；本项目运输扬尘主要采取篷布遮盖密闭运输、道路硬化并及时清扫和洒水降尘措施，尤其是在干旱大风天气要增大洒水次数及洒水量，保证了洒水降尘效果。以上措施属于《环境空气细颗粒物污染综合防治技术政策》（2013年9月25日实施）中的可行技术。</w:t>
            </w:r>
          </w:p>
          <w:p w14:paraId="6ED366D4">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综上所述，项目废气治理措施属于可行技术，项目废气防治措施可行。</w:t>
            </w:r>
          </w:p>
          <w:p w14:paraId="704271F7">
            <w:pPr>
              <w:keepNext w:val="0"/>
              <w:keepLines w:val="0"/>
              <w:widowControl/>
              <w:suppressLineNumbers w:val="0"/>
              <w:jc w:val="left"/>
              <w:rPr>
                <w:rFonts w:hint="default" w:ascii="Times New Roman" w:hAnsi="Times New Roman" w:eastAsia="宋体" w:cs="Times New Roman"/>
                <w:b/>
                <w:bCs/>
                <w:color w:val="000000"/>
                <w:kern w:val="0"/>
                <w:sz w:val="24"/>
                <w:szCs w:val="24"/>
                <w:highlight w:val="none"/>
                <w:lang w:val="en-US" w:eastAsia="zh-CN" w:bidi="ar"/>
              </w:rPr>
            </w:pPr>
            <w:r>
              <w:rPr>
                <w:rFonts w:hint="default" w:ascii="Times New Roman" w:hAnsi="Times New Roman" w:eastAsia="宋体" w:cs="Times New Roman"/>
                <w:b/>
                <w:bCs/>
                <w:color w:val="000000"/>
                <w:kern w:val="0"/>
                <w:sz w:val="24"/>
                <w:szCs w:val="24"/>
                <w:highlight w:val="none"/>
                <w:lang w:val="en-US" w:eastAsia="zh-CN" w:bidi="ar"/>
              </w:rPr>
              <w:t>（3）</w:t>
            </w:r>
            <w:r>
              <w:rPr>
                <w:rFonts w:hint="default" w:ascii="Times New Roman" w:hAnsi="Times New Roman" w:cs="Times New Roman"/>
                <w:b/>
                <w:bCs/>
                <w:color w:val="auto"/>
                <w:sz w:val="24"/>
              </w:rPr>
              <w:t>废气环境影响分析</w:t>
            </w:r>
          </w:p>
          <w:p w14:paraId="0DF5A29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4"/>
                <w:highlight w:val="none"/>
                <w:u w:val="none"/>
                <w:lang w:val="en-US" w:eastAsia="zh-CN"/>
              </w:rPr>
            </w:pPr>
            <w:r>
              <w:rPr>
                <w:rFonts w:hint="default" w:ascii="Times New Roman" w:hAnsi="Times New Roman" w:cs="Times New Roman"/>
                <w:color w:val="0000FF"/>
                <w:kern w:val="0"/>
                <w:sz w:val="24"/>
                <w:lang w:bidi="ar"/>
              </w:rPr>
              <w:t>根据上文大气污染源强分析</w:t>
            </w:r>
            <w:r>
              <w:rPr>
                <w:rFonts w:hint="default" w:ascii="Times New Roman" w:hAnsi="Times New Roman" w:cs="Times New Roman"/>
                <w:color w:val="0000FF"/>
                <w:kern w:val="0"/>
                <w:sz w:val="24"/>
                <w:lang w:eastAsia="zh-CN" w:bidi="ar"/>
              </w:rPr>
              <w:t>，</w:t>
            </w:r>
            <w:r>
              <w:rPr>
                <w:rFonts w:hint="default" w:ascii="Times New Roman" w:hAnsi="Times New Roman" w:cs="Times New Roman"/>
                <w:color w:val="0000FF"/>
                <w:sz w:val="24"/>
              </w:rPr>
              <w:t>项目</w:t>
            </w:r>
            <w:r>
              <w:rPr>
                <w:rFonts w:hint="default" w:ascii="Times New Roman" w:hAnsi="Times New Roman" w:cs="Times New Roman"/>
                <w:color w:val="0000FF"/>
                <w:sz w:val="24"/>
                <w:lang w:val="en-US" w:eastAsia="zh-CN"/>
              </w:rPr>
              <w:t>运营期产生的废气主要为</w:t>
            </w:r>
            <w:r>
              <w:rPr>
                <w:rFonts w:hint="default" w:ascii="Times New Roman" w:hAnsi="Times New Roman" w:cs="Times New Roman"/>
                <w:color w:val="0000FF"/>
                <w:sz w:val="24"/>
              </w:rPr>
              <w:t>无组织</w:t>
            </w:r>
            <w:r>
              <w:rPr>
                <w:rFonts w:hint="default" w:ascii="Times New Roman" w:hAnsi="Times New Roman" w:cs="Times New Roman"/>
                <w:color w:val="0000FF"/>
                <w:u w:val="none"/>
                <w:lang w:val="en-US" w:eastAsia="zh-CN"/>
              </w:rPr>
              <w:t>煤炭堆放及装卸扬尘和</w:t>
            </w:r>
            <w:r>
              <w:rPr>
                <w:rFonts w:hint="default" w:ascii="Times New Roman" w:hAnsi="Times New Roman" w:cs="Times New Roman"/>
                <w:color w:val="0000FF"/>
                <w:lang w:val="en-US" w:eastAsia="zh-CN"/>
              </w:rPr>
              <w:t>车辆行驶动力扬尘</w:t>
            </w:r>
            <w:r>
              <w:rPr>
                <w:rFonts w:hint="default" w:ascii="Times New Roman" w:hAnsi="Times New Roman" w:cs="Times New Roman"/>
                <w:color w:val="0000FF"/>
                <w:sz w:val="24"/>
              </w:rPr>
              <w:t>，经过</w:t>
            </w:r>
            <w:r>
              <w:rPr>
                <w:rFonts w:hint="default" w:ascii="Times New Roman" w:hAnsi="Times New Roman" w:cs="Times New Roman"/>
                <w:color w:val="0000FF"/>
                <w:sz w:val="24"/>
                <w:lang w:val="en-US" w:eastAsia="zh-CN"/>
              </w:rPr>
              <w:t>仓库密闭、洒水降尘等</w:t>
            </w:r>
            <w:r>
              <w:rPr>
                <w:rFonts w:hint="default" w:ascii="Times New Roman" w:hAnsi="Times New Roman" w:cs="Times New Roman"/>
                <w:color w:val="0000FF"/>
                <w:sz w:val="24"/>
              </w:rPr>
              <w:t>措施后无组织废气排放总量为</w:t>
            </w:r>
            <w:r>
              <w:rPr>
                <w:rFonts w:hint="eastAsia" w:cs="Times New Roman"/>
                <w:color w:val="0000FF"/>
                <w:sz w:val="24"/>
                <w:lang w:val="en-US" w:eastAsia="zh-CN"/>
              </w:rPr>
              <w:t>5.222</w:t>
            </w:r>
            <w:r>
              <w:rPr>
                <w:rFonts w:hint="default" w:ascii="Times New Roman" w:hAnsi="Times New Roman" w:cs="Times New Roman"/>
                <w:color w:val="0000FF"/>
                <w:sz w:val="24"/>
              </w:rPr>
              <w:t>t/a</w:t>
            </w:r>
            <w:r>
              <w:rPr>
                <w:rFonts w:hint="eastAsia" w:cs="Times New Roman"/>
                <w:color w:val="0000FF"/>
                <w:sz w:val="24"/>
                <w:lang w:val="en-US" w:eastAsia="zh-CN"/>
              </w:rPr>
              <w:t>，0.725kg/h</w:t>
            </w:r>
            <w:r>
              <w:rPr>
                <w:rFonts w:hint="default" w:ascii="Times New Roman" w:hAnsi="Times New Roman" w:cs="Times New Roman"/>
                <w:color w:val="0000FF"/>
                <w:sz w:val="24"/>
              </w:rPr>
              <w:t>。</w:t>
            </w:r>
            <w:r>
              <w:rPr>
                <w:rFonts w:hint="default" w:ascii="Times New Roman" w:hAnsi="Times New Roman" w:cs="Times New Roman"/>
                <w:color w:val="0000FF"/>
              </w:rPr>
              <w:t>根据AERSCREEN估算模型估算，</w:t>
            </w:r>
            <w:r>
              <w:rPr>
                <w:rFonts w:hint="default" w:ascii="Times New Roman" w:hAnsi="Times New Roman" w:cs="Times New Roman"/>
                <w:bCs/>
                <w:color w:val="0000FF"/>
              </w:rPr>
              <w:t>项目无组织</w:t>
            </w:r>
            <w:r>
              <w:rPr>
                <w:rFonts w:hint="default" w:ascii="Times New Roman" w:hAnsi="Times New Roman" w:cs="Times New Roman"/>
                <w:color w:val="0000FF"/>
              </w:rPr>
              <w:t>粉尘排放的小时落地浓度最大值出现在厂界外下风向</w:t>
            </w:r>
            <w:r>
              <w:rPr>
                <w:rFonts w:hint="default" w:ascii="Times New Roman" w:hAnsi="Times New Roman" w:cs="Times New Roman"/>
                <w:color w:val="0000FF"/>
                <w:lang w:val="en-US" w:eastAsia="zh-CN"/>
              </w:rPr>
              <w:t>4</w:t>
            </w:r>
            <w:r>
              <w:rPr>
                <w:rFonts w:hint="eastAsia" w:cs="Times New Roman"/>
                <w:color w:val="0000FF"/>
                <w:lang w:val="en-US" w:eastAsia="zh-CN"/>
              </w:rPr>
              <w:t>6</w:t>
            </w:r>
            <w:r>
              <w:rPr>
                <w:rFonts w:hint="default" w:ascii="Times New Roman" w:hAnsi="Times New Roman" w:cs="Times New Roman"/>
                <w:color w:val="0000FF"/>
              </w:rPr>
              <w:t>m处，其浓度值为0.</w:t>
            </w:r>
            <w:r>
              <w:rPr>
                <w:rFonts w:hint="eastAsia" w:cs="Times New Roman"/>
                <w:color w:val="0000FF"/>
                <w:lang w:val="en-US" w:eastAsia="zh-CN"/>
              </w:rPr>
              <w:t>27</w:t>
            </w:r>
            <w:r>
              <w:rPr>
                <w:rFonts w:hint="default" w:ascii="Times New Roman" w:hAnsi="Times New Roman" w:cs="Times New Roman"/>
                <w:color w:val="0000FF"/>
              </w:rPr>
              <w:t>m</w:t>
            </w:r>
            <w:r>
              <w:rPr>
                <w:rFonts w:hint="default" w:ascii="Times New Roman" w:hAnsi="Times New Roman" w:cs="Times New Roman"/>
                <w:color w:val="0000FF"/>
                <w:kern w:val="0"/>
                <w:lang w:val="zh-CN"/>
              </w:rPr>
              <w:t>g/m³</w:t>
            </w:r>
            <w:r>
              <w:rPr>
                <w:rFonts w:hint="default" w:ascii="Times New Roman" w:hAnsi="Times New Roman" w:cs="Times New Roman"/>
                <w:color w:val="0000FF"/>
                <w:kern w:val="0"/>
              </w:rPr>
              <w:t>，</w:t>
            </w:r>
            <w:r>
              <w:rPr>
                <w:rFonts w:hint="default" w:ascii="Times New Roman" w:hAnsi="Times New Roman" w:cs="Times New Roman"/>
                <w:color w:val="auto"/>
                <w:kern w:val="0"/>
              </w:rPr>
              <w:t>能满足</w:t>
            </w:r>
            <w:r>
              <w:rPr>
                <w:rFonts w:hint="default" w:ascii="Times New Roman" w:hAnsi="Times New Roman" w:cs="Times New Roman"/>
                <w:color w:val="auto"/>
              </w:rPr>
              <w:t>《煤炭工业污染物排放标准》（GB20426-2006）表 5规定限</w:t>
            </w:r>
            <w:r>
              <w:rPr>
                <w:rFonts w:hint="default" w:ascii="Times New Roman" w:hAnsi="Times New Roman" w:cs="Times New Roman"/>
                <w:color w:val="auto"/>
                <w:kern w:val="0"/>
              </w:rPr>
              <w:t>值：</w:t>
            </w:r>
            <w:r>
              <w:rPr>
                <w:rFonts w:hint="default" w:ascii="Times New Roman" w:hAnsi="Times New Roman" w:cs="Times New Roman"/>
                <w:color w:val="auto"/>
              </w:rPr>
              <w:t>1.0mg/m³的要求</w:t>
            </w:r>
            <w:r>
              <w:rPr>
                <w:rFonts w:hint="eastAsia" w:ascii="Times New Roman" w:hAnsi="Times New Roman" w:cs="Times New Roman"/>
                <w:color w:val="auto"/>
                <w:lang w:eastAsia="zh-CN"/>
              </w:rPr>
              <w:t>，</w:t>
            </w:r>
            <w:r>
              <w:rPr>
                <w:rFonts w:hint="default" w:ascii="Times New Roman" w:hAnsi="Times New Roman" w:cs="Times New Roman"/>
                <w:color w:val="auto"/>
              </w:rPr>
              <w:t>大气环境影响可以接受。</w:t>
            </w:r>
            <w:r>
              <w:rPr>
                <w:rFonts w:hint="default" w:ascii="Times New Roman" w:hAnsi="Times New Roman" w:cs="Times New Roman"/>
                <w:color w:val="auto"/>
                <w:sz w:val="24"/>
                <w:u w:val="none"/>
              </w:rPr>
              <w:t>项目废气正常排放对周围大气环境及敏感点环境影响在可接受范围或程度内，不会改变其环境质量功能。</w:t>
            </w:r>
          </w:p>
          <w:p w14:paraId="519B22E8">
            <w:pPr>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w:t>
            </w:r>
            <w:r>
              <w:rPr>
                <w:rFonts w:hint="eastAsia" w:ascii="Times New Roman" w:hAnsi="Times New Roman" w:cs="Times New Roman"/>
                <w:b/>
                <w:bCs/>
                <w:lang w:val="en-US" w:eastAsia="zh-CN"/>
              </w:rPr>
              <w:t>4</w:t>
            </w:r>
            <w:r>
              <w:rPr>
                <w:rFonts w:hint="default" w:ascii="Times New Roman" w:hAnsi="Times New Roman" w:cs="Times New Roman"/>
                <w:b/>
                <w:bCs/>
                <w:lang w:val="en-US" w:eastAsia="zh-CN"/>
              </w:rPr>
              <w:t>）</w:t>
            </w:r>
            <w:r>
              <w:rPr>
                <w:rFonts w:hint="eastAsia" w:ascii="Times New Roman" w:hAnsi="Times New Roman" w:cs="Times New Roman"/>
                <w:b/>
                <w:bCs/>
                <w:lang w:val="en-US" w:eastAsia="zh-CN"/>
              </w:rPr>
              <w:t>环境敏感目标影响分析</w:t>
            </w:r>
          </w:p>
          <w:p w14:paraId="15E24415">
            <w:pPr>
              <w:keepNext w:val="0"/>
              <w:keepLines w:val="0"/>
              <w:pageBreakBefore w:val="0"/>
              <w:widowControl/>
              <w:suppressLineNumbers w:val="0"/>
              <w:kinsoku/>
              <w:wordWrap/>
              <w:overflowPunct/>
              <w:topLinePunct w:val="0"/>
              <w:autoSpaceDE/>
              <w:autoSpaceDN/>
              <w:bidi w:val="0"/>
              <w:adjustRightInd/>
              <w:snapToGrid/>
              <w:spacing w:before="0" w:beforeLines="-2147483648"/>
              <w:jc w:val="left"/>
              <w:textAlignment w:val="auto"/>
              <w:rPr>
                <w:rFonts w:hint="default" w:ascii="Times New Roman" w:hAnsi="Times New Roman" w:cs="Times New Roman"/>
                <w:color w:val="FF0000"/>
                <w:u w:val="single"/>
              </w:rPr>
            </w:pPr>
            <w:r>
              <w:rPr>
                <w:color w:val="auto"/>
                <w:sz w:val="24"/>
              </w:rPr>
              <w:t>项目所在区域环境空气质量可达《环境空气质量标准》（GB3095-2012）及修改单二级标准要求，属于大气环境</w:t>
            </w:r>
            <w:r>
              <w:rPr>
                <w:rFonts w:hint="eastAsia"/>
                <w:color w:val="auto"/>
                <w:sz w:val="24"/>
              </w:rPr>
              <w:t>质量</w:t>
            </w:r>
            <w:r>
              <w:rPr>
                <w:color w:val="auto"/>
                <w:sz w:val="24"/>
              </w:rPr>
              <w:t>达标区。</w:t>
            </w:r>
            <w:r>
              <w:rPr>
                <w:rFonts w:hint="default" w:ascii="Times New Roman" w:hAnsi="Times New Roman" w:cs="Times New Roman"/>
                <w:color w:val="auto"/>
                <w:sz w:val="24"/>
              </w:rPr>
              <w:t>项目</w:t>
            </w:r>
            <w:r>
              <w:rPr>
                <w:rFonts w:hint="default" w:ascii="Times New Roman" w:hAnsi="Times New Roman" w:cs="Times New Roman"/>
                <w:color w:val="auto"/>
                <w:sz w:val="24"/>
                <w:lang w:val="en-US" w:eastAsia="zh-CN"/>
              </w:rPr>
              <w:t>运营期产生的废气主要为</w:t>
            </w:r>
            <w:r>
              <w:rPr>
                <w:rFonts w:hint="default" w:ascii="Times New Roman" w:hAnsi="Times New Roman" w:cs="Times New Roman"/>
                <w:color w:val="auto"/>
                <w:sz w:val="24"/>
              </w:rPr>
              <w:t>无组织</w:t>
            </w:r>
            <w:r>
              <w:rPr>
                <w:rFonts w:hint="default" w:ascii="Times New Roman" w:hAnsi="Times New Roman" w:cs="Times New Roman"/>
                <w:color w:val="auto"/>
                <w:u w:val="none"/>
                <w:lang w:val="en-US" w:eastAsia="zh-CN"/>
              </w:rPr>
              <w:t>煤炭堆放及装卸扬尘和</w:t>
            </w:r>
            <w:r>
              <w:rPr>
                <w:rFonts w:hint="default" w:ascii="Times New Roman" w:hAnsi="Times New Roman" w:cs="Times New Roman"/>
                <w:lang w:val="en-US" w:eastAsia="zh-CN"/>
              </w:rPr>
              <w:t>车辆行驶动力扬尘</w:t>
            </w:r>
            <w:r>
              <w:rPr>
                <w:rFonts w:hint="default" w:ascii="Times New Roman" w:hAnsi="Times New Roman" w:cs="Times New Roman"/>
                <w:color w:val="auto"/>
                <w:sz w:val="24"/>
              </w:rPr>
              <w:t>，经过</w:t>
            </w:r>
            <w:r>
              <w:rPr>
                <w:rFonts w:hint="default" w:ascii="Times New Roman" w:hAnsi="Times New Roman" w:cs="Times New Roman"/>
                <w:color w:val="auto"/>
                <w:sz w:val="24"/>
                <w:lang w:val="en-US" w:eastAsia="zh-CN"/>
              </w:rPr>
              <w:t>仓库密闭、洒水降尘等</w:t>
            </w:r>
            <w:r>
              <w:rPr>
                <w:rFonts w:hint="default" w:ascii="Times New Roman" w:hAnsi="Times New Roman" w:cs="Times New Roman"/>
                <w:color w:val="auto"/>
                <w:sz w:val="24"/>
              </w:rPr>
              <w:t>措施后无组织废气排放总量为</w:t>
            </w:r>
            <w:r>
              <w:rPr>
                <w:rFonts w:hint="eastAsia" w:cs="Times New Roman"/>
                <w:color w:val="0000FF"/>
                <w:sz w:val="24"/>
                <w:lang w:val="en-US" w:eastAsia="zh-CN"/>
              </w:rPr>
              <w:t>5.222</w:t>
            </w:r>
            <w:r>
              <w:rPr>
                <w:rFonts w:hint="default" w:ascii="Times New Roman" w:hAnsi="Times New Roman" w:cs="Times New Roman"/>
                <w:color w:val="0000FF"/>
                <w:sz w:val="24"/>
              </w:rPr>
              <w:t>t/a</w:t>
            </w:r>
            <w:r>
              <w:rPr>
                <w:rFonts w:hint="eastAsia" w:cs="Times New Roman"/>
                <w:color w:val="0000FF"/>
                <w:sz w:val="24"/>
                <w:lang w:val="en-US" w:eastAsia="zh-CN"/>
              </w:rPr>
              <w:t>，0.725kg/h</w:t>
            </w:r>
            <w:r>
              <w:rPr>
                <w:rFonts w:hint="default" w:ascii="Times New Roman" w:hAnsi="Times New Roman" w:cs="Times New Roman"/>
                <w:color w:val="0000FF"/>
                <w:sz w:val="24"/>
              </w:rPr>
              <w:t>。</w:t>
            </w:r>
            <w:r>
              <w:rPr>
                <w:rFonts w:hint="default" w:ascii="Times New Roman" w:hAnsi="Times New Roman" w:cs="Times New Roman"/>
                <w:color w:val="0000FF"/>
              </w:rPr>
              <w:t>根据AERSCREEN估算模型估算，</w:t>
            </w:r>
            <w:r>
              <w:rPr>
                <w:rFonts w:hint="default" w:ascii="Times New Roman" w:hAnsi="Times New Roman" w:cs="Times New Roman"/>
                <w:bCs/>
                <w:color w:val="0000FF"/>
              </w:rPr>
              <w:t>项目无组织</w:t>
            </w:r>
            <w:r>
              <w:rPr>
                <w:rFonts w:hint="default" w:ascii="Times New Roman" w:hAnsi="Times New Roman" w:cs="Times New Roman"/>
                <w:color w:val="0000FF"/>
              </w:rPr>
              <w:t>粉尘排放的小时落地浓度最大值出现在厂界外下风向</w:t>
            </w:r>
            <w:r>
              <w:rPr>
                <w:rFonts w:hint="default" w:ascii="Times New Roman" w:hAnsi="Times New Roman" w:cs="Times New Roman"/>
                <w:color w:val="0000FF"/>
                <w:lang w:val="en-US" w:eastAsia="zh-CN"/>
              </w:rPr>
              <w:t>4</w:t>
            </w:r>
            <w:r>
              <w:rPr>
                <w:rFonts w:hint="eastAsia" w:cs="Times New Roman"/>
                <w:color w:val="0000FF"/>
                <w:lang w:val="en-US" w:eastAsia="zh-CN"/>
              </w:rPr>
              <w:t>6</w:t>
            </w:r>
            <w:r>
              <w:rPr>
                <w:rFonts w:hint="default" w:ascii="Times New Roman" w:hAnsi="Times New Roman" w:cs="Times New Roman"/>
                <w:color w:val="0000FF"/>
              </w:rPr>
              <w:t>m处，其浓度值为0.</w:t>
            </w:r>
            <w:r>
              <w:rPr>
                <w:rFonts w:hint="eastAsia" w:cs="Times New Roman"/>
                <w:color w:val="0000FF"/>
                <w:lang w:val="en-US" w:eastAsia="zh-CN"/>
              </w:rPr>
              <w:t>27</w:t>
            </w:r>
            <w:r>
              <w:rPr>
                <w:rFonts w:hint="default" w:ascii="Times New Roman" w:hAnsi="Times New Roman" w:cs="Times New Roman"/>
                <w:color w:val="0000FF"/>
              </w:rPr>
              <w:t>m</w:t>
            </w:r>
            <w:r>
              <w:rPr>
                <w:rFonts w:hint="default" w:ascii="Times New Roman" w:hAnsi="Times New Roman" w:cs="Times New Roman"/>
                <w:color w:val="0000FF"/>
                <w:kern w:val="0"/>
                <w:lang w:val="zh-CN"/>
              </w:rPr>
              <w:t>g/m³</w:t>
            </w:r>
            <w:r>
              <w:rPr>
                <w:rFonts w:hint="default" w:ascii="Times New Roman" w:hAnsi="Times New Roman" w:cs="Times New Roman"/>
                <w:color w:val="auto"/>
                <w:kern w:val="0"/>
              </w:rPr>
              <w:t>，能满足</w:t>
            </w:r>
            <w:r>
              <w:rPr>
                <w:rFonts w:hint="default" w:ascii="Times New Roman" w:hAnsi="Times New Roman" w:cs="Times New Roman"/>
                <w:color w:val="auto"/>
              </w:rPr>
              <w:t>《煤炭工业污染物排放标准》（GB20426-2006）表 5规定限</w:t>
            </w:r>
            <w:r>
              <w:rPr>
                <w:rFonts w:hint="default" w:ascii="Times New Roman" w:hAnsi="Times New Roman" w:cs="Times New Roman"/>
                <w:color w:val="auto"/>
                <w:kern w:val="0"/>
              </w:rPr>
              <w:t>值：</w:t>
            </w:r>
            <w:r>
              <w:rPr>
                <w:rFonts w:hint="default" w:ascii="Times New Roman" w:hAnsi="Times New Roman" w:cs="Times New Roman"/>
                <w:color w:val="auto"/>
              </w:rPr>
              <w:t>1.0mg/m³的要求</w:t>
            </w:r>
            <w:r>
              <w:rPr>
                <w:rFonts w:hint="eastAsia" w:ascii="Times New Roman" w:hAnsi="Times New Roman" w:cs="Times New Roman"/>
                <w:color w:val="auto"/>
                <w:lang w:eastAsia="zh-CN"/>
              </w:rPr>
              <w:t>，</w:t>
            </w:r>
            <w:r>
              <w:rPr>
                <w:rFonts w:hint="default" w:ascii="Times New Roman" w:hAnsi="Times New Roman" w:cs="Times New Roman"/>
                <w:color w:val="auto"/>
              </w:rPr>
              <w:t>大气环境影响可以接受。</w:t>
            </w:r>
            <w:r>
              <w:rPr>
                <w:color w:val="auto"/>
                <w:sz w:val="24"/>
              </w:rPr>
              <w:t>项目</w:t>
            </w:r>
            <w:r>
              <w:rPr>
                <w:rFonts w:hint="eastAsia"/>
                <w:color w:val="auto"/>
                <w:sz w:val="24"/>
                <w:lang w:val="en-US" w:eastAsia="zh-CN"/>
              </w:rPr>
              <w:t>500m范围内</w:t>
            </w:r>
            <w:r>
              <w:rPr>
                <w:rFonts w:hint="eastAsia"/>
                <w:color w:val="auto"/>
                <w:sz w:val="24"/>
              </w:rPr>
              <w:t>大气环境保护</w:t>
            </w:r>
            <w:r>
              <w:rPr>
                <w:color w:val="auto"/>
                <w:sz w:val="24"/>
              </w:rPr>
              <w:t>目标</w:t>
            </w:r>
            <w:r>
              <w:rPr>
                <w:rFonts w:hint="eastAsia"/>
                <w:color w:val="auto"/>
                <w:sz w:val="24"/>
              </w:rPr>
              <w:t>距离</w:t>
            </w:r>
            <w:r>
              <w:rPr>
                <w:rFonts w:hint="eastAsia"/>
                <w:color w:val="auto"/>
                <w:sz w:val="24"/>
                <w:lang w:val="en-US" w:eastAsia="zh-CN"/>
              </w:rPr>
              <w:t>为</w:t>
            </w:r>
            <w:r>
              <w:rPr>
                <w:rFonts w:hint="eastAsia"/>
                <w:bCs/>
                <w:color w:val="auto"/>
                <w:sz w:val="24"/>
                <w:lang w:val="en-US" w:eastAsia="zh-CN"/>
              </w:rPr>
              <w:t>西北侧217</w:t>
            </w:r>
            <w:r>
              <w:rPr>
                <w:rFonts w:hint="eastAsia"/>
                <w:bCs/>
                <w:color w:val="auto"/>
                <w:sz w:val="24"/>
              </w:rPr>
              <w:t>m处</w:t>
            </w:r>
            <w:r>
              <w:rPr>
                <w:rFonts w:hint="eastAsia"/>
                <w:bCs/>
                <w:color w:val="auto"/>
                <w:sz w:val="24"/>
                <w:lang w:val="en-US" w:eastAsia="zh-CN"/>
              </w:rPr>
              <w:t>的哨上村</w:t>
            </w:r>
            <w:r>
              <w:rPr>
                <w:rFonts w:hint="eastAsia"/>
                <w:bCs/>
                <w:color w:val="auto"/>
                <w:sz w:val="24"/>
              </w:rPr>
              <w:t>，</w:t>
            </w:r>
            <w:r>
              <w:rPr>
                <w:rStyle w:val="27"/>
                <w:rFonts w:hint="eastAsia"/>
                <w:color w:val="auto"/>
                <w:kern w:val="0"/>
                <w:sz w:val="24"/>
              </w:rPr>
              <w:t>无组织</w:t>
            </w:r>
            <w:r>
              <w:rPr>
                <w:rStyle w:val="27"/>
                <w:rFonts w:hint="eastAsia"/>
                <w:color w:val="auto"/>
                <w:kern w:val="0"/>
                <w:sz w:val="24"/>
                <w:lang w:val="en-US" w:eastAsia="zh-CN"/>
              </w:rPr>
              <w:t>颗粒物</w:t>
            </w:r>
            <w:r>
              <w:rPr>
                <w:rStyle w:val="27"/>
                <w:rFonts w:hint="eastAsia"/>
                <w:color w:val="auto"/>
                <w:kern w:val="0"/>
                <w:sz w:val="24"/>
              </w:rPr>
              <w:t>排放</w:t>
            </w:r>
            <w:r>
              <w:rPr>
                <w:rFonts w:hint="eastAsia"/>
                <w:color w:val="auto"/>
                <w:sz w:val="24"/>
              </w:rPr>
              <w:t>能达到</w:t>
            </w:r>
            <w:r>
              <w:rPr>
                <w:color w:val="auto"/>
                <w:sz w:val="24"/>
              </w:rPr>
              <w:t>《环境空气质量标准》（GB3095—</w:t>
            </w:r>
            <w:r>
              <w:rPr>
                <w:rFonts w:hint="eastAsia"/>
                <w:color w:val="auto"/>
                <w:sz w:val="24"/>
              </w:rPr>
              <w:t>2012</w:t>
            </w:r>
            <w:r>
              <w:rPr>
                <w:color w:val="auto"/>
                <w:sz w:val="24"/>
              </w:rPr>
              <w:t>）</w:t>
            </w:r>
            <w:r>
              <w:rPr>
                <w:rFonts w:hint="eastAsia"/>
                <w:color w:val="auto"/>
                <w:sz w:val="24"/>
              </w:rPr>
              <w:t>及修改单</w:t>
            </w:r>
            <w:r>
              <w:rPr>
                <w:color w:val="auto"/>
                <w:sz w:val="24"/>
              </w:rPr>
              <w:t>二级标准</w:t>
            </w:r>
            <w:r>
              <w:rPr>
                <w:rFonts w:hint="eastAsia"/>
                <w:color w:val="auto"/>
                <w:sz w:val="24"/>
              </w:rPr>
              <w:t>中限值</w:t>
            </w:r>
            <w:r>
              <w:rPr>
                <w:rFonts w:hint="eastAsia"/>
                <w:color w:val="auto"/>
                <w:sz w:val="24"/>
                <w:lang w:val="zh-CN"/>
              </w:rPr>
              <w:t>。</w:t>
            </w:r>
            <w:r>
              <w:rPr>
                <w:rFonts w:hint="eastAsia"/>
                <w:color w:val="auto"/>
                <w:sz w:val="24"/>
              </w:rPr>
              <w:t>由此可判定，本项目无组织排放颗粒物能在项目厂界和</w:t>
            </w:r>
            <w:r>
              <w:rPr>
                <w:rFonts w:hint="eastAsia"/>
                <w:color w:val="auto"/>
                <w:sz w:val="24"/>
                <w:lang w:val="en-US" w:eastAsia="zh-CN"/>
              </w:rPr>
              <w:t>哨上村能</w:t>
            </w:r>
            <w:r>
              <w:rPr>
                <w:rFonts w:hint="eastAsia"/>
                <w:color w:val="auto"/>
                <w:sz w:val="24"/>
              </w:rPr>
              <w:t>达标排放，</w:t>
            </w:r>
            <w:r>
              <w:rPr>
                <w:rFonts w:hint="eastAsia"/>
                <w:color w:val="auto"/>
                <w:sz w:val="24"/>
                <w:lang w:val="en-US" w:eastAsia="zh-CN"/>
              </w:rPr>
              <w:t>对大气敏感目标</w:t>
            </w:r>
            <w:r>
              <w:rPr>
                <w:color w:val="auto"/>
                <w:sz w:val="24"/>
              </w:rPr>
              <w:t>的影响是可以接受的。</w:t>
            </w:r>
          </w:p>
          <w:p w14:paraId="41E9C843">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sz w:val="24"/>
                <w:highlight w:val="none"/>
                <w:lang w:val="en-US" w:eastAsia="zh-CN"/>
              </w:rPr>
            </w:pPr>
            <w:r>
              <w:rPr>
                <w:rFonts w:hint="default" w:ascii="Times New Roman" w:hAnsi="Times New Roman" w:cs="Times New Roman"/>
                <w:b/>
                <w:bCs/>
                <w:sz w:val="24"/>
                <w:highlight w:val="none"/>
                <w:lang w:val="en-US" w:eastAsia="zh-CN"/>
              </w:rPr>
              <w:t>（</w:t>
            </w:r>
            <w:r>
              <w:rPr>
                <w:rFonts w:hint="eastAsia" w:ascii="Times New Roman" w:hAnsi="Times New Roman" w:cs="Times New Roman"/>
                <w:b/>
                <w:bCs/>
                <w:sz w:val="24"/>
                <w:highlight w:val="none"/>
                <w:lang w:val="en-US" w:eastAsia="zh-CN"/>
              </w:rPr>
              <w:t>5</w:t>
            </w:r>
            <w:r>
              <w:rPr>
                <w:rFonts w:hint="default" w:ascii="Times New Roman" w:hAnsi="Times New Roman" w:cs="Times New Roman"/>
                <w:b/>
                <w:bCs/>
                <w:sz w:val="24"/>
                <w:highlight w:val="none"/>
                <w:lang w:val="en-US" w:eastAsia="zh-CN"/>
              </w:rPr>
              <w:t>）废气监测计划</w:t>
            </w:r>
          </w:p>
          <w:p w14:paraId="7D9B0B22">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根据《排污单位自行监测技术指南 总则》（HJ819-2017），本项目在日后运行阶段对大气环境提出监测计划要求，详见下表。</w:t>
            </w:r>
          </w:p>
          <w:p w14:paraId="12F2EE86">
            <w:pPr>
              <w:pStyle w:val="29"/>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表4-</w:t>
            </w:r>
            <w:r>
              <w:rPr>
                <w:rFonts w:hint="default" w:ascii="Times New Roman" w:hAnsi="Times New Roman" w:eastAsia="宋体" w:cs="Times New Roman"/>
                <w:b/>
                <w:bCs/>
                <w:color w:val="auto"/>
                <w:highlight w:val="none"/>
                <w:lang w:val="en-US" w:eastAsia="zh-CN"/>
              </w:rPr>
              <w:t>3</w:t>
            </w:r>
            <w:r>
              <w:rPr>
                <w:rFonts w:hint="default" w:ascii="Times New Roman" w:hAnsi="Times New Roman" w:eastAsia="宋体" w:cs="Times New Roman"/>
                <w:b/>
                <w:bCs/>
                <w:color w:val="auto"/>
                <w:highlight w:val="none"/>
              </w:rPr>
              <w:t xml:space="preserve">  运营期大气监测计划一览表</w:t>
            </w:r>
          </w:p>
          <w:tbl>
            <w:tblPr>
              <w:tblStyle w:val="23"/>
              <w:tblW w:w="8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1"/>
              <w:gridCol w:w="1405"/>
              <w:gridCol w:w="1648"/>
              <w:gridCol w:w="3147"/>
            </w:tblGrid>
            <w:tr w14:paraId="07DFE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21" w:type="dxa"/>
                  <w:tcBorders>
                    <w:tl2br w:val="nil"/>
                    <w:tr2bl w:val="nil"/>
                  </w:tcBorders>
                  <w:vAlign w:val="center"/>
                </w:tcPr>
                <w:p w14:paraId="15C342BD">
                  <w:pPr>
                    <w:pStyle w:val="33"/>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bCs/>
                      <w:color w:val="auto"/>
                      <w:highlight w:val="none"/>
                      <w:u w:val="none"/>
                      <w:lang w:val="en-US" w:eastAsia="zh-CN"/>
                    </w:rPr>
                  </w:pPr>
                  <w:r>
                    <w:rPr>
                      <w:rFonts w:hint="default" w:ascii="Times New Roman" w:hAnsi="Times New Roman" w:cs="Times New Roman"/>
                      <w:b/>
                      <w:bCs/>
                      <w:color w:val="auto"/>
                      <w:highlight w:val="none"/>
                      <w:u w:val="none"/>
                      <w:lang w:val="en-US" w:eastAsia="zh-CN"/>
                    </w:rPr>
                    <w:t>监测点位</w:t>
                  </w:r>
                </w:p>
              </w:tc>
              <w:tc>
                <w:tcPr>
                  <w:tcW w:w="1405" w:type="dxa"/>
                  <w:tcBorders>
                    <w:tl2br w:val="nil"/>
                    <w:tr2bl w:val="nil"/>
                  </w:tcBorders>
                  <w:vAlign w:val="center"/>
                </w:tcPr>
                <w:p w14:paraId="3317DBEF">
                  <w:pPr>
                    <w:pStyle w:val="33"/>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b/>
                      <w:bCs/>
                      <w:color w:val="auto"/>
                      <w:highlight w:val="none"/>
                      <w:u w:val="none"/>
                    </w:rPr>
                  </w:pPr>
                  <w:r>
                    <w:rPr>
                      <w:rFonts w:hint="default" w:ascii="Times New Roman" w:hAnsi="Times New Roman" w:cs="Times New Roman"/>
                      <w:b/>
                      <w:bCs/>
                      <w:color w:val="auto"/>
                      <w:highlight w:val="none"/>
                      <w:u w:val="none"/>
                    </w:rPr>
                    <w:t>监测因子</w:t>
                  </w:r>
                </w:p>
              </w:tc>
              <w:tc>
                <w:tcPr>
                  <w:tcW w:w="1648" w:type="dxa"/>
                  <w:tcBorders>
                    <w:tl2br w:val="nil"/>
                    <w:tr2bl w:val="nil"/>
                  </w:tcBorders>
                  <w:vAlign w:val="center"/>
                </w:tcPr>
                <w:p w14:paraId="268AD795">
                  <w:pPr>
                    <w:pStyle w:val="33"/>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b/>
                      <w:bCs/>
                      <w:color w:val="auto"/>
                      <w:highlight w:val="none"/>
                      <w:u w:val="none"/>
                    </w:rPr>
                  </w:pPr>
                  <w:r>
                    <w:rPr>
                      <w:rFonts w:hint="default" w:ascii="Times New Roman" w:hAnsi="Times New Roman" w:cs="Times New Roman"/>
                      <w:b/>
                      <w:bCs/>
                      <w:color w:val="auto"/>
                      <w:highlight w:val="none"/>
                      <w:u w:val="none"/>
                    </w:rPr>
                    <w:t>监测频次</w:t>
                  </w:r>
                </w:p>
              </w:tc>
              <w:tc>
                <w:tcPr>
                  <w:tcW w:w="3147" w:type="dxa"/>
                  <w:tcBorders>
                    <w:tl2br w:val="nil"/>
                    <w:tr2bl w:val="nil"/>
                  </w:tcBorders>
                  <w:vAlign w:val="center"/>
                </w:tcPr>
                <w:p w14:paraId="173A6377">
                  <w:pPr>
                    <w:pStyle w:val="33"/>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b/>
                      <w:bCs/>
                      <w:color w:val="auto"/>
                      <w:highlight w:val="none"/>
                      <w:u w:val="none"/>
                    </w:rPr>
                  </w:pPr>
                  <w:r>
                    <w:rPr>
                      <w:rFonts w:hint="default" w:ascii="Times New Roman" w:hAnsi="Times New Roman" w:cs="Times New Roman"/>
                      <w:b/>
                      <w:bCs/>
                      <w:color w:val="auto"/>
                      <w:highlight w:val="none"/>
                      <w:u w:val="none"/>
                    </w:rPr>
                    <w:t>执行标准</w:t>
                  </w:r>
                </w:p>
              </w:tc>
            </w:tr>
            <w:tr w14:paraId="13D7D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1" w:type="dxa"/>
                  <w:gridSpan w:val="4"/>
                  <w:tcBorders>
                    <w:tl2br w:val="nil"/>
                    <w:tr2bl w:val="nil"/>
                  </w:tcBorders>
                  <w:vAlign w:val="center"/>
                </w:tcPr>
                <w:p w14:paraId="1136FAB6">
                  <w:pPr>
                    <w:pStyle w:val="33"/>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kern w:val="2"/>
                      <w:sz w:val="21"/>
                      <w:szCs w:val="36"/>
                      <w:highlight w:val="none"/>
                      <w:u w:val="none"/>
                      <w:lang w:val="en-US" w:eastAsia="zh-CN" w:bidi="ar-SA"/>
                    </w:rPr>
                  </w:pPr>
                  <w:r>
                    <w:rPr>
                      <w:rFonts w:hint="default" w:ascii="Times New Roman" w:hAnsi="Times New Roman" w:cs="Times New Roman"/>
                      <w:color w:val="auto"/>
                      <w:kern w:val="2"/>
                      <w:sz w:val="21"/>
                      <w:szCs w:val="36"/>
                      <w:highlight w:val="none"/>
                      <w:u w:val="none"/>
                      <w:lang w:val="en-US" w:eastAsia="zh-CN" w:bidi="ar-SA"/>
                    </w:rPr>
                    <w:t>无组织排放</w:t>
                  </w:r>
                </w:p>
              </w:tc>
            </w:tr>
            <w:tr w14:paraId="5FA25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1" w:type="dxa"/>
                  <w:tcBorders>
                    <w:tl2br w:val="nil"/>
                    <w:tr2bl w:val="nil"/>
                  </w:tcBorders>
                  <w:vAlign w:val="center"/>
                </w:tcPr>
                <w:p w14:paraId="4EAC3617">
                  <w:pPr>
                    <w:pStyle w:val="33"/>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厂界上风向</w:t>
                  </w:r>
                </w:p>
                <w:p w14:paraId="624C0C44">
                  <w:pPr>
                    <w:pStyle w:val="33"/>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kern w:val="2"/>
                      <w:sz w:val="21"/>
                      <w:szCs w:val="36"/>
                      <w:u w:val="none"/>
                      <w:lang w:val="en-US" w:eastAsia="zh-CN" w:bidi="ar-SA"/>
                    </w:rPr>
                  </w:pPr>
                  <w:r>
                    <w:rPr>
                      <w:rFonts w:hint="default" w:ascii="Times New Roman" w:hAnsi="Times New Roman" w:cs="Times New Roman"/>
                      <w:color w:val="auto"/>
                      <w:highlight w:val="none"/>
                      <w:u w:val="none"/>
                      <w:lang w:val="en-US" w:eastAsia="zh-CN"/>
                    </w:rPr>
                    <w:t>（1个监测点）</w:t>
                  </w:r>
                </w:p>
              </w:tc>
              <w:tc>
                <w:tcPr>
                  <w:tcW w:w="1405" w:type="dxa"/>
                  <w:vMerge w:val="restart"/>
                  <w:tcBorders>
                    <w:tl2br w:val="nil"/>
                    <w:tr2bl w:val="nil"/>
                  </w:tcBorders>
                  <w:vAlign w:val="center"/>
                </w:tcPr>
                <w:p w14:paraId="3ABAAC64">
                  <w:pPr>
                    <w:pStyle w:val="33"/>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颗粒物</w:t>
                  </w:r>
                </w:p>
              </w:tc>
              <w:tc>
                <w:tcPr>
                  <w:tcW w:w="1648" w:type="dxa"/>
                  <w:vMerge w:val="restart"/>
                  <w:tcBorders>
                    <w:tl2br w:val="nil"/>
                    <w:tr2bl w:val="nil"/>
                  </w:tcBorders>
                  <w:vAlign w:val="center"/>
                </w:tcPr>
                <w:p w14:paraId="24B4A581">
                  <w:pPr>
                    <w:pStyle w:val="33"/>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highlight w:val="none"/>
                      <w:u w:val="none"/>
                      <w:vertAlign w:val="baseline"/>
                      <w:lang w:val="en-US" w:eastAsia="zh-CN"/>
                    </w:rPr>
                  </w:pPr>
                  <w:r>
                    <w:rPr>
                      <w:rFonts w:hint="default" w:ascii="Times New Roman" w:hAnsi="Times New Roman" w:cs="Times New Roman"/>
                      <w:color w:val="auto"/>
                      <w:highlight w:val="none"/>
                      <w:u w:val="none"/>
                      <w:vertAlign w:val="baseline"/>
                      <w:lang w:val="en-US" w:eastAsia="zh-CN"/>
                    </w:rPr>
                    <w:t>1次/年</w:t>
                  </w:r>
                </w:p>
              </w:tc>
              <w:tc>
                <w:tcPr>
                  <w:tcW w:w="3147" w:type="dxa"/>
                  <w:vMerge w:val="restart"/>
                  <w:tcBorders>
                    <w:tl2br w:val="nil"/>
                    <w:tr2bl w:val="nil"/>
                  </w:tcBorders>
                  <w:vAlign w:val="center"/>
                </w:tcPr>
                <w:p w14:paraId="2D036B8B">
                  <w:pPr>
                    <w:pStyle w:val="33"/>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kern w:val="2"/>
                      <w:sz w:val="21"/>
                      <w:szCs w:val="36"/>
                      <w:highlight w:val="none"/>
                      <w:u w:val="none"/>
                      <w:lang w:val="en-US" w:eastAsia="zh-CN" w:bidi="ar-SA"/>
                    </w:rPr>
                  </w:pPr>
                  <w:r>
                    <w:rPr>
                      <w:rFonts w:hint="default" w:ascii="Times New Roman" w:hAnsi="Times New Roman" w:eastAsia="宋体" w:cs="Times New Roman"/>
                      <w:color w:val="auto"/>
                      <w:kern w:val="2"/>
                      <w:sz w:val="21"/>
                      <w:szCs w:val="36"/>
                      <w:highlight w:val="none"/>
                      <w:u w:val="none"/>
                      <w:lang w:val="en-US" w:eastAsia="zh-CN" w:bidi="ar-SA"/>
                    </w:rPr>
                    <w:t>《煤炭工业污染物排放标准》（GB20426-2006）表5</w:t>
                  </w:r>
                </w:p>
              </w:tc>
            </w:tr>
            <w:tr w14:paraId="385EF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1" w:type="dxa"/>
                  <w:tcBorders>
                    <w:tl2br w:val="nil"/>
                    <w:tr2bl w:val="nil"/>
                  </w:tcBorders>
                  <w:vAlign w:val="center"/>
                </w:tcPr>
                <w:p w14:paraId="7AB3260F">
                  <w:pPr>
                    <w:pStyle w:val="33"/>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厂界下风向</w:t>
                  </w:r>
                </w:p>
                <w:p w14:paraId="5E1C5CDA">
                  <w:pPr>
                    <w:pStyle w:val="33"/>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kern w:val="2"/>
                      <w:sz w:val="21"/>
                      <w:szCs w:val="36"/>
                      <w:u w:val="none"/>
                      <w:lang w:val="en-US" w:eastAsia="zh-CN" w:bidi="ar-SA"/>
                    </w:rPr>
                  </w:pPr>
                  <w:r>
                    <w:rPr>
                      <w:rFonts w:hint="default" w:ascii="Times New Roman" w:hAnsi="Times New Roman" w:cs="Times New Roman"/>
                      <w:color w:val="auto"/>
                      <w:u w:val="none"/>
                      <w:lang w:val="en-US" w:eastAsia="zh-CN"/>
                    </w:rPr>
                    <w:t>（3个监测点）</w:t>
                  </w:r>
                </w:p>
              </w:tc>
              <w:tc>
                <w:tcPr>
                  <w:tcW w:w="1405" w:type="dxa"/>
                  <w:vMerge w:val="continue"/>
                  <w:tcBorders>
                    <w:tl2br w:val="nil"/>
                    <w:tr2bl w:val="nil"/>
                  </w:tcBorders>
                  <w:vAlign w:val="center"/>
                </w:tcPr>
                <w:p w14:paraId="1DC57D3E">
                  <w:pPr>
                    <w:pStyle w:val="33"/>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highlight w:val="none"/>
                      <w:u w:val="none"/>
                      <w:lang w:val="en-US" w:eastAsia="zh-CN"/>
                    </w:rPr>
                  </w:pPr>
                </w:p>
              </w:tc>
              <w:tc>
                <w:tcPr>
                  <w:tcW w:w="1648" w:type="dxa"/>
                  <w:vMerge w:val="continue"/>
                  <w:tcBorders>
                    <w:tl2br w:val="nil"/>
                    <w:tr2bl w:val="nil"/>
                  </w:tcBorders>
                  <w:vAlign w:val="center"/>
                </w:tcPr>
                <w:p w14:paraId="4E4A1537">
                  <w:pPr>
                    <w:pStyle w:val="33"/>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highlight w:val="none"/>
                      <w:u w:val="none"/>
                      <w:vertAlign w:val="baseline"/>
                      <w:lang w:val="en-US" w:eastAsia="zh-CN"/>
                    </w:rPr>
                  </w:pPr>
                </w:p>
              </w:tc>
              <w:tc>
                <w:tcPr>
                  <w:tcW w:w="3147" w:type="dxa"/>
                  <w:vMerge w:val="continue"/>
                  <w:tcBorders>
                    <w:tl2br w:val="nil"/>
                    <w:tr2bl w:val="nil"/>
                  </w:tcBorders>
                  <w:vAlign w:val="center"/>
                </w:tcPr>
                <w:p w14:paraId="7B7C7F68">
                  <w:pPr>
                    <w:pStyle w:val="33"/>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kern w:val="2"/>
                      <w:sz w:val="21"/>
                      <w:szCs w:val="36"/>
                      <w:highlight w:val="none"/>
                      <w:u w:val="none"/>
                      <w:lang w:val="en-US" w:eastAsia="zh-CN" w:bidi="ar-SA"/>
                    </w:rPr>
                  </w:pPr>
                </w:p>
              </w:tc>
            </w:tr>
          </w:tbl>
          <w:p w14:paraId="2647870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lang w:val="en-US" w:eastAsia="zh-CN"/>
              </w:rPr>
            </w:pPr>
            <w:r>
              <w:rPr>
                <w:rFonts w:hint="default" w:ascii="Times New Roman" w:hAnsi="Times New Roman" w:cs="Times New Roman"/>
                <w:b/>
                <w:bCs/>
                <w:sz w:val="24"/>
                <w:lang w:val="en-US" w:eastAsia="zh-CN"/>
              </w:rPr>
              <w:t>2、废水</w:t>
            </w:r>
          </w:p>
          <w:p w14:paraId="3A0C7390">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本项目废水主要包括生活污水、车辆冲洗废水和初期雨水。</w:t>
            </w:r>
          </w:p>
          <w:p w14:paraId="41C693D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lang w:val="en-US" w:eastAsia="zh-CN"/>
              </w:rPr>
            </w:pPr>
            <w:r>
              <w:rPr>
                <w:rFonts w:hint="default" w:ascii="Times New Roman" w:hAnsi="Times New Roman" w:cs="Times New Roman"/>
                <w:b/>
                <w:bCs/>
                <w:sz w:val="24"/>
                <w:lang w:val="en-US" w:eastAsia="zh-CN"/>
              </w:rPr>
              <w:t>（1）废水产生情况及治理措施</w:t>
            </w:r>
          </w:p>
          <w:p w14:paraId="11AF15B6">
            <w:pPr>
              <w:rPr>
                <w:rFonts w:hint="default" w:ascii="Times New Roman" w:hAnsi="Times New Roman" w:cs="Times New Roman"/>
                <w:b/>
                <w:bCs/>
                <w:lang w:val="en-US" w:eastAsia="zh-CN"/>
              </w:rPr>
            </w:pPr>
            <w:r>
              <w:rPr>
                <w:rFonts w:hint="default" w:ascii="Times New Roman" w:hAnsi="Times New Roman" w:cs="Times New Roman"/>
                <w:b/>
                <w:bCs/>
                <w:lang w:val="en-US" w:eastAsia="zh-CN"/>
              </w:rPr>
              <w:t>①生活污水</w:t>
            </w:r>
          </w:p>
          <w:p w14:paraId="32B4AC73">
            <w:pPr>
              <w:bidi w:val="0"/>
              <w:rPr>
                <w:rFonts w:hint="eastAsia" w:ascii="Times New Roman" w:hAnsi="Times New Roman" w:eastAsia="宋体" w:cs="Times New Roman"/>
                <w:color w:val="auto"/>
                <w:highlight w:val="none"/>
                <w:lang w:val="en-US" w:eastAsia="zh-CN"/>
              </w:rPr>
            </w:pPr>
            <w:r>
              <w:rPr>
                <w:rFonts w:hint="default" w:ascii="Times New Roman" w:hAnsi="Times New Roman" w:cs="Times New Roman"/>
                <w:lang w:val="en-US" w:eastAsia="zh-CN"/>
              </w:rPr>
              <w:t>由前文可知，</w:t>
            </w:r>
            <w:r>
              <w:rPr>
                <w:rFonts w:hint="default" w:ascii="Times New Roman" w:hAnsi="Times New Roman" w:eastAsia="宋体" w:cs="Times New Roman"/>
                <w:color w:val="auto"/>
                <w:u w:val="none"/>
                <w:lang w:val="en-US" w:eastAsia="zh-CN"/>
              </w:rPr>
              <w:t>初期雨水经收集池收集沉淀后用于洒水降尘，不外排；</w:t>
            </w:r>
            <w:r>
              <w:rPr>
                <w:rFonts w:hint="default" w:ascii="Times New Roman" w:hAnsi="Times New Roman" w:cs="Times New Roman"/>
                <w:sz w:val="24"/>
                <w:lang w:val="en-US" w:eastAsia="zh-CN"/>
              </w:rPr>
              <w:t>生活污水经化粪池处理后，</w:t>
            </w:r>
            <w:r>
              <w:rPr>
                <w:rFonts w:hint="eastAsia" w:cs="Times New Roman"/>
                <w:color w:val="0000FF"/>
                <w:highlight w:val="none"/>
                <w:u w:val="none"/>
                <w:lang w:val="en-US" w:eastAsia="zh-CN"/>
              </w:rPr>
              <w:t>排入</w:t>
            </w:r>
            <w:r>
              <w:rPr>
                <w:rFonts w:hint="eastAsia" w:cs="Times New Roman"/>
                <w:color w:val="0000FF"/>
                <w:sz w:val="24"/>
                <w:highlight w:val="none"/>
                <w:u w:val="none"/>
                <w:lang w:val="en-US" w:eastAsia="zh-CN"/>
              </w:rPr>
              <w:t>项目一体化污水处理设备处理</w:t>
            </w:r>
            <w:r>
              <w:rPr>
                <w:rFonts w:hint="eastAsia"/>
                <w:color w:val="0000FF"/>
                <w:sz w:val="24"/>
                <w:highlight w:val="none"/>
              </w:rPr>
              <w:t>达《城市污水再生利用 城市杂用水水质》</w:t>
            </w:r>
            <w:r>
              <w:rPr>
                <w:color w:val="0000FF"/>
                <w:sz w:val="24"/>
                <w:highlight w:val="none"/>
              </w:rPr>
              <w:t>（GB/T18920-2020）</w:t>
            </w:r>
            <w:r>
              <w:rPr>
                <w:rFonts w:hint="eastAsia"/>
                <w:color w:val="0000FF"/>
                <w:sz w:val="24"/>
                <w:highlight w:val="none"/>
              </w:rPr>
              <w:t>中城市绿化、道路清扫、消防、建筑施工标准后</w:t>
            </w:r>
            <w:r>
              <w:rPr>
                <w:color w:val="0000FF"/>
                <w:sz w:val="24"/>
                <w:highlight w:val="none"/>
              </w:rPr>
              <w:t>，</w:t>
            </w:r>
            <w:r>
              <w:rPr>
                <w:rFonts w:hint="eastAsia"/>
                <w:color w:val="0000FF"/>
                <w:sz w:val="24"/>
                <w:highlight w:val="none"/>
              </w:rPr>
              <w:t>用于</w:t>
            </w:r>
            <w:r>
              <w:rPr>
                <w:rFonts w:hint="eastAsia"/>
                <w:color w:val="0000FF"/>
                <w:sz w:val="24"/>
                <w:highlight w:val="none"/>
                <w:lang w:val="en-US" w:eastAsia="zh-CN"/>
              </w:rPr>
              <w:t>生活区</w:t>
            </w:r>
            <w:r>
              <w:rPr>
                <w:rFonts w:hint="eastAsia"/>
                <w:color w:val="0000FF"/>
                <w:sz w:val="24"/>
                <w:highlight w:val="none"/>
              </w:rPr>
              <w:t>洒水降尘，不外排。</w:t>
            </w:r>
            <w:r>
              <w:rPr>
                <w:rFonts w:hint="eastAsia" w:cs="Times New Roman"/>
                <w:color w:val="auto"/>
                <w:u w:val="none"/>
                <w:lang w:val="en-US" w:eastAsia="zh-CN"/>
              </w:rPr>
              <w:t>项目生活污水产生量为</w:t>
            </w:r>
            <w:r>
              <w:rPr>
                <w:rFonts w:hint="default" w:ascii="Times New Roman" w:hAnsi="Times New Roman" w:eastAsia="宋体" w:cs="Times New Roman"/>
                <w:b w:val="0"/>
                <w:bCs w:val="0"/>
                <w:color w:val="auto"/>
                <w:sz w:val="24"/>
                <w:u w:val="none"/>
                <w:lang w:val="en-US" w:eastAsia="zh-CN"/>
              </w:rPr>
              <w:t>0.</w:t>
            </w:r>
            <w:r>
              <w:rPr>
                <w:rFonts w:hint="eastAsia" w:ascii="Times New Roman" w:hAnsi="Times New Roman" w:eastAsia="宋体" w:cs="Times New Roman"/>
                <w:b w:val="0"/>
                <w:bCs w:val="0"/>
                <w:color w:val="auto"/>
                <w:sz w:val="24"/>
                <w:u w:val="none"/>
                <w:lang w:val="en-US" w:eastAsia="zh-CN"/>
              </w:rPr>
              <w:t>4</w:t>
            </w:r>
            <w:r>
              <w:rPr>
                <w:rFonts w:hint="default" w:ascii="Times New Roman" w:hAnsi="Times New Roman" w:eastAsia="宋体" w:cs="Times New Roman"/>
                <w:b w:val="0"/>
                <w:bCs w:val="0"/>
                <w:color w:val="auto"/>
                <w:sz w:val="24"/>
                <w:u w:val="none"/>
                <w:lang w:val="en-US" w:eastAsia="zh-CN"/>
              </w:rPr>
              <w:t>m</w:t>
            </w:r>
            <w:r>
              <w:rPr>
                <w:rFonts w:hint="default" w:ascii="Times New Roman" w:hAnsi="Times New Roman" w:eastAsia="宋体" w:cs="Times New Roman"/>
                <w:b w:val="0"/>
                <w:bCs w:val="0"/>
                <w:color w:val="auto"/>
                <w:sz w:val="24"/>
                <w:u w:val="none"/>
                <w:vertAlign w:val="superscript"/>
                <w:lang w:val="en-US" w:eastAsia="zh-CN"/>
              </w:rPr>
              <w:t>3</w:t>
            </w:r>
            <w:r>
              <w:rPr>
                <w:rFonts w:hint="default" w:ascii="Times New Roman" w:hAnsi="Times New Roman" w:eastAsia="宋体" w:cs="Times New Roman"/>
                <w:b w:val="0"/>
                <w:bCs w:val="0"/>
                <w:color w:val="auto"/>
                <w:sz w:val="24"/>
                <w:u w:val="none"/>
                <w:lang w:val="en-US" w:eastAsia="zh-CN"/>
              </w:rPr>
              <w:t>/d（</w:t>
            </w:r>
            <w:r>
              <w:rPr>
                <w:rFonts w:hint="eastAsia" w:ascii="Times New Roman" w:hAnsi="Times New Roman" w:eastAsia="宋体" w:cs="Times New Roman"/>
                <w:b w:val="0"/>
                <w:bCs w:val="0"/>
                <w:color w:val="auto"/>
                <w:sz w:val="24"/>
                <w:u w:val="none"/>
                <w:lang w:val="en-US" w:eastAsia="zh-CN"/>
              </w:rPr>
              <w:t>120</w:t>
            </w:r>
            <w:r>
              <w:rPr>
                <w:rFonts w:hint="default" w:ascii="Times New Roman" w:hAnsi="Times New Roman" w:eastAsia="宋体" w:cs="Times New Roman"/>
                <w:b w:val="0"/>
                <w:bCs w:val="0"/>
                <w:color w:val="auto"/>
                <w:sz w:val="24"/>
                <w:u w:val="none"/>
                <w:lang w:val="en-US" w:eastAsia="zh-CN"/>
              </w:rPr>
              <w:t>m</w:t>
            </w:r>
            <w:r>
              <w:rPr>
                <w:rFonts w:hint="default" w:ascii="Times New Roman" w:hAnsi="Times New Roman" w:eastAsia="宋体" w:cs="Times New Roman"/>
                <w:b w:val="0"/>
                <w:bCs w:val="0"/>
                <w:color w:val="auto"/>
                <w:sz w:val="24"/>
                <w:u w:val="none"/>
                <w:vertAlign w:val="superscript"/>
                <w:lang w:val="en-US" w:eastAsia="zh-CN"/>
              </w:rPr>
              <w:t>3</w:t>
            </w:r>
            <w:r>
              <w:rPr>
                <w:rFonts w:hint="default" w:ascii="Times New Roman" w:hAnsi="Times New Roman" w:eastAsia="宋体" w:cs="Times New Roman"/>
                <w:b w:val="0"/>
                <w:bCs w:val="0"/>
                <w:color w:val="auto"/>
                <w:sz w:val="24"/>
                <w:u w:val="none"/>
                <w:lang w:val="en-US" w:eastAsia="zh-CN"/>
              </w:rPr>
              <w:t>/a）</w:t>
            </w:r>
            <w:r>
              <w:rPr>
                <w:rFonts w:hint="eastAsia" w:cs="Times New Roman"/>
                <w:b w:val="0"/>
                <w:bCs w:val="0"/>
                <w:color w:val="auto"/>
                <w:sz w:val="24"/>
                <w:u w:val="none"/>
                <w:lang w:val="en-US" w:eastAsia="zh-CN"/>
              </w:rPr>
              <w:t>；</w:t>
            </w:r>
            <w:r>
              <w:rPr>
                <w:rFonts w:hint="default" w:ascii="Times New Roman" w:hAnsi="Times New Roman" w:cs="Times New Roman"/>
                <w:color w:val="auto"/>
                <w:highlight w:val="none"/>
                <w:lang w:val="en-US" w:eastAsia="zh-CN"/>
              </w:rPr>
              <w:t>参考《生活污染源产排污系数手册》，生活污水污染物浓度为：COD：325mg/L、SS：200</w:t>
            </w:r>
            <w:r>
              <w:rPr>
                <w:rFonts w:hint="default" w:ascii="Times New Roman" w:hAnsi="Times New Roman" w:cs="Times New Roman"/>
                <w:color w:val="auto"/>
                <w:highlight w:val="none"/>
                <w:vertAlign w:val="baseline"/>
                <w:lang w:val="en-US" w:eastAsia="zh-CN"/>
              </w:rPr>
              <w:t>mg/L、总氮：30mg/L、</w:t>
            </w:r>
            <w:r>
              <w:rPr>
                <w:rFonts w:hint="default" w:ascii="Times New Roman" w:hAnsi="Times New Roman" w:cs="Times New Roman"/>
                <w:color w:val="auto"/>
                <w:highlight w:val="none"/>
                <w:lang w:val="en-US" w:eastAsia="zh-CN"/>
              </w:rPr>
              <w:t>NH</w:t>
            </w:r>
            <w:r>
              <w:rPr>
                <w:rFonts w:hint="default" w:ascii="Times New Roman" w:hAnsi="Times New Roman" w:cs="Times New Roman"/>
                <w:color w:val="auto"/>
                <w:highlight w:val="none"/>
                <w:vertAlign w:val="subscript"/>
                <w:lang w:val="en-US" w:eastAsia="zh-CN"/>
              </w:rPr>
              <w:t>3</w:t>
            </w:r>
            <w:r>
              <w:rPr>
                <w:rFonts w:hint="default" w:ascii="Times New Roman" w:hAnsi="Times New Roman" w:cs="Times New Roman"/>
                <w:color w:val="auto"/>
                <w:highlight w:val="none"/>
                <w:lang w:val="en-US" w:eastAsia="zh-CN"/>
              </w:rPr>
              <w:t>-N：30mg/L、</w:t>
            </w:r>
            <w:r>
              <w:rPr>
                <w:rFonts w:hint="default" w:ascii="Times New Roman" w:hAnsi="Times New Roman" w:cs="Times New Roman"/>
                <w:lang w:val="en-US" w:eastAsia="zh-CN"/>
              </w:rPr>
              <w:t>动植物油：4.84mg/L、总磷</w:t>
            </w:r>
            <w:r>
              <w:rPr>
                <w:rFonts w:hint="default" w:ascii="Times New Roman" w:hAnsi="Times New Roman" w:cs="Times New Roman"/>
                <w:lang w:eastAsia="zh-CN"/>
              </w:rPr>
              <w:t>：</w:t>
            </w:r>
            <w:r>
              <w:rPr>
                <w:rFonts w:hint="default" w:ascii="Times New Roman" w:hAnsi="Times New Roman" w:cs="Times New Roman"/>
                <w:lang w:val="en-US" w:eastAsia="zh-CN"/>
              </w:rPr>
              <w:t>5.50mg/L。</w:t>
            </w:r>
            <w:r>
              <w:rPr>
                <w:rFonts w:hint="eastAsia" w:cs="Times New Roman"/>
                <w:lang w:val="en-US" w:eastAsia="zh-CN"/>
              </w:rPr>
              <w:t>出水水质类比</w:t>
            </w:r>
            <w:r>
              <w:rPr>
                <w:rFonts w:hint="default" w:ascii="Times New Roman" w:hAnsi="Times New Roman" w:cs="Times New Roman"/>
                <w:color w:val="auto"/>
                <w:sz w:val="24"/>
              </w:rPr>
              <w:t>《云南豪悦轩家居制品生产线建设项目竣工环境保护验收监测报告表》中生活污水相关数据。</w:t>
            </w:r>
            <w:r>
              <w:rPr>
                <w:rFonts w:hint="default" w:ascii="Times New Roman" w:hAnsi="Times New Roman" w:cs="Times New Roman"/>
                <w:bCs/>
                <w:color w:val="auto"/>
                <w:sz w:val="24"/>
              </w:rPr>
              <w:t>项目拟采取的生活污水处理工艺与</w:t>
            </w:r>
            <w:r>
              <w:rPr>
                <w:rFonts w:hint="default" w:ascii="Times New Roman" w:hAnsi="Times New Roman" w:cs="Times New Roman"/>
                <w:color w:val="auto"/>
                <w:sz w:val="24"/>
              </w:rPr>
              <w:t>云南豪悦轩家居制品生产线建设项目相同，均为调节池+SBR生物膜处理工艺</w:t>
            </w:r>
            <w:r>
              <w:rPr>
                <w:rFonts w:hint="eastAsia" w:cs="Times New Roman"/>
                <w:color w:val="auto"/>
                <w:sz w:val="24"/>
                <w:lang w:eastAsia="zh-CN"/>
              </w:rPr>
              <w:t>。</w:t>
            </w:r>
          </w:p>
          <w:p w14:paraId="0ECE4694">
            <w:pPr>
              <w:pStyle w:val="29"/>
              <w:keepNext w:val="0"/>
              <w:keepLines w:val="0"/>
              <w:suppressLineNumbers w:val="0"/>
              <w:bidi w:val="0"/>
              <w:spacing w:beforeAutospacing="0" w:after="0" w:afterAutospacing="0"/>
              <w:ind w:left="0" w:right="0"/>
              <w:rPr>
                <w:rFonts w:hint="eastAsia" w:ascii="宋体" w:hAnsi="宋体" w:eastAsia="宋体" w:cs="宋体"/>
                <w:b/>
                <w:bCs/>
                <w:color w:val="0000FF"/>
                <w:highlight w:val="none"/>
                <w:u w:val="none"/>
                <w:lang w:val="en-US" w:eastAsia="zh-CN"/>
              </w:rPr>
            </w:pPr>
            <w:r>
              <w:rPr>
                <w:rFonts w:hint="eastAsia" w:ascii="Times New Roman" w:hAnsi="Times New Roman" w:eastAsia="宋体" w:cs="Times New Roman"/>
                <w:b/>
                <w:bCs/>
                <w:color w:val="0000FF"/>
                <w:kern w:val="2"/>
                <w:sz w:val="24"/>
                <w:szCs w:val="24"/>
                <w:u w:val="none"/>
                <w:lang w:val="en-US" w:eastAsia="zh-CN" w:bidi="ar-SA"/>
              </w:rPr>
              <w:t xml:space="preserve">表4-4 </w:t>
            </w:r>
            <w:r>
              <w:rPr>
                <w:rFonts w:hint="eastAsia" w:ascii="宋体" w:hAnsi="宋体" w:eastAsia="宋体" w:cs="宋体"/>
                <w:b/>
                <w:bCs/>
                <w:color w:val="0000FF"/>
                <w:highlight w:val="none"/>
                <w:u w:val="none"/>
                <w:lang w:val="en-US" w:eastAsia="zh-CN"/>
              </w:rPr>
              <w:t xml:space="preserve"> 生活污水产生情况及排放情况一览表</w:t>
            </w:r>
          </w:p>
          <w:tbl>
            <w:tblPr>
              <w:tblStyle w:val="24"/>
              <w:tblW w:w="802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733"/>
              <w:gridCol w:w="883"/>
              <w:gridCol w:w="796"/>
              <w:gridCol w:w="822"/>
              <w:gridCol w:w="796"/>
              <w:gridCol w:w="1040"/>
              <w:gridCol w:w="865"/>
            </w:tblGrid>
            <w:tr w14:paraId="74FB6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tcBorders>
                    <w:tl2br w:val="nil"/>
                    <w:tr2bl w:val="nil"/>
                  </w:tcBorders>
                  <w:vAlign w:val="center"/>
                </w:tcPr>
                <w:p w14:paraId="7440FEEB">
                  <w:pPr>
                    <w:pStyle w:val="33"/>
                    <w:bidi w:val="0"/>
                    <w:jc w:val="center"/>
                    <w:rPr>
                      <w:rFonts w:hint="default" w:ascii="Times New Roman" w:hAnsi="Times New Roman" w:eastAsia="宋体" w:cs="Times New Roman"/>
                      <w:b/>
                      <w:bCs/>
                      <w:color w:val="0000FF"/>
                      <w:highlight w:val="none"/>
                      <w:u w:val="none"/>
                      <w:vertAlign w:val="baseline"/>
                      <w:lang w:val="en-US" w:eastAsia="zh-CN"/>
                    </w:rPr>
                  </w:pPr>
                  <w:r>
                    <w:rPr>
                      <w:rFonts w:hint="default" w:ascii="Times New Roman" w:hAnsi="Times New Roman" w:eastAsia="宋体" w:cs="Times New Roman"/>
                      <w:b/>
                      <w:bCs/>
                      <w:color w:val="0000FF"/>
                      <w:highlight w:val="none"/>
                      <w:u w:val="none"/>
                      <w:vertAlign w:val="baseline"/>
                      <w:lang w:val="en-US" w:eastAsia="zh-CN"/>
                    </w:rPr>
                    <w:t>排放源</w:t>
                  </w:r>
                </w:p>
              </w:tc>
              <w:tc>
                <w:tcPr>
                  <w:tcW w:w="1733" w:type="dxa"/>
                  <w:tcBorders>
                    <w:tl2br w:val="nil"/>
                    <w:tr2bl w:val="nil"/>
                  </w:tcBorders>
                  <w:vAlign w:val="center"/>
                </w:tcPr>
                <w:p w14:paraId="20C48B7C">
                  <w:pPr>
                    <w:pStyle w:val="33"/>
                    <w:bidi w:val="0"/>
                    <w:jc w:val="center"/>
                    <w:rPr>
                      <w:rFonts w:hint="default" w:ascii="Times New Roman" w:hAnsi="Times New Roman" w:eastAsia="宋体" w:cs="Times New Roman"/>
                      <w:b/>
                      <w:bCs/>
                      <w:color w:val="0000FF"/>
                      <w:highlight w:val="none"/>
                      <w:u w:val="none"/>
                      <w:vertAlign w:val="baseline"/>
                      <w:lang w:val="en-US" w:eastAsia="zh-CN"/>
                    </w:rPr>
                  </w:pPr>
                  <w:r>
                    <w:rPr>
                      <w:rFonts w:hint="default" w:ascii="Times New Roman" w:hAnsi="Times New Roman" w:eastAsia="宋体" w:cs="Times New Roman"/>
                      <w:b/>
                      <w:bCs/>
                      <w:color w:val="0000FF"/>
                      <w:highlight w:val="none"/>
                      <w:u w:val="none"/>
                      <w:vertAlign w:val="baseline"/>
                      <w:lang w:val="en-US" w:eastAsia="zh-CN"/>
                    </w:rPr>
                    <w:t>项目</w:t>
                  </w:r>
                </w:p>
              </w:tc>
              <w:tc>
                <w:tcPr>
                  <w:tcW w:w="883" w:type="dxa"/>
                  <w:tcBorders>
                    <w:tl2br w:val="nil"/>
                    <w:tr2bl w:val="nil"/>
                  </w:tcBorders>
                  <w:vAlign w:val="center"/>
                </w:tcPr>
                <w:p w14:paraId="42B15849">
                  <w:pPr>
                    <w:pStyle w:val="33"/>
                    <w:bidi w:val="0"/>
                    <w:jc w:val="center"/>
                    <w:rPr>
                      <w:rFonts w:hint="default" w:ascii="Times New Roman" w:hAnsi="Times New Roman" w:eastAsia="宋体" w:cs="Times New Roman"/>
                      <w:b/>
                      <w:bCs/>
                      <w:color w:val="0000FF"/>
                      <w:highlight w:val="none"/>
                      <w:u w:val="none"/>
                      <w:vertAlign w:val="baseline"/>
                      <w:lang w:val="en-US" w:eastAsia="zh-CN"/>
                    </w:rPr>
                  </w:pPr>
                  <w:r>
                    <w:rPr>
                      <w:rFonts w:hint="default" w:ascii="Times New Roman" w:hAnsi="Times New Roman" w:eastAsia="宋体" w:cs="Times New Roman"/>
                      <w:b/>
                      <w:bCs/>
                      <w:color w:val="0000FF"/>
                      <w:highlight w:val="none"/>
                      <w:u w:val="none"/>
                      <w:vertAlign w:val="baseline"/>
                      <w:lang w:val="en-US" w:eastAsia="zh-CN"/>
                    </w:rPr>
                    <w:t>COD</w:t>
                  </w:r>
                </w:p>
              </w:tc>
              <w:tc>
                <w:tcPr>
                  <w:tcW w:w="796" w:type="dxa"/>
                  <w:tcBorders>
                    <w:tl2br w:val="nil"/>
                    <w:tr2bl w:val="nil"/>
                  </w:tcBorders>
                  <w:vAlign w:val="center"/>
                </w:tcPr>
                <w:p w14:paraId="151AC0CA">
                  <w:pPr>
                    <w:pStyle w:val="33"/>
                    <w:bidi w:val="0"/>
                    <w:jc w:val="center"/>
                    <w:rPr>
                      <w:rFonts w:hint="default" w:ascii="Times New Roman" w:hAnsi="Times New Roman" w:eastAsia="宋体" w:cs="Times New Roman"/>
                      <w:b/>
                      <w:bCs/>
                      <w:color w:val="0000FF"/>
                      <w:highlight w:val="none"/>
                      <w:u w:val="none"/>
                      <w:vertAlign w:val="baseline"/>
                      <w:lang w:val="en-US" w:eastAsia="zh-CN"/>
                    </w:rPr>
                  </w:pPr>
                  <w:r>
                    <w:rPr>
                      <w:rFonts w:hint="eastAsia" w:cs="Times New Roman"/>
                      <w:b/>
                      <w:bCs/>
                      <w:color w:val="0000FF"/>
                      <w:highlight w:val="none"/>
                      <w:u w:val="none"/>
                      <w:vertAlign w:val="baseline"/>
                      <w:lang w:val="en-US" w:eastAsia="zh-CN"/>
                    </w:rPr>
                    <w:t>BOD</w:t>
                  </w:r>
                  <w:r>
                    <w:rPr>
                      <w:rFonts w:hint="eastAsia" w:cs="Times New Roman"/>
                      <w:b/>
                      <w:bCs/>
                      <w:color w:val="0000FF"/>
                      <w:highlight w:val="none"/>
                      <w:u w:val="none"/>
                      <w:vertAlign w:val="subscript"/>
                      <w:lang w:val="en-US" w:eastAsia="zh-CN"/>
                    </w:rPr>
                    <w:t>5</w:t>
                  </w:r>
                </w:p>
              </w:tc>
              <w:tc>
                <w:tcPr>
                  <w:tcW w:w="822" w:type="dxa"/>
                  <w:tcBorders>
                    <w:tl2br w:val="nil"/>
                    <w:tr2bl w:val="nil"/>
                  </w:tcBorders>
                  <w:vAlign w:val="center"/>
                </w:tcPr>
                <w:p w14:paraId="4E4DAF10">
                  <w:pPr>
                    <w:pStyle w:val="33"/>
                    <w:bidi w:val="0"/>
                    <w:jc w:val="center"/>
                    <w:rPr>
                      <w:rFonts w:hint="default" w:ascii="Times New Roman" w:hAnsi="Times New Roman" w:eastAsia="宋体" w:cs="Times New Roman"/>
                      <w:b/>
                      <w:bCs/>
                      <w:color w:val="0000FF"/>
                      <w:highlight w:val="none"/>
                      <w:u w:val="none"/>
                      <w:vertAlign w:val="baseline"/>
                      <w:lang w:val="en-US" w:eastAsia="zh-CN"/>
                    </w:rPr>
                  </w:pPr>
                  <w:r>
                    <w:rPr>
                      <w:rFonts w:hint="default" w:ascii="Times New Roman" w:hAnsi="Times New Roman" w:eastAsia="宋体" w:cs="Times New Roman"/>
                      <w:b/>
                      <w:bCs/>
                      <w:color w:val="0000FF"/>
                      <w:highlight w:val="none"/>
                      <w:u w:val="none"/>
                      <w:vertAlign w:val="baseline"/>
                      <w:lang w:val="en-US" w:eastAsia="zh-CN"/>
                    </w:rPr>
                    <w:t>NH</w:t>
                  </w:r>
                  <w:r>
                    <w:rPr>
                      <w:rFonts w:hint="default" w:ascii="Times New Roman" w:hAnsi="Times New Roman" w:eastAsia="宋体" w:cs="Times New Roman"/>
                      <w:b/>
                      <w:bCs/>
                      <w:color w:val="0000FF"/>
                      <w:highlight w:val="none"/>
                      <w:u w:val="none"/>
                      <w:vertAlign w:val="subscript"/>
                      <w:lang w:val="en-US" w:eastAsia="zh-CN"/>
                    </w:rPr>
                    <w:t>3</w:t>
                  </w:r>
                  <w:r>
                    <w:rPr>
                      <w:rFonts w:hint="default" w:ascii="Times New Roman" w:hAnsi="Times New Roman" w:eastAsia="宋体" w:cs="Times New Roman"/>
                      <w:b/>
                      <w:bCs/>
                      <w:color w:val="0000FF"/>
                      <w:highlight w:val="none"/>
                      <w:u w:val="none"/>
                      <w:vertAlign w:val="baseline"/>
                      <w:lang w:val="en-US" w:eastAsia="zh-CN"/>
                    </w:rPr>
                    <w:t>-N</w:t>
                  </w:r>
                </w:p>
              </w:tc>
              <w:tc>
                <w:tcPr>
                  <w:tcW w:w="796" w:type="dxa"/>
                  <w:tcBorders>
                    <w:tl2br w:val="nil"/>
                    <w:tr2bl w:val="nil"/>
                  </w:tcBorders>
                  <w:vAlign w:val="center"/>
                </w:tcPr>
                <w:p w14:paraId="6CF305C4">
                  <w:pPr>
                    <w:pStyle w:val="33"/>
                    <w:bidi w:val="0"/>
                    <w:jc w:val="center"/>
                    <w:rPr>
                      <w:rFonts w:hint="default" w:ascii="Times New Roman" w:hAnsi="Times New Roman" w:eastAsia="宋体" w:cs="Times New Roman"/>
                      <w:b/>
                      <w:bCs/>
                      <w:color w:val="0000FF"/>
                      <w:highlight w:val="none"/>
                      <w:u w:val="none"/>
                      <w:vertAlign w:val="baseline"/>
                      <w:lang w:val="en-US" w:eastAsia="zh-CN"/>
                    </w:rPr>
                  </w:pPr>
                  <w:r>
                    <w:rPr>
                      <w:rFonts w:hint="default" w:ascii="Times New Roman" w:hAnsi="Times New Roman" w:eastAsia="宋体" w:cs="Times New Roman"/>
                      <w:b/>
                      <w:bCs/>
                      <w:color w:val="0000FF"/>
                      <w:highlight w:val="none"/>
                      <w:u w:val="none"/>
                      <w:vertAlign w:val="baseline"/>
                      <w:lang w:val="en-US" w:eastAsia="zh-CN"/>
                    </w:rPr>
                    <w:t>SS</w:t>
                  </w:r>
                </w:p>
              </w:tc>
              <w:tc>
                <w:tcPr>
                  <w:tcW w:w="1040" w:type="dxa"/>
                  <w:tcBorders>
                    <w:tl2br w:val="nil"/>
                    <w:tr2bl w:val="nil"/>
                  </w:tcBorders>
                  <w:vAlign w:val="center"/>
                </w:tcPr>
                <w:p w14:paraId="4A5AB504">
                  <w:pPr>
                    <w:pStyle w:val="33"/>
                    <w:bidi w:val="0"/>
                    <w:jc w:val="center"/>
                    <w:rPr>
                      <w:rFonts w:hint="default" w:ascii="Times New Roman" w:hAnsi="Times New Roman" w:eastAsia="宋体" w:cs="Times New Roman"/>
                      <w:b/>
                      <w:bCs/>
                      <w:color w:val="0000FF"/>
                      <w:highlight w:val="none"/>
                      <w:u w:val="none"/>
                      <w:vertAlign w:val="baseline"/>
                      <w:lang w:val="en-US" w:eastAsia="zh-CN"/>
                    </w:rPr>
                  </w:pPr>
                  <w:r>
                    <w:rPr>
                      <w:rFonts w:hint="default" w:ascii="Times New Roman" w:hAnsi="Times New Roman" w:eastAsia="宋体" w:cs="Times New Roman"/>
                      <w:b/>
                      <w:bCs/>
                      <w:color w:val="0000FF"/>
                      <w:highlight w:val="none"/>
                      <w:u w:val="none"/>
                      <w:vertAlign w:val="baseline"/>
                      <w:lang w:val="en-US" w:eastAsia="zh-CN"/>
                    </w:rPr>
                    <w:t>动植物油</w:t>
                  </w:r>
                </w:p>
              </w:tc>
              <w:tc>
                <w:tcPr>
                  <w:tcW w:w="865" w:type="dxa"/>
                  <w:tcBorders>
                    <w:tl2br w:val="nil"/>
                    <w:tr2bl w:val="nil"/>
                  </w:tcBorders>
                  <w:vAlign w:val="center"/>
                </w:tcPr>
                <w:p w14:paraId="009F0177">
                  <w:pPr>
                    <w:pStyle w:val="33"/>
                    <w:bidi w:val="0"/>
                    <w:jc w:val="center"/>
                    <w:rPr>
                      <w:rFonts w:hint="default" w:ascii="Times New Roman" w:hAnsi="Times New Roman" w:eastAsia="宋体" w:cs="Times New Roman"/>
                      <w:b/>
                      <w:bCs/>
                      <w:color w:val="0000FF"/>
                      <w:highlight w:val="none"/>
                      <w:u w:val="none"/>
                      <w:vertAlign w:val="baseline"/>
                      <w:lang w:val="en-US" w:eastAsia="zh-CN"/>
                    </w:rPr>
                  </w:pPr>
                  <w:r>
                    <w:rPr>
                      <w:rFonts w:hint="default" w:ascii="Times New Roman" w:hAnsi="Times New Roman" w:cs="Times New Roman"/>
                      <w:b/>
                      <w:bCs/>
                      <w:color w:val="0000FF"/>
                      <w:highlight w:val="none"/>
                      <w:u w:val="none"/>
                      <w:vertAlign w:val="baseline"/>
                      <w:lang w:val="en-US" w:eastAsia="zh-CN"/>
                    </w:rPr>
                    <w:t>总磷</w:t>
                  </w:r>
                </w:p>
              </w:tc>
            </w:tr>
            <w:tr w14:paraId="34C90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085" w:type="dxa"/>
                  <w:vMerge w:val="restart"/>
                  <w:tcBorders>
                    <w:tl2br w:val="nil"/>
                    <w:tr2bl w:val="nil"/>
                  </w:tcBorders>
                  <w:vAlign w:val="center"/>
                </w:tcPr>
                <w:p w14:paraId="1546AF19">
                  <w:pPr>
                    <w:pStyle w:val="33"/>
                    <w:bidi w:val="0"/>
                    <w:jc w:val="center"/>
                    <w:rPr>
                      <w:rFonts w:hint="default" w:ascii="Times New Roman" w:hAnsi="Times New Roman" w:eastAsia="宋体" w:cs="Times New Roman"/>
                      <w:color w:val="0000FF"/>
                      <w:highlight w:val="none"/>
                      <w:u w:val="none"/>
                      <w:vertAlign w:val="baseline"/>
                      <w:lang w:val="en-US" w:eastAsia="zh-CN"/>
                    </w:rPr>
                  </w:pPr>
                  <w:r>
                    <w:rPr>
                      <w:rFonts w:hint="default" w:ascii="Times New Roman" w:hAnsi="Times New Roman" w:eastAsia="宋体" w:cs="Times New Roman"/>
                      <w:color w:val="0000FF"/>
                      <w:highlight w:val="none"/>
                      <w:u w:val="none"/>
                      <w:vertAlign w:val="baseline"/>
                      <w:lang w:val="en-US" w:eastAsia="zh-CN"/>
                    </w:rPr>
                    <w:t>生活污水（</w:t>
                  </w:r>
                  <w:r>
                    <w:rPr>
                      <w:rFonts w:hint="default" w:ascii="Times New Roman" w:hAnsi="Times New Roman" w:eastAsia="宋体" w:cs="Times New Roman"/>
                      <w:color w:val="0000FF"/>
                      <w:highlight w:val="none"/>
                      <w:u w:val="none"/>
                      <w:lang w:val="en-US" w:eastAsia="zh-CN"/>
                    </w:rPr>
                    <w:t>72t/a</w:t>
                  </w:r>
                  <w:r>
                    <w:rPr>
                      <w:rFonts w:hint="default" w:ascii="Times New Roman" w:hAnsi="Times New Roman" w:eastAsia="宋体" w:cs="Times New Roman"/>
                      <w:color w:val="0000FF"/>
                      <w:highlight w:val="none"/>
                      <w:u w:val="none"/>
                      <w:vertAlign w:val="baseline"/>
                      <w:lang w:val="en-US" w:eastAsia="zh-CN"/>
                    </w:rPr>
                    <w:t>）</w:t>
                  </w:r>
                </w:p>
              </w:tc>
              <w:tc>
                <w:tcPr>
                  <w:tcW w:w="1733" w:type="dxa"/>
                  <w:tcBorders>
                    <w:tl2br w:val="nil"/>
                    <w:tr2bl w:val="nil"/>
                  </w:tcBorders>
                  <w:vAlign w:val="center"/>
                </w:tcPr>
                <w:p w14:paraId="736A7A4E">
                  <w:pPr>
                    <w:pStyle w:val="33"/>
                    <w:bidi w:val="0"/>
                    <w:jc w:val="center"/>
                    <w:rPr>
                      <w:rFonts w:hint="default" w:ascii="Times New Roman" w:hAnsi="Times New Roman" w:eastAsia="宋体" w:cs="Times New Roman"/>
                      <w:color w:val="0000FF"/>
                      <w:highlight w:val="none"/>
                      <w:u w:val="none"/>
                      <w:vertAlign w:val="baseline"/>
                      <w:lang w:val="en-US" w:eastAsia="zh-CN"/>
                    </w:rPr>
                  </w:pPr>
                  <w:r>
                    <w:rPr>
                      <w:rFonts w:hint="default" w:ascii="Times New Roman" w:hAnsi="Times New Roman" w:eastAsia="宋体" w:cs="Times New Roman"/>
                      <w:color w:val="0000FF"/>
                      <w:highlight w:val="none"/>
                      <w:u w:val="none"/>
                      <w:vertAlign w:val="baseline"/>
                      <w:lang w:val="en-US" w:eastAsia="zh-CN"/>
                    </w:rPr>
                    <w:t>产生浓度（mg/L）</w:t>
                  </w:r>
                </w:p>
              </w:tc>
              <w:tc>
                <w:tcPr>
                  <w:tcW w:w="883" w:type="dxa"/>
                  <w:tcBorders>
                    <w:tl2br w:val="nil"/>
                    <w:tr2bl w:val="nil"/>
                  </w:tcBorders>
                  <w:vAlign w:val="center"/>
                </w:tcPr>
                <w:p w14:paraId="1326503E">
                  <w:pPr>
                    <w:pStyle w:val="33"/>
                    <w:bidi w:val="0"/>
                    <w:ind w:firstLine="0" w:firstLineChars="0"/>
                    <w:jc w:val="center"/>
                    <w:rPr>
                      <w:rFonts w:hint="default" w:ascii="Times New Roman" w:hAnsi="Times New Roman" w:eastAsia="宋体" w:cs="Times New Roman"/>
                      <w:color w:val="0000FF"/>
                      <w:highlight w:val="none"/>
                      <w:u w:val="none"/>
                      <w:vertAlign w:val="baseline"/>
                      <w:lang w:val="en-US" w:eastAsia="zh-CN"/>
                    </w:rPr>
                  </w:pPr>
                  <w:r>
                    <w:rPr>
                      <w:rFonts w:hint="default" w:ascii="Times New Roman" w:hAnsi="Times New Roman" w:eastAsia="宋体" w:cs="Times New Roman"/>
                      <w:color w:val="0000FF"/>
                      <w:highlight w:val="none"/>
                      <w:u w:val="none"/>
                      <w:vertAlign w:val="baseline"/>
                      <w:lang w:val="en-US" w:eastAsia="zh-CN"/>
                    </w:rPr>
                    <w:t>325.00</w:t>
                  </w:r>
                </w:p>
              </w:tc>
              <w:tc>
                <w:tcPr>
                  <w:tcW w:w="796" w:type="dxa"/>
                  <w:tcBorders>
                    <w:tl2br w:val="nil"/>
                    <w:tr2bl w:val="nil"/>
                  </w:tcBorders>
                  <w:vAlign w:val="center"/>
                </w:tcPr>
                <w:p w14:paraId="4E973EA6">
                  <w:pPr>
                    <w:pStyle w:val="33"/>
                    <w:bidi w:val="0"/>
                    <w:ind w:firstLine="0" w:firstLineChars="0"/>
                    <w:jc w:val="center"/>
                    <w:rPr>
                      <w:rFonts w:hint="default" w:ascii="Times New Roman" w:hAnsi="Times New Roman" w:eastAsia="宋体" w:cs="Times New Roman"/>
                      <w:color w:val="0000FF"/>
                      <w:highlight w:val="none"/>
                      <w:u w:val="none"/>
                      <w:vertAlign w:val="baseline"/>
                      <w:lang w:val="en-US" w:eastAsia="zh-CN"/>
                    </w:rPr>
                  </w:pPr>
                  <w:r>
                    <w:rPr>
                      <w:rFonts w:hint="eastAsia" w:cs="Times New Roman"/>
                      <w:color w:val="0000FF"/>
                      <w:highlight w:val="none"/>
                      <w:u w:val="none"/>
                      <w:vertAlign w:val="baseline"/>
                      <w:lang w:val="en-US" w:eastAsia="zh-CN"/>
                    </w:rPr>
                    <w:t>110.00</w:t>
                  </w:r>
                </w:p>
              </w:tc>
              <w:tc>
                <w:tcPr>
                  <w:tcW w:w="822" w:type="dxa"/>
                  <w:tcBorders>
                    <w:tl2br w:val="nil"/>
                    <w:tr2bl w:val="nil"/>
                  </w:tcBorders>
                  <w:vAlign w:val="center"/>
                </w:tcPr>
                <w:p w14:paraId="70B443C0">
                  <w:pPr>
                    <w:pStyle w:val="33"/>
                    <w:bidi w:val="0"/>
                    <w:ind w:firstLine="0" w:firstLineChars="0"/>
                    <w:jc w:val="center"/>
                    <w:rPr>
                      <w:rFonts w:hint="default" w:ascii="Times New Roman" w:hAnsi="Times New Roman" w:eastAsia="宋体" w:cs="Times New Roman"/>
                      <w:color w:val="0000FF"/>
                      <w:highlight w:val="none"/>
                      <w:u w:val="none"/>
                      <w:vertAlign w:val="baseline"/>
                      <w:lang w:val="en-US" w:eastAsia="zh-CN"/>
                    </w:rPr>
                  </w:pPr>
                  <w:r>
                    <w:rPr>
                      <w:rFonts w:hint="default" w:ascii="Times New Roman" w:hAnsi="Times New Roman" w:eastAsia="宋体" w:cs="Times New Roman"/>
                      <w:color w:val="0000FF"/>
                      <w:highlight w:val="none"/>
                      <w:u w:val="none"/>
                      <w:vertAlign w:val="baseline"/>
                      <w:lang w:val="en-US" w:eastAsia="zh-CN"/>
                    </w:rPr>
                    <w:t>30.00</w:t>
                  </w:r>
                </w:p>
              </w:tc>
              <w:tc>
                <w:tcPr>
                  <w:tcW w:w="796" w:type="dxa"/>
                  <w:tcBorders>
                    <w:tl2br w:val="nil"/>
                    <w:tr2bl w:val="nil"/>
                  </w:tcBorders>
                  <w:vAlign w:val="center"/>
                </w:tcPr>
                <w:p w14:paraId="453A8216">
                  <w:pPr>
                    <w:pStyle w:val="33"/>
                    <w:bidi w:val="0"/>
                    <w:ind w:firstLine="0" w:firstLineChars="0"/>
                    <w:jc w:val="center"/>
                    <w:rPr>
                      <w:rFonts w:hint="default" w:ascii="Times New Roman" w:hAnsi="Times New Roman" w:eastAsia="宋体" w:cs="Times New Roman"/>
                      <w:color w:val="0000FF"/>
                      <w:highlight w:val="none"/>
                      <w:u w:val="none"/>
                      <w:vertAlign w:val="baseline"/>
                      <w:lang w:val="en-US" w:eastAsia="zh-CN"/>
                    </w:rPr>
                  </w:pPr>
                  <w:r>
                    <w:rPr>
                      <w:rFonts w:hint="default" w:ascii="Times New Roman" w:hAnsi="Times New Roman" w:eastAsia="宋体" w:cs="Times New Roman"/>
                      <w:color w:val="0000FF"/>
                      <w:highlight w:val="none"/>
                      <w:u w:val="none"/>
                      <w:vertAlign w:val="baseline"/>
                      <w:lang w:val="en-US" w:eastAsia="zh-CN"/>
                    </w:rPr>
                    <w:t>200.00</w:t>
                  </w:r>
                </w:p>
              </w:tc>
              <w:tc>
                <w:tcPr>
                  <w:tcW w:w="1040" w:type="dxa"/>
                  <w:tcBorders>
                    <w:tl2br w:val="nil"/>
                    <w:tr2bl w:val="nil"/>
                  </w:tcBorders>
                  <w:vAlign w:val="center"/>
                </w:tcPr>
                <w:p w14:paraId="3D24A617">
                  <w:pPr>
                    <w:pStyle w:val="33"/>
                    <w:bidi w:val="0"/>
                    <w:ind w:firstLine="0" w:firstLineChars="0"/>
                    <w:jc w:val="center"/>
                    <w:rPr>
                      <w:rFonts w:hint="default" w:ascii="Times New Roman" w:hAnsi="Times New Roman" w:eastAsia="宋体" w:cs="Times New Roman"/>
                      <w:color w:val="0000FF"/>
                      <w:highlight w:val="none"/>
                      <w:u w:val="none"/>
                      <w:vertAlign w:val="baseline"/>
                      <w:lang w:val="en-US" w:eastAsia="zh-CN"/>
                    </w:rPr>
                  </w:pPr>
                  <w:r>
                    <w:rPr>
                      <w:rFonts w:hint="eastAsia" w:cs="Times New Roman"/>
                      <w:color w:val="0000FF"/>
                      <w:highlight w:val="none"/>
                      <w:u w:val="none"/>
                      <w:vertAlign w:val="baseline"/>
                      <w:lang w:val="en-US" w:eastAsia="zh-CN"/>
                    </w:rPr>
                    <w:t>25.00</w:t>
                  </w:r>
                </w:p>
              </w:tc>
              <w:tc>
                <w:tcPr>
                  <w:tcW w:w="865" w:type="dxa"/>
                  <w:tcBorders>
                    <w:tl2br w:val="nil"/>
                    <w:tr2bl w:val="nil"/>
                  </w:tcBorders>
                  <w:vAlign w:val="center"/>
                </w:tcPr>
                <w:p w14:paraId="4F7030B0">
                  <w:pPr>
                    <w:pStyle w:val="33"/>
                    <w:bidi w:val="0"/>
                    <w:ind w:firstLine="0" w:firstLineChars="0"/>
                    <w:jc w:val="center"/>
                    <w:rPr>
                      <w:rFonts w:hint="default" w:ascii="Times New Roman" w:hAnsi="Times New Roman" w:eastAsia="宋体" w:cs="Times New Roman"/>
                      <w:color w:val="0000FF"/>
                      <w:highlight w:val="none"/>
                      <w:u w:val="none"/>
                      <w:vertAlign w:val="baseline"/>
                      <w:lang w:val="en-US" w:eastAsia="zh-CN"/>
                    </w:rPr>
                  </w:pPr>
                  <w:r>
                    <w:rPr>
                      <w:rFonts w:hint="default" w:ascii="Times New Roman" w:hAnsi="Times New Roman" w:cs="Times New Roman"/>
                      <w:color w:val="0000FF"/>
                      <w:highlight w:val="none"/>
                      <w:u w:val="none"/>
                      <w:vertAlign w:val="baseline"/>
                      <w:lang w:val="en-US" w:eastAsia="zh-CN"/>
                    </w:rPr>
                    <w:t>5.50</w:t>
                  </w:r>
                </w:p>
              </w:tc>
            </w:tr>
            <w:tr w14:paraId="2F187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085" w:type="dxa"/>
                  <w:vMerge w:val="continue"/>
                  <w:tcBorders>
                    <w:tl2br w:val="nil"/>
                    <w:tr2bl w:val="nil"/>
                  </w:tcBorders>
                  <w:vAlign w:val="center"/>
                </w:tcPr>
                <w:p w14:paraId="30922459">
                  <w:pPr>
                    <w:pStyle w:val="33"/>
                    <w:bidi w:val="0"/>
                    <w:jc w:val="center"/>
                    <w:rPr>
                      <w:rFonts w:hint="default" w:ascii="Times New Roman" w:hAnsi="Times New Roman" w:eastAsia="宋体" w:cs="Times New Roman"/>
                      <w:color w:val="0000FF"/>
                      <w:highlight w:val="none"/>
                      <w:u w:val="none"/>
                      <w:vertAlign w:val="baseline"/>
                      <w:lang w:val="en-US" w:eastAsia="zh-CN"/>
                    </w:rPr>
                  </w:pPr>
                </w:p>
              </w:tc>
              <w:tc>
                <w:tcPr>
                  <w:tcW w:w="1733" w:type="dxa"/>
                  <w:tcBorders>
                    <w:tl2br w:val="nil"/>
                    <w:tr2bl w:val="nil"/>
                  </w:tcBorders>
                  <w:vAlign w:val="center"/>
                </w:tcPr>
                <w:p w14:paraId="7618B82A">
                  <w:pPr>
                    <w:pStyle w:val="33"/>
                    <w:bidi w:val="0"/>
                    <w:jc w:val="center"/>
                    <w:rPr>
                      <w:rFonts w:hint="default" w:ascii="Times New Roman" w:hAnsi="Times New Roman" w:eastAsia="宋体" w:cs="Times New Roman"/>
                      <w:color w:val="0000FF"/>
                      <w:highlight w:val="none"/>
                      <w:u w:val="none"/>
                      <w:vertAlign w:val="baseline"/>
                      <w:lang w:val="en-US" w:eastAsia="zh-CN"/>
                    </w:rPr>
                  </w:pPr>
                  <w:r>
                    <w:rPr>
                      <w:rFonts w:hint="default" w:ascii="Times New Roman" w:hAnsi="Times New Roman" w:eastAsia="宋体" w:cs="Times New Roman"/>
                      <w:color w:val="0000FF"/>
                      <w:highlight w:val="none"/>
                      <w:u w:val="none"/>
                      <w:vertAlign w:val="baseline"/>
                      <w:lang w:val="en-US" w:eastAsia="zh-CN"/>
                    </w:rPr>
                    <w:t>产生量（t/a）</w:t>
                  </w:r>
                </w:p>
              </w:tc>
              <w:tc>
                <w:tcPr>
                  <w:tcW w:w="883" w:type="dxa"/>
                  <w:tcBorders>
                    <w:tl2br w:val="nil"/>
                    <w:tr2bl w:val="nil"/>
                  </w:tcBorders>
                  <w:vAlign w:val="center"/>
                </w:tcPr>
                <w:p w14:paraId="6FE08ABF">
                  <w:pPr>
                    <w:pStyle w:val="33"/>
                    <w:bidi w:val="0"/>
                    <w:ind w:firstLine="0" w:firstLineChars="0"/>
                    <w:rPr>
                      <w:rFonts w:hint="default" w:ascii="Times New Roman" w:hAnsi="Times New Roman" w:eastAsia="宋体" w:cs="Times New Roman"/>
                      <w:color w:val="0000FF"/>
                      <w:highlight w:val="none"/>
                      <w:u w:val="none"/>
                      <w:lang w:val="en-US" w:eastAsia="zh-CN"/>
                    </w:rPr>
                  </w:pPr>
                  <w:r>
                    <w:rPr>
                      <w:rFonts w:hint="default" w:ascii="Times New Roman" w:hAnsi="Times New Roman" w:eastAsia="宋体" w:cs="Times New Roman"/>
                      <w:color w:val="0000FF"/>
                      <w:highlight w:val="none"/>
                      <w:u w:val="none"/>
                      <w:lang w:val="en-US" w:eastAsia="zh-CN"/>
                    </w:rPr>
                    <w:t>0.0</w:t>
                  </w:r>
                  <w:r>
                    <w:rPr>
                      <w:rFonts w:hint="eastAsia" w:cs="Times New Roman"/>
                      <w:color w:val="0000FF"/>
                      <w:highlight w:val="none"/>
                      <w:u w:val="none"/>
                      <w:lang w:val="en-US" w:eastAsia="zh-CN"/>
                    </w:rPr>
                    <w:t>39</w:t>
                  </w:r>
                </w:p>
              </w:tc>
              <w:tc>
                <w:tcPr>
                  <w:tcW w:w="796" w:type="dxa"/>
                  <w:tcBorders>
                    <w:tl2br w:val="nil"/>
                    <w:tr2bl w:val="nil"/>
                  </w:tcBorders>
                  <w:vAlign w:val="center"/>
                </w:tcPr>
                <w:p w14:paraId="2D187706">
                  <w:pPr>
                    <w:pStyle w:val="33"/>
                    <w:bidi w:val="0"/>
                    <w:ind w:firstLine="0" w:firstLineChars="0"/>
                    <w:rPr>
                      <w:rFonts w:hint="default" w:ascii="Times New Roman" w:hAnsi="Times New Roman" w:eastAsia="宋体" w:cs="Times New Roman"/>
                      <w:color w:val="0000FF"/>
                      <w:highlight w:val="none"/>
                      <w:u w:val="none"/>
                      <w:lang w:val="en-US" w:eastAsia="zh-CN"/>
                    </w:rPr>
                  </w:pPr>
                  <w:r>
                    <w:rPr>
                      <w:rFonts w:hint="default" w:ascii="Times New Roman" w:hAnsi="Times New Roman" w:eastAsia="宋体" w:cs="Times New Roman"/>
                      <w:color w:val="0000FF"/>
                      <w:highlight w:val="none"/>
                      <w:u w:val="none"/>
                      <w:lang w:val="en-US" w:eastAsia="zh-CN"/>
                    </w:rPr>
                    <w:t>0.0</w:t>
                  </w:r>
                  <w:r>
                    <w:rPr>
                      <w:rFonts w:hint="eastAsia" w:cs="Times New Roman"/>
                      <w:color w:val="0000FF"/>
                      <w:highlight w:val="none"/>
                      <w:u w:val="none"/>
                      <w:lang w:val="en-US" w:eastAsia="zh-CN"/>
                    </w:rPr>
                    <w:t>13</w:t>
                  </w:r>
                </w:p>
              </w:tc>
              <w:tc>
                <w:tcPr>
                  <w:tcW w:w="822" w:type="dxa"/>
                  <w:tcBorders>
                    <w:tl2br w:val="nil"/>
                    <w:tr2bl w:val="nil"/>
                  </w:tcBorders>
                  <w:vAlign w:val="center"/>
                </w:tcPr>
                <w:p w14:paraId="453F35FE">
                  <w:pPr>
                    <w:pStyle w:val="33"/>
                    <w:bidi w:val="0"/>
                    <w:ind w:firstLine="0" w:firstLineChars="0"/>
                    <w:rPr>
                      <w:rFonts w:hint="default" w:ascii="Times New Roman" w:hAnsi="Times New Roman" w:eastAsia="宋体" w:cs="Times New Roman"/>
                      <w:color w:val="0000FF"/>
                      <w:highlight w:val="none"/>
                      <w:u w:val="none"/>
                      <w:lang w:val="en-US" w:eastAsia="zh-CN"/>
                    </w:rPr>
                  </w:pPr>
                  <w:r>
                    <w:rPr>
                      <w:rFonts w:hint="default" w:ascii="Times New Roman" w:hAnsi="Times New Roman" w:eastAsia="宋体" w:cs="Times New Roman"/>
                      <w:color w:val="0000FF"/>
                      <w:highlight w:val="none"/>
                      <w:u w:val="none"/>
                      <w:lang w:val="en-US" w:eastAsia="zh-CN"/>
                    </w:rPr>
                    <w:t>0.00</w:t>
                  </w:r>
                  <w:r>
                    <w:rPr>
                      <w:rFonts w:hint="eastAsia" w:cs="Times New Roman"/>
                      <w:color w:val="0000FF"/>
                      <w:highlight w:val="none"/>
                      <w:u w:val="none"/>
                      <w:lang w:val="en-US" w:eastAsia="zh-CN"/>
                    </w:rPr>
                    <w:t>4</w:t>
                  </w:r>
                </w:p>
              </w:tc>
              <w:tc>
                <w:tcPr>
                  <w:tcW w:w="796" w:type="dxa"/>
                  <w:tcBorders>
                    <w:tl2br w:val="nil"/>
                    <w:tr2bl w:val="nil"/>
                  </w:tcBorders>
                  <w:vAlign w:val="center"/>
                </w:tcPr>
                <w:p w14:paraId="1181E9B1">
                  <w:pPr>
                    <w:pStyle w:val="33"/>
                    <w:bidi w:val="0"/>
                    <w:ind w:firstLine="0" w:firstLineChars="0"/>
                    <w:rPr>
                      <w:rFonts w:hint="default" w:ascii="Times New Roman" w:hAnsi="Times New Roman" w:eastAsia="宋体" w:cs="Times New Roman"/>
                      <w:color w:val="0000FF"/>
                      <w:highlight w:val="none"/>
                      <w:u w:val="none"/>
                      <w:lang w:val="en-US" w:eastAsia="zh-CN"/>
                    </w:rPr>
                  </w:pPr>
                  <w:r>
                    <w:rPr>
                      <w:rFonts w:hint="default" w:ascii="Times New Roman" w:hAnsi="Times New Roman" w:eastAsia="宋体" w:cs="Times New Roman"/>
                      <w:color w:val="0000FF"/>
                      <w:highlight w:val="none"/>
                      <w:u w:val="none"/>
                      <w:lang w:val="en-US" w:eastAsia="zh-CN"/>
                    </w:rPr>
                    <w:t>0.0</w:t>
                  </w:r>
                  <w:r>
                    <w:rPr>
                      <w:rFonts w:hint="eastAsia" w:cs="Times New Roman"/>
                      <w:color w:val="0000FF"/>
                      <w:highlight w:val="none"/>
                      <w:u w:val="none"/>
                      <w:lang w:val="en-US" w:eastAsia="zh-CN"/>
                    </w:rPr>
                    <w:t>24</w:t>
                  </w:r>
                </w:p>
              </w:tc>
              <w:tc>
                <w:tcPr>
                  <w:tcW w:w="1040" w:type="dxa"/>
                  <w:tcBorders>
                    <w:tl2br w:val="nil"/>
                    <w:tr2bl w:val="nil"/>
                  </w:tcBorders>
                  <w:vAlign w:val="center"/>
                </w:tcPr>
                <w:p w14:paraId="65A85D2B">
                  <w:pPr>
                    <w:pStyle w:val="33"/>
                    <w:bidi w:val="0"/>
                    <w:ind w:firstLine="0" w:firstLineChars="0"/>
                    <w:jc w:val="center"/>
                    <w:rPr>
                      <w:rFonts w:hint="default" w:ascii="Times New Roman" w:hAnsi="Times New Roman" w:eastAsia="宋体" w:cs="Times New Roman"/>
                      <w:color w:val="0000FF"/>
                      <w:highlight w:val="none"/>
                      <w:u w:val="none"/>
                      <w:vertAlign w:val="baseline"/>
                      <w:lang w:val="en-US" w:eastAsia="zh-CN"/>
                    </w:rPr>
                  </w:pPr>
                  <w:r>
                    <w:rPr>
                      <w:rFonts w:hint="default" w:ascii="Times New Roman" w:hAnsi="Times New Roman" w:eastAsia="宋体" w:cs="Times New Roman"/>
                      <w:color w:val="0000FF"/>
                      <w:highlight w:val="none"/>
                      <w:u w:val="none"/>
                      <w:vertAlign w:val="baseline"/>
                      <w:lang w:val="en-US" w:eastAsia="zh-CN"/>
                    </w:rPr>
                    <w:t>0.00</w:t>
                  </w:r>
                  <w:r>
                    <w:rPr>
                      <w:rFonts w:hint="eastAsia" w:cs="Times New Roman"/>
                      <w:color w:val="0000FF"/>
                      <w:highlight w:val="none"/>
                      <w:u w:val="none"/>
                      <w:vertAlign w:val="baseline"/>
                      <w:lang w:val="en-US" w:eastAsia="zh-CN"/>
                    </w:rPr>
                    <w:t>3</w:t>
                  </w:r>
                </w:p>
              </w:tc>
              <w:tc>
                <w:tcPr>
                  <w:tcW w:w="865" w:type="dxa"/>
                  <w:tcBorders>
                    <w:tl2br w:val="nil"/>
                    <w:tr2bl w:val="nil"/>
                  </w:tcBorders>
                  <w:vAlign w:val="center"/>
                </w:tcPr>
                <w:p w14:paraId="63BE8C35">
                  <w:pPr>
                    <w:pStyle w:val="33"/>
                    <w:bidi w:val="0"/>
                    <w:ind w:firstLine="0" w:firstLineChars="0"/>
                    <w:jc w:val="center"/>
                    <w:rPr>
                      <w:rFonts w:hint="default" w:ascii="Times New Roman" w:hAnsi="Times New Roman" w:eastAsia="宋体" w:cs="Times New Roman"/>
                      <w:color w:val="0000FF"/>
                      <w:highlight w:val="none"/>
                      <w:u w:val="none"/>
                      <w:vertAlign w:val="baseline"/>
                      <w:lang w:val="en-US" w:eastAsia="zh-CN"/>
                    </w:rPr>
                  </w:pPr>
                  <w:r>
                    <w:rPr>
                      <w:rFonts w:hint="default" w:ascii="Times New Roman" w:hAnsi="Times New Roman" w:cs="Times New Roman"/>
                      <w:color w:val="0000FF"/>
                      <w:highlight w:val="none"/>
                      <w:u w:val="none"/>
                      <w:vertAlign w:val="baseline"/>
                      <w:lang w:val="en-US" w:eastAsia="zh-CN"/>
                    </w:rPr>
                    <w:t>0.00</w:t>
                  </w:r>
                  <w:r>
                    <w:rPr>
                      <w:rFonts w:hint="eastAsia" w:cs="Times New Roman"/>
                      <w:color w:val="0000FF"/>
                      <w:highlight w:val="none"/>
                      <w:u w:val="none"/>
                      <w:vertAlign w:val="baseline"/>
                      <w:lang w:val="en-US" w:eastAsia="zh-CN"/>
                    </w:rPr>
                    <w:t>1</w:t>
                  </w:r>
                </w:p>
              </w:tc>
            </w:tr>
            <w:tr w14:paraId="26223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tcBorders>
                    <w:tl2br w:val="nil"/>
                    <w:tr2bl w:val="nil"/>
                  </w:tcBorders>
                  <w:vAlign w:val="center"/>
                </w:tcPr>
                <w:p w14:paraId="66695F34">
                  <w:pPr>
                    <w:pStyle w:val="33"/>
                    <w:bidi w:val="0"/>
                    <w:jc w:val="center"/>
                    <w:rPr>
                      <w:rFonts w:hint="default" w:ascii="Times New Roman" w:hAnsi="Times New Roman" w:eastAsia="宋体" w:cs="Times New Roman"/>
                      <w:color w:val="0000FF"/>
                      <w:highlight w:val="none"/>
                      <w:u w:val="none"/>
                      <w:vertAlign w:val="baseline"/>
                      <w:lang w:val="en-US" w:eastAsia="zh-CN"/>
                    </w:rPr>
                  </w:pPr>
                </w:p>
              </w:tc>
              <w:tc>
                <w:tcPr>
                  <w:tcW w:w="1733" w:type="dxa"/>
                  <w:tcBorders>
                    <w:tl2br w:val="nil"/>
                    <w:tr2bl w:val="nil"/>
                  </w:tcBorders>
                  <w:vAlign w:val="center"/>
                </w:tcPr>
                <w:p w14:paraId="36D19450">
                  <w:pPr>
                    <w:pStyle w:val="33"/>
                    <w:bidi w:val="0"/>
                    <w:jc w:val="center"/>
                    <w:rPr>
                      <w:rFonts w:hint="default" w:ascii="Times New Roman" w:hAnsi="Times New Roman" w:eastAsia="宋体" w:cs="Times New Roman"/>
                      <w:color w:val="0000FF"/>
                      <w:highlight w:val="none"/>
                      <w:u w:val="none"/>
                      <w:vertAlign w:val="baseline"/>
                      <w:lang w:val="en-US" w:eastAsia="zh-CN"/>
                    </w:rPr>
                  </w:pPr>
                  <w:r>
                    <w:rPr>
                      <w:rFonts w:hint="default" w:ascii="Times New Roman" w:hAnsi="Times New Roman" w:eastAsia="宋体" w:cs="Times New Roman"/>
                      <w:color w:val="0000FF"/>
                      <w:highlight w:val="none"/>
                      <w:u w:val="none"/>
                      <w:vertAlign w:val="baseline"/>
                      <w:lang w:val="en-US" w:eastAsia="zh-CN"/>
                    </w:rPr>
                    <w:t>处理措施</w:t>
                  </w:r>
                </w:p>
              </w:tc>
              <w:tc>
                <w:tcPr>
                  <w:tcW w:w="4337" w:type="dxa"/>
                  <w:gridSpan w:val="5"/>
                  <w:tcBorders>
                    <w:tl2br w:val="nil"/>
                    <w:tr2bl w:val="nil"/>
                  </w:tcBorders>
                  <w:vAlign w:val="center"/>
                </w:tcPr>
                <w:p w14:paraId="2C0D9DB7">
                  <w:pPr>
                    <w:pStyle w:val="33"/>
                    <w:bidi w:val="0"/>
                    <w:jc w:val="center"/>
                    <w:rPr>
                      <w:rFonts w:hint="default" w:ascii="Times New Roman" w:hAnsi="Times New Roman" w:eastAsia="宋体" w:cs="Times New Roman"/>
                      <w:color w:val="0000FF"/>
                      <w:highlight w:val="none"/>
                      <w:u w:val="none"/>
                      <w:vertAlign w:val="baseline"/>
                      <w:lang w:val="en-US" w:eastAsia="zh-CN"/>
                    </w:rPr>
                  </w:pPr>
                  <w:r>
                    <w:rPr>
                      <w:rFonts w:hint="default" w:ascii="Times New Roman" w:hAnsi="Times New Roman" w:eastAsia="宋体" w:cs="Times New Roman"/>
                      <w:color w:val="0000FF"/>
                      <w:highlight w:val="none"/>
                      <w:u w:val="none"/>
                      <w:vertAlign w:val="baseline"/>
                      <w:lang w:val="en-US" w:eastAsia="zh-CN"/>
                    </w:rPr>
                    <w:t>化粪池</w:t>
                  </w:r>
                  <w:r>
                    <w:rPr>
                      <w:rFonts w:hint="eastAsia" w:cs="Times New Roman"/>
                      <w:color w:val="0000FF"/>
                      <w:highlight w:val="none"/>
                      <w:u w:val="none"/>
                      <w:vertAlign w:val="baseline"/>
                      <w:lang w:val="en-US" w:eastAsia="zh-CN"/>
                    </w:rPr>
                    <w:t>+一体化污水处理设施</w:t>
                  </w:r>
                </w:p>
              </w:tc>
              <w:tc>
                <w:tcPr>
                  <w:tcW w:w="865" w:type="dxa"/>
                  <w:tcBorders>
                    <w:tl2br w:val="nil"/>
                    <w:tr2bl w:val="nil"/>
                  </w:tcBorders>
                  <w:vAlign w:val="center"/>
                </w:tcPr>
                <w:p w14:paraId="1F98057B">
                  <w:pPr>
                    <w:pStyle w:val="33"/>
                    <w:bidi w:val="0"/>
                    <w:jc w:val="center"/>
                    <w:rPr>
                      <w:rFonts w:hint="default" w:ascii="Times New Roman" w:hAnsi="Times New Roman" w:eastAsia="宋体" w:cs="Times New Roman"/>
                      <w:color w:val="0000FF"/>
                      <w:highlight w:val="none"/>
                      <w:u w:val="none"/>
                      <w:vertAlign w:val="baseline"/>
                      <w:lang w:val="en-US" w:eastAsia="zh-CN"/>
                    </w:rPr>
                  </w:pPr>
                </w:p>
              </w:tc>
            </w:tr>
            <w:tr w14:paraId="1EE8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085" w:type="dxa"/>
                  <w:vMerge w:val="continue"/>
                  <w:tcBorders>
                    <w:tl2br w:val="nil"/>
                    <w:tr2bl w:val="nil"/>
                  </w:tcBorders>
                  <w:vAlign w:val="center"/>
                </w:tcPr>
                <w:p w14:paraId="33E3AA8D">
                  <w:pPr>
                    <w:pStyle w:val="33"/>
                    <w:bidi w:val="0"/>
                    <w:jc w:val="center"/>
                    <w:rPr>
                      <w:rFonts w:hint="default" w:ascii="Times New Roman" w:hAnsi="Times New Roman" w:eastAsia="宋体" w:cs="Times New Roman"/>
                      <w:color w:val="0000FF"/>
                      <w:highlight w:val="none"/>
                      <w:u w:val="none"/>
                      <w:vertAlign w:val="baseline"/>
                      <w:lang w:val="en-US" w:eastAsia="zh-CN"/>
                    </w:rPr>
                  </w:pPr>
                </w:p>
              </w:tc>
              <w:tc>
                <w:tcPr>
                  <w:tcW w:w="1733" w:type="dxa"/>
                  <w:tcBorders>
                    <w:tl2br w:val="nil"/>
                    <w:tr2bl w:val="nil"/>
                  </w:tcBorders>
                  <w:vAlign w:val="center"/>
                </w:tcPr>
                <w:p w14:paraId="618E2CF4">
                  <w:pPr>
                    <w:pStyle w:val="33"/>
                    <w:bidi w:val="0"/>
                    <w:jc w:val="center"/>
                    <w:rPr>
                      <w:rFonts w:hint="default" w:ascii="Times New Roman" w:hAnsi="Times New Roman" w:eastAsia="宋体" w:cs="Times New Roman"/>
                      <w:color w:val="0000FF"/>
                      <w:highlight w:val="none"/>
                      <w:u w:val="none"/>
                      <w:vertAlign w:val="baseline"/>
                      <w:lang w:val="en-US" w:eastAsia="zh-CN"/>
                    </w:rPr>
                  </w:pPr>
                  <w:r>
                    <w:rPr>
                      <w:rFonts w:hint="default" w:ascii="Times New Roman" w:hAnsi="Times New Roman" w:eastAsia="宋体" w:cs="Times New Roman"/>
                      <w:color w:val="0000FF"/>
                      <w:highlight w:val="none"/>
                      <w:u w:val="none"/>
                      <w:vertAlign w:val="baseline"/>
                      <w:lang w:val="en-US" w:eastAsia="zh-CN"/>
                    </w:rPr>
                    <w:t>处理效率（%）</w:t>
                  </w:r>
                </w:p>
              </w:tc>
              <w:tc>
                <w:tcPr>
                  <w:tcW w:w="883" w:type="dxa"/>
                  <w:tcBorders>
                    <w:tl2br w:val="nil"/>
                    <w:tr2bl w:val="nil"/>
                  </w:tcBorders>
                  <w:vAlign w:val="center"/>
                </w:tcPr>
                <w:p w14:paraId="245D9149">
                  <w:pPr>
                    <w:pStyle w:val="33"/>
                    <w:bidi w:val="0"/>
                    <w:ind w:firstLine="0" w:firstLineChars="0"/>
                    <w:rPr>
                      <w:rFonts w:hint="default" w:ascii="Times New Roman" w:hAnsi="Times New Roman" w:eastAsia="宋体" w:cs="Times New Roman"/>
                      <w:color w:val="0000FF"/>
                      <w:kern w:val="2"/>
                      <w:sz w:val="21"/>
                      <w:szCs w:val="36"/>
                      <w:highlight w:val="none"/>
                      <w:u w:val="none"/>
                      <w:lang w:val="en-US" w:eastAsia="zh-CN" w:bidi="ar-SA"/>
                    </w:rPr>
                  </w:pPr>
                  <w:r>
                    <w:rPr>
                      <w:rFonts w:hint="eastAsia" w:cs="Times New Roman"/>
                      <w:color w:val="0000FF"/>
                      <w:kern w:val="2"/>
                      <w:sz w:val="21"/>
                      <w:szCs w:val="36"/>
                      <w:highlight w:val="none"/>
                      <w:u w:val="none"/>
                      <w:lang w:val="en-US" w:eastAsia="zh-CN" w:bidi="ar-SA"/>
                    </w:rPr>
                    <w:t>89.5</w:t>
                  </w:r>
                </w:p>
              </w:tc>
              <w:tc>
                <w:tcPr>
                  <w:tcW w:w="796" w:type="dxa"/>
                  <w:tcBorders>
                    <w:tl2br w:val="nil"/>
                    <w:tr2bl w:val="nil"/>
                  </w:tcBorders>
                  <w:vAlign w:val="center"/>
                </w:tcPr>
                <w:p w14:paraId="116EC484">
                  <w:pPr>
                    <w:pStyle w:val="33"/>
                    <w:bidi w:val="0"/>
                    <w:ind w:firstLine="0" w:firstLineChars="0"/>
                    <w:rPr>
                      <w:rFonts w:hint="default" w:ascii="Times New Roman" w:hAnsi="Times New Roman" w:eastAsia="宋体" w:cs="Times New Roman"/>
                      <w:color w:val="0000FF"/>
                      <w:kern w:val="2"/>
                      <w:sz w:val="21"/>
                      <w:szCs w:val="36"/>
                      <w:highlight w:val="none"/>
                      <w:u w:val="none"/>
                      <w:lang w:val="en-US" w:eastAsia="zh-CN" w:bidi="ar-SA"/>
                    </w:rPr>
                  </w:pPr>
                  <w:r>
                    <w:rPr>
                      <w:rFonts w:hint="eastAsia" w:cs="Times New Roman"/>
                      <w:color w:val="0000FF"/>
                      <w:kern w:val="2"/>
                      <w:sz w:val="21"/>
                      <w:szCs w:val="36"/>
                      <w:highlight w:val="none"/>
                      <w:u w:val="none"/>
                      <w:lang w:val="en-US" w:eastAsia="zh-CN" w:bidi="ar-SA"/>
                    </w:rPr>
                    <w:t>91.5</w:t>
                  </w:r>
                </w:p>
              </w:tc>
              <w:tc>
                <w:tcPr>
                  <w:tcW w:w="822" w:type="dxa"/>
                  <w:tcBorders>
                    <w:tl2br w:val="nil"/>
                    <w:tr2bl w:val="nil"/>
                  </w:tcBorders>
                  <w:vAlign w:val="center"/>
                </w:tcPr>
                <w:p w14:paraId="452E74C7">
                  <w:pPr>
                    <w:pStyle w:val="33"/>
                    <w:bidi w:val="0"/>
                    <w:ind w:firstLine="0" w:firstLineChars="0"/>
                    <w:rPr>
                      <w:rFonts w:hint="default" w:ascii="Times New Roman" w:hAnsi="Times New Roman" w:eastAsia="宋体" w:cs="Times New Roman"/>
                      <w:color w:val="0000FF"/>
                      <w:kern w:val="2"/>
                      <w:sz w:val="21"/>
                      <w:szCs w:val="36"/>
                      <w:highlight w:val="none"/>
                      <w:u w:val="none"/>
                      <w:lang w:val="en-US" w:eastAsia="zh-CN" w:bidi="ar-SA"/>
                    </w:rPr>
                  </w:pPr>
                  <w:r>
                    <w:rPr>
                      <w:rFonts w:hint="eastAsia" w:cs="Times New Roman"/>
                      <w:color w:val="0000FF"/>
                      <w:kern w:val="2"/>
                      <w:sz w:val="21"/>
                      <w:szCs w:val="36"/>
                      <w:highlight w:val="none"/>
                      <w:u w:val="none"/>
                      <w:lang w:val="en-US" w:eastAsia="zh-CN" w:bidi="ar-SA"/>
                    </w:rPr>
                    <w:t>74.3</w:t>
                  </w:r>
                </w:p>
              </w:tc>
              <w:tc>
                <w:tcPr>
                  <w:tcW w:w="796" w:type="dxa"/>
                  <w:tcBorders>
                    <w:tl2br w:val="nil"/>
                    <w:tr2bl w:val="nil"/>
                  </w:tcBorders>
                  <w:vAlign w:val="center"/>
                </w:tcPr>
                <w:p w14:paraId="6F48DA8E">
                  <w:pPr>
                    <w:pStyle w:val="33"/>
                    <w:bidi w:val="0"/>
                    <w:ind w:firstLine="0" w:firstLineChars="0"/>
                    <w:rPr>
                      <w:rFonts w:hint="default" w:ascii="Times New Roman" w:hAnsi="Times New Roman" w:eastAsia="宋体" w:cs="Times New Roman"/>
                      <w:color w:val="0000FF"/>
                      <w:kern w:val="2"/>
                      <w:sz w:val="21"/>
                      <w:szCs w:val="36"/>
                      <w:highlight w:val="none"/>
                      <w:u w:val="none"/>
                      <w:lang w:val="en-US" w:eastAsia="zh-CN" w:bidi="ar-SA"/>
                    </w:rPr>
                  </w:pPr>
                  <w:r>
                    <w:rPr>
                      <w:rFonts w:hint="eastAsia" w:cs="Times New Roman"/>
                      <w:color w:val="0000FF"/>
                      <w:kern w:val="2"/>
                      <w:sz w:val="21"/>
                      <w:szCs w:val="36"/>
                      <w:highlight w:val="none"/>
                      <w:u w:val="none"/>
                      <w:lang w:val="en-US" w:eastAsia="zh-CN" w:bidi="ar-SA"/>
                    </w:rPr>
                    <w:t>91</w:t>
                  </w:r>
                </w:p>
              </w:tc>
              <w:tc>
                <w:tcPr>
                  <w:tcW w:w="1040" w:type="dxa"/>
                  <w:tcBorders>
                    <w:tl2br w:val="nil"/>
                    <w:tr2bl w:val="nil"/>
                  </w:tcBorders>
                  <w:vAlign w:val="center"/>
                </w:tcPr>
                <w:p w14:paraId="30EC40B7">
                  <w:pPr>
                    <w:pStyle w:val="33"/>
                    <w:bidi w:val="0"/>
                    <w:ind w:firstLine="0" w:firstLineChars="0"/>
                    <w:jc w:val="center"/>
                    <w:rPr>
                      <w:rFonts w:hint="default" w:ascii="Times New Roman" w:hAnsi="Times New Roman" w:eastAsia="宋体" w:cs="Times New Roman"/>
                      <w:color w:val="0000FF"/>
                      <w:kern w:val="2"/>
                      <w:sz w:val="21"/>
                      <w:szCs w:val="36"/>
                      <w:highlight w:val="none"/>
                      <w:u w:val="none"/>
                      <w:vertAlign w:val="baseline"/>
                      <w:lang w:val="en-US" w:eastAsia="zh-CN" w:bidi="ar-SA"/>
                    </w:rPr>
                  </w:pPr>
                  <w:r>
                    <w:rPr>
                      <w:rFonts w:hint="eastAsia" w:cs="Times New Roman"/>
                      <w:color w:val="0000FF"/>
                      <w:kern w:val="2"/>
                      <w:sz w:val="21"/>
                      <w:szCs w:val="36"/>
                      <w:highlight w:val="none"/>
                      <w:u w:val="none"/>
                      <w:vertAlign w:val="baseline"/>
                      <w:lang w:val="en-US" w:eastAsia="zh-CN" w:bidi="ar-SA"/>
                    </w:rPr>
                    <w:t>76</w:t>
                  </w:r>
                </w:p>
              </w:tc>
              <w:tc>
                <w:tcPr>
                  <w:tcW w:w="865" w:type="dxa"/>
                  <w:tcBorders>
                    <w:tl2br w:val="nil"/>
                    <w:tr2bl w:val="nil"/>
                  </w:tcBorders>
                  <w:vAlign w:val="center"/>
                </w:tcPr>
                <w:p w14:paraId="3070B829">
                  <w:pPr>
                    <w:pStyle w:val="33"/>
                    <w:bidi w:val="0"/>
                    <w:ind w:firstLine="0" w:firstLineChars="0"/>
                    <w:jc w:val="center"/>
                    <w:rPr>
                      <w:rFonts w:hint="default" w:ascii="Times New Roman" w:hAnsi="Times New Roman" w:eastAsia="宋体" w:cs="Times New Roman"/>
                      <w:color w:val="0000FF"/>
                      <w:kern w:val="2"/>
                      <w:sz w:val="21"/>
                      <w:szCs w:val="36"/>
                      <w:highlight w:val="none"/>
                      <w:u w:val="none"/>
                      <w:vertAlign w:val="baseline"/>
                      <w:lang w:val="en-US" w:eastAsia="zh-CN" w:bidi="ar-SA"/>
                    </w:rPr>
                  </w:pPr>
                  <w:r>
                    <w:rPr>
                      <w:rFonts w:hint="eastAsia" w:cs="Times New Roman"/>
                      <w:color w:val="0000FF"/>
                      <w:kern w:val="2"/>
                      <w:sz w:val="21"/>
                      <w:szCs w:val="36"/>
                      <w:highlight w:val="none"/>
                      <w:u w:val="none"/>
                      <w:vertAlign w:val="baseline"/>
                      <w:lang w:val="en-US" w:eastAsia="zh-CN" w:bidi="ar-SA"/>
                    </w:rPr>
                    <w:t>54.5</w:t>
                  </w:r>
                </w:p>
              </w:tc>
            </w:tr>
            <w:tr w14:paraId="10948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tcBorders>
                    <w:tl2br w:val="nil"/>
                    <w:tr2bl w:val="nil"/>
                  </w:tcBorders>
                  <w:vAlign w:val="center"/>
                </w:tcPr>
                <w:p w14:paraId="721AAD01">
                  <w:pPr>
                    <w:pStyle w:val="33"/>
                    <w:bidi w:val="0"/>
                    <w:jc w:val="center"/>
                    <w:rPr>
                      <w:rFonts w:hint="default" w:ascii="Times New Roman" w:hAnsi="Times New Roman" w:eastAsia="宋体" w:cs="Times New Roman"/>
                      <w:color w:val="0000FF"/>
                      <w:highlight w:val="none"/>
                      <w:u w:val="none"/>
                      <w:vertAlign w:val="baseline"/>
                      <w:lang w:val="en-US" w:eastAsia="zh-CN"/>
                    </w:rPr>
                  </w:pPr>
                </w:p>
              </w:tc>
              <w:tc>
                <w:tcPr>
                  <w:tcW w:w="1733" w:type="dxa"/>
                  <w:tcBorders>
                    <w:tl2br w:val="nil"/>
                    <w:tr2bl w:val="nil"/>
                  </w:tcBorders>
                  <w:vAlign w:val="center"/>
                </w:tcPr>
                <w:p w14:paraId="26903323">
                  <w:pPr>
                    <w:pStyle w:val="33"/>
                    <w:bidi w:val="0"/>
                    <w:jc w:val="center"/>
                    <w:rPr>
                      <w:rFonts w:hint="default" w:ascii="Times New Roman" w:hAnsi="Times New Roman" w:eastAsia="宋体" w:cs="Times New Roman"/>
                      <w:color w:val="0000FF"/>
                      <w:highlight w:val="none"/>
                      <w:u w:val="none"/>
                      <w:vertAlign w:val="baseline"/>
                      <w:lang w:val="en-US" w:eastAsia="zh-CN"/>
                    </w:rPr>
                  </w:pPr>
                  <w:r>
                    <w:rPr>
                      <w:rFonts w:hint="default" w:ascii="Times New Roman" w:hAnsi="Times New Roman" w:eastAsia="宋体" w:cs="Times New Roman"/>
                      <w:color w:val="0000FF"/>
                      <w:highlight w:val="none"/>
                      <w:u w:val="none"/>
                      <w:vertAlign w:val="baseline"/>
                      <w:lang w:val="en-US" w:eastAsia="zh-CN"/>
                    </w:rPr>
                    <w:t>排放浓度（mg/L）</w:t>
                  </w:r>
                </w:p>
              </w:tc>
              <w:tc>
                <w:tcPr>
                  <w:tcW w:w="883" w:type="dxa"/>
                  <w:tcBorders>
                    <w:tl2br w:val="nil"/>
                    <w:tr2bl w:val="nil"/>
                  </w:tcBorders>
                  <w:vAlign w:val="center"/>
                </w:tcPr>
                <w:p w14:paraId="73ECE613">
                  <w:pPr>
                    <w:pStyle w:val="33"/>
                    <w:bidi w:val="0"/>
                    <w:jc w:val="center"/>
                    <w:rPr>
                      <w:rFonts w:hint="default" w:ascii="Times New Roman" w:hAnsi="Times New Roman" w:eastAsia="宋体" w:cs="Times New Roman"/>
                      <w:color w:val="0000FF"/>
                      <w:highlight w:val="none"/>
                      <w:u w:val="none"/>
                      <w:lang w:val="en-US" w:eastAsia="zh-CN"/>
                    </w:rPr>
                  </w:pPr>
                  <w:r>
                    <w:rPr>
                      <w:rFonts w:hint="eastAsia" w:cs="Times New Roman"/>
                      <w:color w:val="0000FF"/>
                      <w:highlight w:val="none"/>
                      <w:u w:val="none"/>
                      <w:lang w:val="en-US" w:eastAsia="zh-CN"/>
                    </w:rPr>
                    <w:t>34</w:t>
                  </w:r>
                </w:p>
              </w:tc>
              <w:tc>
                <w:tcPr>
                  <w:tcW w:w="796" w:type="dxa"/>
                  <w:tcBorders>
                    <w:tl2br w:val="nil"/>
                    <w:tr2bl w:val="nil"/>
                  </w:tcBorders>
                  <w:vAlign w:val="center"/>
                </w:tcPr>
                <w:p w14:paraId="7BAE8D5B">
                  <w:pPr>
                    <w:pStyle w:val="33"/>
                    <w:bidi w:val="0"/>
                    <w:jc w:val="center"/>
                    <w:rPr>
                      <w:rFonts w:hint="default" w:ascii="Times New Roman" w:hAnsi="Times New Roman" w:eastAsia="宋体" w:cs="Times New Roman"/>
                      <w:color w:val="0000FF"/>
                      <w:highlight w:val="none"/>
                      <w:u w:val="none"/>
                      <w:lang w:val="en-US" w:eastAsia="zh-CN"/>
                    </w:rPr>
                  </w:pPr>
                  <w:r>
                    <w:rPr>
                      <w:rFonts w:hint="eastAsia" w:cs="Times New Roman"/>
                      <w:color w:val="0000FF"/>
                      <w:highlight w:val="none"/>
                      <w:u w:val="none"/>
                      <w:lang w:val="en-US" w:eastAsia="zh-CN"/>
                    </w:rPr>
                    <w:t>9.4</w:t>
                  </w:r>
                </w:p>
              </w:tc>
              <w:tc>
                <w:tcPr>
                  <w:tcW w:w="822" w:type="dxa"/>
                  <w:tcBorders>
                    <w:tl2br w:val="nil"/>
                    <w:tr2bl w:val="nil"/>
                  </w:tcBorders>
                  <w:vAlign w:val="center"/>
                </w:tcPr>
                <w:p w14:paraId="729D2EDB">
                  <w:pPr>
                    <w:pStyle w:val="33"/>
                    <w:bidi w:val="0"/>
                    <w:jc w:val="center"/>
                    <w:rPr>
                      <w:rFonts w:hint="default" w:ascii="Times New Roman" w:hAnsi="Times New Roman" w:eastAsia="宋体" w:cs="Times New Roman"/>
                      <w:color w:val="0000FF"/>
                      <w:highlight w:val="none"/>
                      <w:u w:val="none"/>
                      <w:lang w:val="en-US" w:eastAsia="zh-CN"/>
                    </w:rPr>
                  </w:pPr>
                  <w:r>
                    <w:rPr>
                      <w:rFonts w:hint="eastAsia" w:cs="Times New Roman"/>
                      <w:color w:val="0000FF"/>
                      <w:highlight w:val="none"/>
                      <w:u w:val="none"/>
                      <w:lang w:val="en-US" w:eastAsia="zh-CN"/>
                    </w:rPr>
                    <w:t>7.7</w:t>
                  </w:r>
                </w:p>
              </w:tc>
              <w:tc>
                <w:tcPr>
                  <w:tcW w:w="796" w:type="dxa"/>
                  <w:tcBorders>
                    <w:tl2br w:val="nil"/>
                    <w:tr2bl w:val="nil"/>
                  </w:tcBorders>
                  <w:vAlign w:val="center"/>
                </w:tcPr>
                <w:p w14:paraId="08DAC606">
                  <w:pPr>
                    <w:pStyle w:val="33"/>
                    <w:bidi w:val="0"/>
                    <w:ind w:firstLine="0" w:firstLineChars="0"/>
                    <w:jc w:val="center"/>
                    <w:rPr>
                      <w:rFonts w:hint="default" w:ascii="Times New Roman" w:hAnsi="Times New Roman" w:eastAsia="宋体" w:cs="Times New Roman"/>
                      <w:color w:val="0000FF"/>
                      <w:kern w:val="2"/>
                      <w:sz w:val="21"/>
                      <w:szCs w:val="36"/>
                      <w:highlight w:val="none"/>
                      <w:u w:val="none"/>
                      <w:vertAlign w:val="baseline"/>
                      <w:lang w:val="en-US" w:eastAsia="zh-CN" w:bidi="ar-SA"/>
                    </w:rPr>
                  </w:pPr>
                  <w:r>
                    <w:rPr>
                      <w:rFonts w:hint="eastAsia" w:cs="Times New Roman"/>
                      <w:color w:val="0000FF"/>
                      <w:kern w:val="2"/>
                      <w:sz w:val="21"/>
                      <w:szCs w:val="36"/>
                      <w:highlight w:val="none"/>
                      <w:u w:val="none"/>
                      <w:vertAlign w:val="baseline"/>
                      <w:lang w:val="en-US" w:eastAsia="zh-CN" w:bidi="ar-SA"/>
                    </w:rPr>
                    <w:t>18</w:t>
                  </w:r>
                </w:p>
              </w:tc>
              <w:tc>
                <w:tcPr>
                  <w:tcW w:w="1040" w:type="dxa"/>
                  <w:tcBorders>
                    <w:tl2br w:val="nil"/>
                    <w:tr2bl w:val="nil"/>
                  </w:tcBorders>
                  <w:vAlign w:val="center"/>
                </w:tcPr>
                <w:p w14:paraId="4DFF5A23">
                  <w:pPr>
                    <w:pStyle w:val="33"/>
                    <w:bidi w:val="0"/>
                    <w:ind w:firstLine="0" w:firstLineChars="0"/>
                    <w:jc w:val="center"/>
                    <w:rPr>
                      <w:rFonts w:hint="default" w:ascii="Times New Roman" w:hAnsi="Times New Roman" w:eastAsia="宋体" w:cs="Times New Roman"/>
                      <w:color w:val="0000FF"/>
                      <w:kern w:val="2"/>
                      <w:sz w:val="21"/>
                      <w:szCs w:val="36"/>
                      <w:highlight w:val="none"/>
                      <w:u w:val="none"/>
                      <w:vertAlign w:val="baseline"/>
                      <w:lang w:val="en-US" w:eastAsia="zh-CN" w:bidi="ar-SA"/>
                    </w:rPr>
                  </w:pPr>
                  <w:r>
                    <w:rPr>
                      <w:rFonts w:hint="eastAsia" w:cs="Times New Roman"/>
                      <w:color w:val="0000FF"/>
                      <w:kern w:val="2"/>
                      <w:sz w:val="21"/>
                      <w:szCs w:val="36"/>
                      <w:highlight w:val="none"/>
                      <w:u w:val="none"/>
                      <w:vertAlign w:val="baseline"/>
                      <w:lang w:val="en-US" w:eastAsia="zh-CN" w:bidi="ar-SA"/>
                    </w:rPr>
                    <w:t>6</w:t>
                  </w:r>
                </w:p>
              </w:tc>
              <w:tc>
                <w:tcPr>
                  <w:tcW w:w="865" w:type="dxa"/>
                  <w:tcBorders>
                    <w:tl2br w:val="nil"/>
                    <w:tr2bl w:val="nil"/>
                  </w:tcBorders>
                  <w:vAlign w:val="center"/>
                </w:tcPr>
                <w:p w14:paraId="50AB50B0">
                  <w:pPr>
                    <w:pStyle w:val="33"/>
                    <w:bidi w:val="0"/>
                    <w:ind w:firstLine="0" w:firstLineChars="0"/>
                    <w:jc w:val="center"/>
                    <w:rPr>
                      <w:rFonts w:hint="default" w:ascii="Times New Roman" w:hAnsi="Times New Roman" w:eastAsia="宋体" w:cs="Times New Roman"/>
                      <w:color w:val="0000FF"/>
                      <w:kern w:val="2"/>
                      <w:sz w:val="21"/>
                      <w:szCs w:val="36"/>
                      <w:highlight w:val="none"/>
                      <w:u w:val="none"/>
                      <w:vertAlign w:val="baseline"/>
                      <w:lang w:val="en-US" w:eastAsia="zh-CN" w:bidi="ar-SA"/>
                    </w:rPr>
                  </w:pPr>
                  <w:r>
                    <w:rPr>
                      <w:rFonts w:hint="eastAsia" w:cs="Times New Roman"/>
                      <w:color w:val="0000FF"/>
                      <w:highlight w:val="none"/>
                      <w:u w:val="none"/>
                      <w:vertAlign w:val="baseline"/>
                      <w:lang w:val="en-US" w:eastAsia="zh-CN"/>
                    </w:rPr>
                    <w:t>2</w:t>
                  </w:r>
                  <w:r>
                    <w:rPr>
                      <w:rFonts w:hint="default" w:ascii="Times New Roman" w:hAnsi="Times New Roman" w:cs="Times New Roman"/>
                      <w:color w:val="0000FF"/>
                      <w:highlight w:val="none"/>
                      <w:u w:val="none"/>
                      <w:vertAlign w:val="baseline"/>
                      <w:lang w:val="en-US" w:eastAsia="zh-CN"/>
                    </w:rPr>
                    <w:t>.50</w:t>
                  </w:r>
                </w:p>
              </w:tc>
            </w:tr>
            <w:tr w14:paraId="1E050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tcBorders>
                    <w:tl2br w:val="nil"/>
                    <w:tr2bl w:val="nil"/>
                  </w:tcBorders>
                  <w:vAlign w:val="center"/>
                </w:tcPr>
                <w:p w14:paraId="68A0C0B6">
                  <w:pPr>
                    <w:pStyle w:val="33"/>
                    <w:bidi w:val="0"/>
                    <w:jc w:val="center"/>
                    <w:rPr>
                      <w:rFonts w:hint="default" w:ascii="Times New Roman" w:hAnsi="Times New Roman" w:eastAsia="宋体" w:cs="Times New Roman"/>
                      <w:color w:val="0000FF"/>
                      <w:highlight w:val="none"/>
                      <w:u w:val="none"/>
                      <w:vertAlign w:val="baseline"/>
                      <w:lang w:val="en-US" w:eastAsia="zh-CN"/>
                    </w:rPr>
                  </w:pPr>
                </w:p>
              </w:tc>
              <w:tc>
                <w:tcPr>
                  <w:tcW w:w="1733" w:type="dxa"/>
                  <w:tcBorders>
                    <w:tl2br w:val="nil"/>
                    <w:tr2bl w:val="nil"/>
                  </w:tcBorders>
                  <w:vAlign w:val="center"/>
                </w:tcPr>
                <w:p w14:paraId="712AB85A">
                  <w:pPr>
                    <w:pStyle w:val="33"/>
                    <w:bidi w:val="0"/>
                    <w:jc w:val="center"/>
                    <w:rPr>
                      <w:rFonts w:hint="default" w:ascii="Times New Roman" w:hAnsi="Times New Roman" w:eastAsia="宋体" w:cs="Times New Roman"/>
                      <w:color w:val="0000FF"/>
                      <w:highlight w:val="none"/>
                      <w:u w:val="none"/>
                      <w:vertAlign w:val="baseline"/>
                      <w:lang w:val="en-US" w:eastAsia="zh-CN"/>
                    </w:rPr>
                  </w:pPr>
                  <w:r>
                    <w:rPr>
                      <w:rFonts w:hint="default" w:ascii="Times New Roman" w:hAnsi="Times New Roman" w:eastAsia="宋体" w:cs="Times New Roman"/>
                      <w:color w:val="0000FF"/>
                      <w:highlight w:val="none"/>
                      <w:u w:val="none"/>
                      <w:vertAlign w:val="baseline"/>
                      <w:lang w:val="en-US" w:eastAsia="zh-CN"/>
                    </w:rPr>
                    <w:t>排放量（t/a）</w:t>
                  </w:r>
                </w:p>
              </w:tc>
              <w:tc>
                <w:tcPr>
                  <w:tcW w:w="883" w:type="dxa"/>
                  <w:tcBorders>
                    <w:tl2br w:val="nil"/>
                    <w:tr2bl w:val="nil"/>
                  </w:tcBorders>
                  <w:vAlign w:val="center"/>
                </w:tcPr>
                <w:p w14:paraId="3A3E3421">
                  <w:pPr>
                    <w:pStyle w:val="33"/>
                    <w:bidi w:val="0"/>
                    <w:rPr>
                      <w:rFonts w:hint="default" w:ascii="Times New Roman" w:hAnsi="Times New Roman" w:eastAsia="宋体" w:cs="Times New Roman"/>
                      <w:color w:val="0000FF"/>
                      <w:highlight w:val="none"/>
                      <w:u w:val="none"/>
                      <w:lang w:val="en-US" w:eastAsia="zh-CN"/>
                    </w:rPr>
                  </w:pPr>
                  <w:r>
                    <w:rPr>
                      <w:rFonts w:hint="default" w:ascii="Times New Roman" w:hAnsi="Times New Roman" w:eastAsia="宋体" w:cs="Times New Roman"/>
                      <w:color w:val="0000FF"/>
                      <w:highlight w:val="none"/>
                      <w:u w:val="none"/>
                      <w:lang w:val="en-US" w:eastAsia="zh-CN"/>
                    </w:rPr>
                    <w:t>0.0</w:t>
                  </w:r>
                  <w:r>
                    <w:rPr>
                      <w:rFonts w:hint="eastAsia" w:cs="Times New Roman"/>
                      <w:color w:val="0000FF"/>
                      <w:highlight w:val="none"/>
                      <w:u w:val="none"/>
                      <w:lang w:val="en-US" w:eastAsia="zh-CN"/>
                    </w:rPr>
                    <w:t>041</w:t>
                  </w:r>
                </w:p>
              </w:tc>
              <w:tc>
                <w:tcPr>
                  <w:tcW w:w="796" w:type="dxa"/>
                  <w:tcBorders>
                    <w:tl2br w:val="nil"/>
                    <w:tr2bl w:val="nil"/>
                  </w:tcBorders>
                  <w:vAlign w:val="center"/>
                </w:tcPr>
                <w:p w14:paraId="6CBE7252">
                  <w:pPr>
                    <w:pStyle w:val="33"/>
                    <w:bidi w:val="0"/>
                    <w:rPr>
                      <w:rFonts w:hint="default" w:ascii="Times New Roman" w:hAnsi="Times New Roman" w:eastAsia="宋体" w:cs="Times New Roman"/>
                      <w:color w:val="0000FF"/>
                      <w:highlight w:val="none"/>
                      <w:u w:val="none"/>
                      <w:lang w:val="en-US" w:eastAsia="zh-CN"/>
                    </w:rPr>
                  </w:pPr>
                  <w:r>
                    <w:rPr>
                      <w:rFonts w:hint="default" w:ascii="Times New Roman" w:hAnsi="Times New Roman" w:eastAsia="宋体" w:cs="Times New Roman"/>
                      <w:color w:val="0000FF"/>
                      <w:highlight w:val="none"/>
                      <w:u w:val="none"/>
                      <w:lang w:val="en-US" w:eastAsia="zh-CN"/>
                    </w:rPr>
                    <w:t>0.00</w:t>
                  </w:r>
                  <w:r>
                    <w:rPr>
                      <w:rFonts w:hint="eastAsia" w:cs="Times New Roman"/>
                      <w:color w:val="0000FF"/>
                      <w:highlight w:val="none"/>
                      <w:u w:val="none"/>
                      <w:lang w:val="en-US" w:eastAsia="zh-CN"/>
                    </w:rPr>
                    <w:t>11</w:t>
                  </w:r>
                </w:p>
              </w:tc>
              <w:tc>
                <w:tcPr>
                  <w:tcW w:w="822" w:type="dxa"/>
                  <w:tcBorders>
                    <w:tl2br w:val="nil"/>
                    <w:tr2bl w:val="nil"/>
                  </w:tcBorders>
                  <w:vAlign w:val="center"/>
                </w:tcPr>
                <w:p w14:paraId="2D65C8F8">
                  <w:pPr>
                    <w:pStyle w:val="33"/>
                    <w:bidi w:val="0"/>
                    <w:rPr>
                      <w:rFonts w:hint="default" w:ascii="Times New Roman" w:hAnsi="Times New Roman" w:eastAsia="宋体" w:cs="Times New Roman"/>
                      <w:color w:val="0000FF"/>
                      <w:highlight w:val="none"/>
                      <w:u w:val="none"/>
                      <w:lang w:val="en-US" w:eastAsia="zh-CN"/>
                    </w:rPr>
                  </w:pPr>
                  <w:r>
                    <w:rPr>
                      <w:rFonts w:hint="default" w:ascii="Times New Roman" w:hAnsi="Times New Roman" w:eastAsia="宋体" w:cs="Times New Roman"/>
                      <w:color w:val="0000FF"/>
                      <w:highlight w:val="none"/>
                      <w:u w:val="none"/>
                      <w:lang w:val="en-US" w:eastAsia="zh-CN"/>
                    </w:rPr>
                    <w:t>0.00</w:t>
                  </w:r>
                  <w:r>
                    <w:rPr>
                      <w:rFonts w:hint="eastAsia" w:cs="Times New Roman"/>
                      <w:color w:val="0000FF"/>
                      <w:highlight w:val="none"/>
                      <w:u w:val="none"/>
                      <w:lang w:val="en-US" w:eastAsia="zh-CN"/>
                    </w:rPr>
                    <w:t>09</w:t>
                  </w:r>
                </w:p>
              </w:tc>
              <w:tc>
                <w:tcPr>
                  <w:tcW w:w="796" w:type="dxa"/>
                  <w:tcBorders>
                    <w:tl2br w:val="nil"/>
                    <w:tr2bl w:val="nil"/>
                  </w:tcBorders>
                  <w:vAlign w:val="center"/>
                </w:tcPr>
                <w:p w14:paraId="67684546">
                  <w:pPr>
                    <w:pStyle w:val="33"/>
                    <w:bidi w:val="0"/>
                    <w:rPr>
                      <w:rFonts w:hint="default" w:ascii="Times New Roman" w:hAnsi="Times New Roman" w:eastAsia="宋体" w:cs="Times New Roman"/>
                      <w:color w:val="0000FF"/>
                      <w:highlight w:val="none"/>
                      <w:u w:val="none"/>
                      <w:lang w:val="en-US" w:eastAsia="zh-CN"/>
                    </w:rPr>
                  </w:pPr>
                  <w:r>
                    <w:rPr>
                      <w:rFonts w:hint="default" w:ascii="Times New Roman" w:hAnsi="Times New Roman" w:eastAsia="宋体" w:cs="Times New Roman"/>
                      <w:color w:val="0000FF"/>
                      <w:highlight w:val="none"/>
                      <w:u w:val="none"/>
                      <w:lang w:val="en-US" w:eastAsia="zh-CN"/>
                    </w:rPr>
                    <w:t>0.0</w:t>
                  </w:r>
                  <w:r>
                    <w:rPr>
                      <w:rFonts w:hint="eastAsia" w:cs="Times New Roman"/>
                      <w:color w:val="0000FF"/>
                      <w:highlight w:val="none"/>
                      <w:u w:val="none"/>
                      <w:lang w:val="en-US" w:eastAsia="zh-CN"/>
                    </w:rPr>
                    <w:t>022</w:t>
                  </w:r>
                </w:p>
              </w:tc>
              <w:tc>
                <w:tcPr>
                  <w:tcW w:w="1040" w:type="dxa"/>
                  <w:tcBorders>
                    <w:tl2br w:val="nil"/>
                    <w:tr2bl w:val="nil"/>
                  </w:tcBorders>
                  <w:vAlign w:val="center"/>
                </w:tcPr>
                <w:p w14:paraId="33B7CA08">
                  <w:pPr>
                    <w:pStyle w:val="33"/>
                    <w:bidi w:val="0"/>
                    <w:jc w:val="center"/>
                    <w:rPr>
                      <w:rFonts w:hint="default" w:ascii="Times New Roman" w:hAnsi="Times New Roman" w:eastAsia="宋体" w:cs="Times New Roman"/>
                      <w:color w:val="0000FF"/>
                      <w:highlight w:val="none"/>
                      <w:u w:val="none"/>
                      <w:vertAlign w:val="baseline"/>
                      <w:lang w:val="en-US" w:eastAsia="zh-CN"/>
                    </w:rPr>
                  </w:pPr>
                  <w:r>
                    <w:rPr>
                      <w:rFonts w:hint="default" w:ascii="Times New Roman" w:hAnsi="Times New Roman" w:eastAsia="宋体" w:cs="Times New Roman"/>
                      <w:color w:val="0000FF"/>
                      <w:highlight w:val="none"/>
                      <w:u w:val="none"/>
                      <w:vertAlign w:val="baseline"/>
                      <w:lang w:val="en-US" w:eastAsia="zh-CN"/>
                    </w:rPr>
                    <w:t>0.00</w:t>
                  </w:r>
                  <w:r>
                    <w:rPr>
                      <w:rFonts w:hint="eastAsia" w:cs="Times New Roman"/>
                      <w:color w:val="0000FF"/>
                      <w:highlight w:val="none"/>
                      <w:u w:val="none"/>
                      <w:vertAlign w:val="baseline"/>
                      <w:lang w:val="en-US" w:eastAsia="zh-CN"/>
                    </w:rPr>
                    <w:t>07</w:t>
                  </w:r>
                </w:p>
              </w:tc>
              <w:tc>
                <w:tcPr>
                  <w:tcW w:w="865" w:type="dxa"/>
                  <w:tcBorders>
                    <w:tl2br w:val="nil"/>
                    <w:tr2bl w:val="nil"/>
                  </w:tcBorders>
                  <w:vAlign w:val="center"/>
                </w:tcPr>
                <w:p w14:paraId="5F148C8A">
                  <w:pPr>
                    <w:pStyle w:val="33"/>
                    <w:bidi w:val="0"/>
                    <w:ind w:firstLine="0" w:firstLineChars="0"/>
                    <w:jc w:val="center"/>
                    <w:rPr>
                      <w:rFonts w:hint="default" w:ascii="Times New Roman" w:hAnsi="Times New Roman" w:eastAsia="宋体" w:cs="Times New Roman"/>
                      <w:color w:val="0000FF"/>
                      <w:kern w:val="2"/>
                      <w:sz w:val="21"/>
                      <w:szCs w:val="36"/>
                      <w:highlight w:val="none"/>
                      <w:u w:val="none"/>
                      <w:vertAlign w:val="baseline"/>
                      <w:lang w:val="en-US" w:eastAsia="zh-CN" w:bidi="ar-SA"/>
                    </w:rPr>
                  </w:pPr>
                  <w:r>
                    <w:rPr>
                      <w:rFonts w:hint="default" w:ascii="Times New Roman" w:hAnsi="Times New Roman" w:cs="Times New Roman"/>
                      <w:color w:val="0000FF"/>
                      <w:highlight w:val="none"/>
                      <w:u w:val="none"/>
                      <w:vertAlign w:val="baseline"/>
                      <w:lang w:val="en-US" w:eastAsia="zh-CN"/>
                    </w:rPr>
                    <w:t>0.00</w:t>
                  </w:r>
                  <w:r>
                    <w:rPr>
                      <w:rFonts w:hint="eastAsia" w:cs="Times New Roman"/>
                      <w:color w:val="0000FF"/>
                      <w:highlight w:val="none"/>
                      <w:u w:val="none"/>
                      <w:vertAlign w:val="baseline"/>
                      <w:lang w:val="en-US" w:eastAsia="zh-CN"/>
                    </w:rPr>
                    <w:t>03</w:t>
                  </w:r>
                </w:p>
              </w:tc>
            </w:tr>
          </w:tbl>
          <w:p w14:paraId="31A856F7">
            <w:pPr>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b/>
                <w:bCs/>
                <w:color w:val="auto"/>
                <w:sz w:val="24"/>
                <w:u w:val="none"/>
                <w:lang w:val="en-US" w:eastAsia="zh-CN"/>
              </w:rPr>
              <w:t>②车辆冲洗废水</w:t>
            </w:r>
          </w:p>
          <w:p w14:paraId="7FEE32F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color w:val="auto"/>
                <w:sz w:val="24"/>
                <w:szCs w:val="24"/>
                <w:highlight w:val="none"/>
                <w:u w:val="none"/>
                <w:lang w:val="en-US" w:eastAsia="zh-CN"/>
              </w:rPr>
            </w:pPr>
            <w:r>
              <w:rPr>
                <w:rFonts w:hint="default" w:ascii="Times New Roman" w:hAnsi="Times New Roman" w:cs="Times New Roman"/>
                <w:b w:val="0"/>
                <w:bCs w:val="0"/>
                <w:color w:val="auto"/>
                <w:sz w:val="24"/>
                <w:u w:val="none"/>
                <w:lang w:val="en-US" w:eastAsia="zh-CN"/>
              </w:rPr>
              <w:t>本项目车辆冲洗废水产生量为0.</w:t>
            </w:r>
            <w:r>
              <w:rPr>
                <w:rFonts w:hint="eastAsia" w:cs="Times New Roman"/>
                <w:b w:val="0"/>
                <w:bCs w:val="0"/>
                <w:color w:val="auto"/>
                <w:sz w:val="24"/>
                <w:u w:val="none"/>
                <w:lang w:val="en-US" w:eastAsia="zh-CN"/>
              </w:rPr>
              <w:t>356</w:t>
            </w:r>
            <w:r>
              <w:rPr>
                <w:rFonts w:hint="default" w:ascii="Times New Roman" w:hAnsi="Times New Roman" w:eastAsia="宋体" w:cs="Times New Roman"/>
                <w:b w:val="0"/>
                <w:bCs w:val="0"/>
                <w:color w:val="auto"/>
                <w:sz w:val="24"/>
                <w:u w:val="none"/>
                <w:lang w:val="en-US" w:eastAsia="zh-CN"/>
              </w:rPr>
              <w:t>m</w:t>
            </w:r>
            <w:r>
              <w:rPr>
                <w:rFonts w:hint="default" w:ascii="Times New Roman" w:hAnsi="Times New Roman" w:eastAsia="宋体" w:cs="Times New Roman"/>
                <w:b w:val="0"/>
                <w:bCs w:val="0"/>
                <w:color w:val="auto"/>
                <w:sz w:val="24"/>
                <w:u w:val="none"/>
                <w:vertAlign w:val="superscript"/>
                <w:lang w:val="en-US" w:eastAsia="zh-CN"/>
              </w:rPr>
              <w:t>3</w:t>
            </w:r>
            <w:r>
              <w:rPr>
                <w:rFonts w:hint="default" w:ascii="Times New Roman" w:hAnsi="Times New Roman" w:eastAsia="宋体" w:cs="Times New Roman"/>
                <w:b w:val="0"/>
                <w:bCs w:val="0"/>
                <w:color w:val="auto"/>
                <w:sz w:val="24"/>
                <w:u w:val="none"/>
                <w:lang w:val="en-US" w:eastAsia="zh-CN"/>
              </w:rPr>
              <w:t>/d（</w:t>
            </w:r>
            <w:r>
              <w:rPr>
                <w:rFonts w:hint="eastAsia" w:cs="Times New Roman"/>
                <w:b w:val="0"/>
                <w:bCs w:val="0"/>
                <w:color w:val="auto"/>
                <w:sz w:val="24"/>
                <w:u w:val="none"/>
                <w:lang w:val="en-US" w:eastAsia="zh-CN"/>
              </w:rPr>
              <w:t>106.8</w:t>
            </w:r>
            <w:r>
              <w:rPr>
                <w:rFonts w:hint="default" w:ascii="Times New Roman" w:hAnsi="Times New Roman" w:eastAsia="宋体" w:cs="Times New Roman"/>
                <w:b w:val="0"/>
                <w:bCs w:val="0"/>
                <w:color w:val="auto"/>
                <w:sz w:val="24"/>
                <w:u w:val="none"/>
                <w:lang w:val="en-US" w:eastAsia="zh-CN"/>
              </w:rPr>
              <w:t>m</w:t>
            </w:r>
            <w:r>
              <w:rPr>
                <w:rFonts w:hint="default" w:ascii="Times New Roman" w:hAnsi="Times New Roman" w:eastAsia="宋体" w:cs="Times New Roman"/>
                <w:b w:val="0"/>
                <w:bCs w:val="0"/>
                <w:color w:val="auto"/>
                <w:sz w:val="24"/>
                <w:u w:val="none"/>
                <w:vertAlign w:val="superscript"/>
                <w:lang w:val="en-US" w:eastAsia="zh-CN"/>
              </w:rPr>
              <w:t>3</w:t>
            </w:r>
            <w:r>
              <w:rPr>
                <w:rFonts w:hint="default" w:ascii="Times New Roman" w:hAnsi="Times New Roman" w:eastAsia="宋体" w:cs="Times New Roman"/>
                <w:b w:val="0"/>
                <w:bCs w:val="0"/>
                <w:color w:val="auto"/>
                <w:sz w:val="24"/>
                <w:u w:val="none"/>
                <w:lang w:val="en-US" w:eastAsia="zh-CN"/>
              </w:rPr>
              <w:t>/a）</w:t>
            </w:r>
            <w:r>
              <w:rPr>
                <w:rFonts w:hint="default" w:ascii="Times New Roman" w:hAnsi="Times New Roman" w:cs="Times New Roman"/>
                <w:b w:val="0"/>
                <w:bCs w:val="0"/>
                <w:color w:val="auto"/>
                <w:sz w:val="24"/>
                <w:u w:val="none"/>
                <w:lang w:val="en-US" w:eastAsia="zh-CN"/>
              </w:rPr>
              <w:t>，</w:t>
            </w:r>
            <w:r>
              <w:rPr>
                <w:rFonts w:hint="default" w:ascii="Times New Roman" w:hAnsi="Times New Roman" w:eastAsia="宋体" w:cs="Times New Roman"/>
                <w:b w:val="0"/>
                <w:bCs w:val="0"/>
                <w:color w:val="auto"/>
                <w:sz w:val="24"/>
                <w:szCs w:val="24"/>
                <w:highlight w:val="none"/>
                <w:u w:val="none"/>
                <w:lang w:val="en-US" w:eastAsia="zh-CN"/>
              </w:rPr>
              <w:t>车辆冲洗废水进入沉淀池处理</w:t>
            </w:r>
            <w:r>
              <w:rPr>
                <w:rFonts w:hint="default" w:ascii="Times New Roman" w:hAnsi="Times New Roman" w:cs="Times New Roman"/>
                <w:b w:val="0"/>
                <w:bCs w:val="0"/>
                <w:color w:val="auto"/>
                <w:sz w:val="24"/>
                <w:szCs w:val="24"/>
                <w:highlight w:val="none"/>
                <w:u w:val="none"/>
                <w:lang w:val="en-US" w:eastAsia="zh-CN"/>
              </w:rPr>
              <w:t>后循环使用，不外排。</w:t>
            </w:r>
          </w:p>
          <w:p w14:paraId="5179EAB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4"/>
                <w:szCs w:val="24"/>
                <w:highlight w:val="none"/>
                <w:u w:val="none"/>
                <w:lang w:val="en-US" w:eastAsia="zh-CN"/>
              </w:rPr>
            </w:pPr>
            <w:r>
              <w:rPr>
                <w:rFonts w:hint="default" w:ascii="Times New Roman" w:hAnsi="Times New Roman" w:cs="Times New Roman"/>
                <w:b/>
                <w:bCs/>
                <w:color w:val="auto"/>
                <w:sz w:val="24"/>
                <w:szCs w:val="24"/>
                <w:highlight w:val="none"/>
                <w:u w:val="none"/>
                <w:lang w:val="en-US" w:eastAsia="zh-CN"/>
              </w:rPr>
              <w:t>③初期雨水</w:t>
            </w:r>
          </w:p>
          <w:p w14:paraId="17DC23D1">
            <w:pPr>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cs="Times New Roman"/>
                <w:b w:val="0"/>
                <w:bCs w:val="0"/>
                <w:color w:val="0000FF"/>
                <w:sz w:val="24"/>
                <w:szCs w:val="24"/>
                <w:highlight w:val="none"/>
                <w:u w:val="none"/>
                <w:lang w:val="en-US" w:eastAsia="zh-CN"/>
              </w:rPr>
            </w:pPr>
            <w:r>
              <w:rPr>
                <w:rFonts w:hint="default" w:ascii="Times New Roman" w:hAnsi="Times New Roman" w:cs="Times New Roman"/>
                <w:color w:val="0000FF"/>
                <w:sz w:val="24"/>
                <w:highlight w:val="none"/>
                <w:u w:val="none"/>
                <w:lang w:val="en-US" w:eastAsia="zh-CN"/>
              </w:rPr>
              <w:t>本项目</w:t>
            </w:r>
            <w:r>
              <w:rPr>
                <w:rFonts w:hint="default" w:ascii="Times New Roman" w:hAnsi="Times New Roman" w:eastAsia="宋体" w:cs="Times New Roman"/>
                <w:color w:val="0000FF"/>
                <w:sz w:val="24"/>
                <w:highlight w:val="none"/>
                <w:u w:val="none"/>
                <w:lang w:val="en-US" w:eastAsia="zh-CN"/>
              </w:rPr>
              <w:t>初期雨水产生量为</w:t>
            </w:r>
            <w:r>
              <w:rPr>
                <w:rFonts w:hint="eastAsia" w:cs="Times New Roman"/>
                <w:color w:val="0000FF"/>
                <w:sz w:val="24"/>
                <w:highlight w:val="none"/>
                <w:u w:val="none"/>
                <w:lang w:val="en-US" w:eastAsia="zh-CN"/>
              </w:rPr>
              <w:t>743.162</w:t>
            </w:r>
            <w:r>
              <w:rPr>
                <w:rFonts w:hint="default" w:ascii="Times New Roman" w:hAnsi="Times New Roman" w:eastAsia="宋体" w:cs="Times New Roman"/>
                <w:b w:val="0"/>
                <w:bCs w:val="0"/>
                <w:color w:val="0000FF"/>
                <w:sz w:val="24"/>
                <w:highlight w:val="none"/>
                <w:u w:val="none"/>
                <w:lang w:val="en-US" w:eastAsia="zh-CN"/>
              </w:rPr>
              <w:t>m</w:t>
            </w:r>
            <w:r>
              <w:rPr>
                <w:rFonts w:hint="default" w:ascii="Times New Roman" w:hAnsi="Times New Roman" w:eastAsia="宋体" w:cs="Times New Roman"/>
                <w:b w:val="0"/>
                <w:bCs w:val="0"/>
                <w:color w:val="0000FF"/>
                <w:sz w:val="24"/>
                <w:highlight w:val="none"/>
                <w:u w:val="none"/>
                <w:vertAlign w:val="superscript"/>
                <w:lang w:val="en-US" w:eastAsia="zh-CN"/>
              </w:rPr>
              <w:t>3</w:t>
            </w:r>
            <w:r>
              <w:rPr>
                <w:rFonts w:hint="default" w:ascii="Times New Roman" w:hAnsi="Times New Roman" w:eastAsia="宋体" w:cs="Times New Roman"/>
                <w:b w:val="0"/>
                <w:bCs w:val="0"/>
                <w:color w:val="0000FF"/>
                <w:sz w:val="24"/>
                <w:highlight w:val="none"/>
                <w:u w:val="none"/>
                <w:lang w:val="en-US" w:eastAsia="zh-CN"/>
              </w:rPr>
              <w:t>/d</w:t>
            </w:r>
            <w:r>
              <w:rPr>
                <w:rFonts w:hint="eastAsia" w:cs="Times New Roman"/>
                <w:b w:val="0"/>
                <w:bCs w:val="0"/>
                <w:color w:val="0000FF"/>
                <w:sz w:val="24"/>
                <w:highlight w:val="none"/>
                <w:u w:val="none"/>
                <w:lang w:val="en-US" w:eastAsia="zh-CN"/>
              </w:rPr>
              <w:t>（111474.3</w:t>
            </w:r>
            <w:r>
              <w:rPr>
                <w:rFonts w:hint="default" w:ascii="Times New Roman" w:hAnsi="Times New Roman" w:eastAsia="宋体" w:cs="Times New Roman"/>
                <w:b w:val="0"/>
                <w:bCs w:val="0"/>
                <w:color w:val="0000FF"/>
                <w:sz w:val="24"/>
                <w:highlight w:val="none"/>
                <w:u w:val="none"/>
                <w:lang w:val="en-US" w:eastAsia="zh-CN"/>
              </w:rPr>
              <w:t>m</w:t>
            </w:r>
            <w:r>
              <w:rPr>
                <w:rFonts w:hint="default" w:ascii="Times New Roman" w:hAnsi="Times New Roman" w:eastAsia="宋体" w:cs="Times New Roman"/>
                <w:b w:val="0"/>
                <w:bCs w:val="0"/>
                <w:color w:val="0000FF"/>
                <w:sz w:val="24"/>
                <w:highlight w:val="none"/>
                <w:u w:val="none"/>
                <w:vertAlign w:val="superscript"/>
                <w:lang w:val="en-US" w:eastAsia="zh-CN"/>
              </w:rPr>
              <w:t>3</w:t>
            </w:r>
            <w:r>
              <w:rPr>
                <w:rFonts w:hint="default" w:ascii="Times New Roman" w:hAnsi="Times New Roman" w:eastAsia="宋体" w:cs="Times New Roman"/>
                <w:b w:val="0"/>
                <w:bCs w:val="0"/>
                <w:color w:val="0000FF"/>
                <w:sz w:val="24"/>
                <w:highlight w:val="none"/>
                <w:u w:val="none"/>
                <w:lang w:val="en-US" w:eastAsia="zh-CN"/>
              </w:rPr>
              <w:t>/a）</w:t>
            </w:r>
            <w:r>
              <w:rPr>
                <w:rFonts w:hint="default" w:ascii="Times New Roman" w:hAnsi="Times New Roman" w:cs="Times New Roman"/>
                <w:b w:val="0"/>
                <w:bCs w:val="0"/>
                <w:color w:val="0000FF"/>
                <w:sz w:val="24"/>
                <w:highlight w:val="none"/>
                <w:u w:val="none"/>
                <w:lang w:val="en-US" w:eastAsia="zh-CN"/>
              </w:rPr>
              <w:t>，</w:t>
            </w:r>
            <w:r>
              <w:rPr>
                <w:rFonts w:hint="default" w:ascii="Times New Roman" w:hAnsi="Times New Roman" w:eastAsia="宋体" w:cs="Times New Roman"/>
                <w:b w:val="0"/>
                <w:bCs w:val="0"/>
                <w:color w:val="0000FF"/>
                <w:sz w:val="24"/>
                <w:szCs w:val="24"/>
                <w:highlight w:val="none"/>
                <w:u w:val="none"/>
                <w:lang w:val="en-US" w:eastAsia="zh-CN"/>
              </w:rPr>
              <w:t>进入</w:t>
            </w:r>
            <w:r>
              <w:rPr>
                <w:rFonts w:hint="eastAsia" w:cs="Times New Roman"/>
                <w:b w:val="0"/>
                <w:bCs w:val="0"/>
                <w:color w:val="0000FF"/>
                <w:sz w:val="24"/>
                <w:szCs w:val="24"/>
                <w:highlight w:val="none"/>
                <w:u w:val="none"/>
                <w:lang w:val="en-US" w:eastAsia="zh-CN"/>
              </w:rPr>
              <w:t>750</w:t>
            </w:r>
            <w:r>
              <w:rPr>
                <w:rFonts w:hint="default" w:ascii="Times New Roman" w:hAnsi="Times New Roman" w:cs="Times New Roman"/>
                <w:b w:val="0"/>
                <w:bCs w:val="0"/>
                <w:color w:val="0000FF"/>
                <w:sz w:val="24"/>
                <w:szCs w:val="24"/>
                <w:highlight w:val="none"/>
                <w:u w:val="none"/>
                <w:lang w:val="en-US" w:eastAsia="zh-CN"/>
              </w:rPr>
              <w:t>m</w:t>
            </w:r>
            <w:r>
              <w:rPr>
                <w:rFonts w:hint="eastAsia" w:cs="Times New Roman"/>
                <w:b w:val="0"/>
                <w:bCs w:val="0"/>
                <w:color w:val="0000FF"/>
                <w:sz w:val="24"/>
                <w:szCs w:val="24"/>
                <w:highlight w:val="none"/>
                <w:u w:val="none"/>
                <w:vertAlign w:val="superscript"/>
                <w:lang w:val="en-US" w:eastAsia="zh-CN"/>
              </w:rPr>
              <w:t>3</w:t>
            </w:r>
            <w:r>
              <w:rPr>
                <w:rFonts w:hint="default" w:ascii="Times New Roman" w:hAnsi="Times New Roman" w:cs="Times New Roman"/>
                <w:b w:val="0"/>
                <w:bCs w:val="0"/>
                <w:color w:val="0000FF"/>
                <w:sz w:val="24"/>
                <w:szCs w:val="24"/>
                <w:highlight w:val="none"/>
                <w:u w:val="none"/>
                <w:lang w:val="en-US" w:eastAsia="zh-CN"/>
              </w:rPr>
              <w:t>收集池收集</w:t>
            </w:r>
            <w:r>
              <w:rPr>
                <w:rFonts w:hint="default" w:ascii="Times New Roman" w:hAnsi="Times New Roman" w:cs="Times New Roman"/>
                <w:color w:val="0000FF"/>
                <w:highlight w:val="none"/>
                <w:u w:val="none"/>
                <w:lang w:val="en-US" w:eastAsia="zh-CN"/>
              </w:rPr>
              <w:t>沉淀池沉淀</w:t>
            </w:r>
            <w:r>
              <w:rPr>
                <w:rFonts w:hint="default" w:ascii="Times New Roman" w:hAnsi="Times New Roman" w:cs="Times New Roman"/>
                <w:b w:val="0"/>
                <w:bCs w:val="0"/>
                <w:color w:val="0000FF"/>
                <w:sz w:val="24"/>
                <w:szCs w:val="24"/>
                <w:highlight w:val="none"/>
                <w:u w:val="none"/>
                <w:lang w:val="en-US" w:eastAsia="zh-CN"/>
              </w:rPr>
              <w:t>后用于</w:t>
            </w:r>
            <w:r>
              <w:rPr>
                <w:rFonts w:hint="eastAsia" w:cs="Times New Roman"/>
                <w:b w:val="0"/>
                <w:bCs w:val="0"/>
                <w:color w:val="0000FF"/>
                <w:sz w:val="24"/>
                <w:szCs w:val="24"/>
                <w:highlight w:val="none"/>
                <w:u w:val="none"/>
                <w:lang w:val="en-US" w:eastAsia="zh-CN"/>
              </w:rPr>
              <w:t>场内道路和裸露地面</w:t>
            </w:r>
            <w:r>
              <w:rPr>
                <w:rFonts w:hint="default" w:ascii="Times New Roman" w:hAnsi="Times New Roman" w:cs="Times New Roman"/>
                <w:b w:val="0"/>
                <w:bCs w:val="0"/>
                <w:color w:val="0000FF"/>
                <w:sz w:val="24"/>
                <w:szCs w:val="24"/>
                <w:highlight w:val="none"/>
                <w:u w:val="none"/>
                <w:lang w:val="en-US" w:eastAsia="zh-CN"/>
              </w:rPr>
              <w:t>洒水降尘，不外排。</w:t>
            </w:r>
          </w:p>
          <w:p w14:paraId="4D6A8A97">
            <w:pPr>
              <w:keepNext w:val="0"/>
              <w:keepLines w:val="0"/>
              <w:pageBreakBefore w:val="0"/>
              <w:widowControl w:val="0"/>
              <w:numPr>
                <w:ilvl w:val="0"/>
                <w:numId w:val="0"/>
              </w:numPr>
              <w:kinsoku/>
              <w:wordWrap/>
              <w:overflowPunct/>
              <w:topLinePunct w:val="0"/>
              <w:autoSpaceDE/>
              <w:autoSpaceDN/>
              <w:bidi w:val="0"/>
              <w:ind w:firstLine="482" w:firstLineChars="200"/>
              <w:textAlignment w:val="auto"/>
              <w:rPr>
                <w:rFonts w:hint="default" w:ascii="Times New Roman" w:hAnsi="Times New Roman" w:cs="Times New Roman"/>
                <w:b/>
                <w:bCs/>
                <w:color w:val="auto"/>
                <w:sz w:val="24"/>
                <w:highlight w:val="none"/>
                <w:lang w:val="en-US" w:eastAsia="zh-CN"/>
              </w:rPr>
            </w:pPr>
            <w:r>
              <w:rPr>
                <w:rFonts w:hint="default" w:ascii="Times New Roman" w:hAnsi="Times New Roman" w:eastAsia="宋体" w:cs="Times New Roman"/>
                <w:b/>
                <w:bCs/>
                <w:color w:val="auto"/>
                <w:kern w:val="2"/>
                <w:sz w:val="24"/>
                <w:szCs w:val="24"/>
                <w:lang w:val="en-US" w:eastAsia="zh-CN" w:bidi="ar-SA"/>
              </w:rPr>
              <w:t>（2）</w:t>
            </w:r>
            <w:r>
              <w:rPr>
                <w:rFonts w:hint="default" w:ascii="Times New Roman" w:hAnsi="Times New Roman" w:cs="Times New Roman"/>
                <w:b/>
                <w:bCs/>
                <w:color w:val="auto"/>
                <w:sz w:val="24"/>
                <w:highlight w:val="none"/>
                <w:lang w:val="en-US" w:eastAsia="zh-CN"/>
              </w:rPr>
              <w:t>废水处理可行性分析</w:t>
            </w:r>
          </w:p>
          <w:p w14:paraId="2960AF0C">
            <w:pPr>
              <w:keepNext w:val="0"/>
              <w:keepLines w:val="0"/>
              <w:pageBreakBefore w:val="0"/>
              <w:widowControl w:val="0"/>
              <w:numPr>
                <w:ilvl w:val="0"/>
                <w:numId w:val="0"/>
              </w:numPr>
              <w:kinsoku/>
              <w:wordWrap/>
              <w:overflowPunct/>
              <w:topLinePunct w:val="0"/>
              <w:autoSpaceDE/>
              <w:autoSpaceDN/>
              <w:bidi w:val="0"/>
              <w:ind w:firstLine="482"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①</w:t>
            </w:r>
            <w:r>
              <w:rPr>
                <w:rFonts w:hint="eastAsia" w:cs="Times New Roman"/>
                <w:b/>
                <w:bCs/>
                <w:lang w:val="en-US" w:eastAsia="zh-CN"/>
              </w:rPr>
              <w:t>一体化污水处理设备可行性分析</w:t>
            </w:r>
          </w:p>
          <w:p w14:paraId="24372221">
            <w:pPr>
              <w:keepNext w:val="0"/>
              <w:keepLines w:val="0"/>
              <w:pageBreakBefore w:val="0"/>
              <w:widowControl w:val="0"/>
              <w:numPr>
                <w:ilvl w:val="0"/>
                <w:numId w:val="0"/>
              </w:numPr>
              <w:kinsoku/>
              <w:wordWrap/>
              <w:overflowPunct/>
              <w:topLinePunct w:val="0"/>
              <w:autoSpaceDE/>
              <w:autoSpaceDN/>
              <w:bidi w:val="0"/>
              <w:ind w:firstLine="480" w:firstLineChars="200"/>
              <w:textAlignment w:val="auto"/>
              <w:rPr>
                <w:rFonts w:hint="default" w:ascii="Times New Roman" w:hAnsi="Times New Roman" w:cs="Times New Roman"/>
                <w:color w:val="auto"/>
                <w:sz w:val="24"/>
              </w:rPr>
            </w:pPr>
            <w:r>
              <w:rPr>
                <w:rFonts w:hint="eastAsia" w:cs="Times New Roman"/>
                <w:color w:val="auto"/>
                <w:sz w:val="24"/>
                <w:lang w:val="en-US" w:eastAsia="zh-CN"/>
              </w:rPr>
              <w:t>项目拟建</w:t>
            </w:r>
            <w:r>
              <w:rPr>
                <w:rFonts w:hint="default" w:ascii="Times New Roman" w:hAnsi="Times New Roman" w:cs="Times New Roman"/>
                <w:color w:val="auto"/>
                <w:sz w:val="24"/>
              </w:rPr>
              <w:t>1座处理规模为5m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/d的一体化污水处理站用于处理项目区生活废水</w:t>
            </w:r>
            <w:r>
              <w:rPr>
                <w:rFonts w:hint="eastAsia" w:cs="Times New Roman"/>
                <w:color w:val="auto"/>
                <w:sz w:val="24"/>
                <w:lang w:eastAsia="zh-CN"/>
              </w:rPr>
              <w:t>，</w:t>
            </w:r>
            <w:r>
              <w:rPr>
                <w:rFonts w:hint="eastAsia" w:cs="Times New Roman"/>
                <w:color w:val="auto"/>
                <w:sz w:val="24"/>
                <w:lang w:val="en-US" w:eastAsia="zh-CN"/>
              </w:rPr>
              <w:t>使用</w:t>
            </w:r>
            <w:r>
              <w:rPr>
                <w:rFonts w:hint="default" w:ascii="Times New Roman" w:hAnsi="Times New Roman" w:cs="Times New Roman"/>
                <w:color w:val="auto"/>
                <w:sz w:val="24"/>
              </w:rPr>
              <w:t>“</w:t>
            </w:r>
            <w:r>
              <w:rPr>
                <w:rFonts w:hint="default" w:ascii="Times New Roman" w:hAnsi="Times New Roman" w:cs="Times New Roman"/>
                <w:bCs/>
                <w:color w:val="auto"/>
                <w:sz w:val="24"/>
              </w:rPr>
              <w:t>调节池＋SBR生物膜池</w:t>
            </w:r>
            <w:r>
              <w:rPr>
                <w:rFonts w:hint="default" w:ascii="Times New Roman" w:hAnsi="Times New Roman" w:cs="Times New Roman"/>
                <w:color w:val="auto"/>
                <w:sz w:val="24"/>
              </w:rPr>
              <w:t>”工艺</w:t>
            </w:r>
            <w:r>
              <w:rPr>
                <w:rFonts w:hint="eastAsia" w:cs="Times New Roman"/>
                <w:color w:val="auto"/>
                <w:sz w:val="24"/>
                <w:lang w:eastAsia="zh-CN"/>
              </w:rPr>
              <w:t>。</w:t>
            </w:r>
            <w:r>
              <w:rPr>
                <w:rFonts w:hint="default" w:ascii="Times New Roman" w:hAnsi="Times New Roman" w:cs="Times New Roman"/>
                <w:color w:val="auto"/>
                <w:sz w:val="24"/>
              </w:rPr>
              <w:t>该一体化污水处理设备运行操作简单，运行成本低，能高效去除污水中的有机污染物</w:t>
            </w:r>
            <w:r>
              <w:rPr>
                <w:rFonts w:hint="default" w:ascii="Times New Roman" w:hAnsi="Times New Roman" w:cs="Times New Roman"/>
                <w:bCs/>
                <w:color w:val="auto"/>
                <w:sz w:val="24"/>
              </w:rPr>
              <w:t>，属于</w:t>
            </w:r>
            <w:r>
              <w:rPr>
                <w:rFonts w:hint="default" w:ascii="Times New Roman" w:hAnsi="Times New Roman" w:cs="Times New Roman"/>
                <w:color w:val="auto"/>
                <w:sz w:val="24"/>
              </w:rPr>
              <w:t>可行技术。</w:t>
            </w:r>
          </w:p>
          <w:p w14:paraId="37225A5A">
            <w:pPr>
              <w:keepNext w:val="0"/>
              <w:keepLines w:val="0"/>
              <w:pageBreakBefore w:val="0"/>
              <w:widowControl w:val="0"/>
              <w:numPr>
                <w:ilvl w:val="0"/>
                <w:numId w:val="0"/>
              </w:numPr>
              <w:kinsoku/>
              <w:wordWrap/>
              <w:overflowPunct/>
              <w:topLinePunct w:val="0"/>
              <w:autoSpaceDE/>
              <w:autoSpaceDN/>
              <w:bidi w:val="0"/>
              <w:ind w:firstLine="480" w:firstLineChars="200"/>
              <w:textAlignment w:val="auto"/>
              <w:rPr>
                <w:rFonts w:hint="eastAsia" w:ascii="Times New Roman" w:hAnsi="Times New Roman" w:eastAsia="宋体" w:cs="Times New Roman"/>
                <w:color w:val="auto"/>
                <w:sz w:val="24"/>
                <w:lang w:val="en-US" w:eastAsia="zh-CN"/>
              </w:rPr>
            </w:pPr>
            <w:r>
              <w:rPr>
                <w:rFonts w:hint="eastAsia" w:cs="Times New Roman"/>
                <w:lang w:val="en-US" w:eastAsia="zh-CN"/>
              </w:rPr>
              <w:t>类比</w:t>
            </w:r>
            <w:r>
              <w:rPr>
                <w:rFonts w:hint="default" w:ascii="Times New Roman" w:hAnsi="Times New Roman" w:cs="Times New Roman"/>
                <w:color w:val="auto"/>
                <w:sz w:val="24"/>
              </w:rPr>
              <w:t>《云南豪悦轩家居制品生产线建设项目竣工环境保护验收监测报告表》中生活污水相关数据。</w:t>
            </w:r>
            <w:r>
              <w:rPr>
                <w:rFonts w:hint="eastAsia" w:cs="Times New Roman"/>
                <w:color w:val="auto"/>
                <w:sz w:val="24"/>
                <w:lang w:val="en-US" w:eastAsia="zh-CN"/>
              </w:rPr>
              <w:t>出水水质可满足</w:t>
            </w:r>
            <w:r>
              <w:rPr>
                <w:rFonts w:hint="eastAsia"/>
                <w:color w:val="0000FF"/>
                <w:sz w:val="24"/>
                <w:highlight w:val="none"/>
              </w:rPr>
              <w:t>《城市污水再生利用 城市杂用水水质》</w:t>
            </w:r>
            <w:r>
              <w:rPr>
                <w:color w:val="0000FF"/>
                <w:sz w:val="24"/>
                <w:highlight w:val="none"/>
              </w:rPr>
              <w:t>（GB/T18920-2020）</w:t>
            </w:r>
            <w:r>
              <w:rPr>
                <w:rFonts w:hint="eastAsia"/>
                <w:color w:val="0000FF"/>
                <w:sz w:val="24"/>
                <w:highlight w:val="none"/>
              </w:rPr>
              <w:t>中城市绿化、道路清扫、消防、建筑施工标准</w:t>
            </w:r>
            <w:r>
              <w:rPr>
                <w:rFonts w:hint="eastAsia"/>
                <w:color w:val="0000FF"/>
                <w:sz w:val="24"/>
                <w:highlight w:val="none"/>
                <w:lang w:val="en-US" w:eastAsia="zh-CN"/>
              </w:rPr>
              <w:t>要求。</w:t>
            </w:r>
          </w:p>
          <w:p w14:paraId="3241CD19">
            <w:pPr>
              <w:keepLines/>
              <w:autoSpaceDE w:val="0"/>
              <w:autoSpaceDN w:val="0"/>
              <w:adjustRightInd w:val="0"/>
              <w:snapToGrid w:val="0"/>
              <w:spacing w:line="360" w:lineRule="auto"/>
              <w:ind w:firstLine="480" w:firstLineChars="200"/>
              <w:textAlignment w:val="baseline"/>
              <w:rPr>
                <w:rFonts w:hint="eastAsia" w:cs="Times New Roman"/>
                <w:color w:val="auto"/>
                <w:sz w:val="24"/>
                <w:lang w:val="en-US" w:eastAsia="zh-CN"/>
              </w:rPr>
            </w:pPr>
            <w:r>
              <w:rPr>
                <w:rFonts w:hint="default" w:ascii="Times New Roman" w:hAnsi="Times New Roman" w:eastAsia="宋体" w:cs="Times New Roman"/>
                <w:b w:val="0"/>
                <w:bCs w:val="0"/>
                <w:color w:val="auto"/>
                <w:sz w:val="24"/>
                <w:u w:val="none"/>
                <w:lang w:val="en-US" w:eastAsia="zh-CN"/>
              </w:rPr>
              <w:t>本项目建成后</w:t>
            </w:r>
            <w:r>
              <w:rPr>
                <w:rFonts w:hint="eastAsia" w:cs="Times New Roman"/>
                <w:b w:val="0"/>
                <w:bCs w:val="0"/>
                <w:color w:val="auto"/>
                <w:sz w:val="24"/>
                <w:u w:val="none"/>
                <w:lang w:val="en-US" w:eastAsia="zh-CN"/>
              </w:rPr>
              <w:t>生活污</w:t>
            </w:r>
            <w:r>
              <w:rPr>
                <w:rFonts w:hint="default" w:ascii="Times New Roman" w:hAnsi="Times New Roman" w:eastAsia="宋体" w:cs="Times New Roman"/>
                <w:b w:val="0"/>
                <w:bCs w:val="0"/>
                <w:color w:val="auto"/>
                <w:sz w:val="24"/>
                <w:u w:val="none"/>
                <w:lang w:val="en-US" w:eastAsia="zh-CN"/>
              </w:rPr>
              <w:t>水量为0.</w:t>
            </w:r>
            <w:r>
              <w:rPr>
                <w:rFonts w:hint="eastAsia" w:cs="Times New Roman"/>
                <w:b w:val="0"/>
                <w:bCs w:val="0"/>
                <w:color w:val="auto"/>
                <w:sz w:val="24"/>
                <w:u w:val="none"/>
                <w:lang w:val="en-US" w:eastAsia="zh-CN"/>
              </w:rPr>
              <w:t>4</w:t>
            </w:r>
            <w:r>
              <w:rPr>
                <w:rFonts w:hint="default" w:ascii="Times New Roman" w:hAnsi="Times New Roman" w:eastAsia="宋体" w:cs="Times New Roman"/>
                <w:b w:val="0"/>
                <w:bCs w:val="0"/>
                <w:color w:val="auto"/>
                <w:sz w:val="24"/>
                <w:u w:val="none"/>
                <w:lang w:val="en-US" w:eastAsia="zh-CN"/>
              </w:rPr>
              <w:t>m³/d，</w:t>
            </w:r>
            <w:r>
              <w:rPr>
                <w:rFonts w:hint="default" w:ascii="Times New Roman" w:hAnsi="Times New Roman" w:cs="Times New Roman"/>
                <w:color w:val="auto"/>
                <w:sz w:val="24"/>
              </w:rPr>
              <w:t>一体化污水处理设备处理规模为5m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eastAsia" w:cs="Times New Roman"/>
                <w:color w:val="auto"/>
                <w:sz w:val="24"/>
                <w:lang w:eastAsia="zh-CN"/>
              </w:rPr>
              <w:t>，</w:t>
            </w:r>
            <w:r>
              <w:rPr>
                <w:rFonts w:hint="eastAsia" w:cs="Times New Roman"/>
                <w:color w:val="auto"/>
                <w:sz w:val="24"/>
                <w:lang w:val="en-US" w:eastAsia="zh-CN"/>
              </w:rPr>
              <w:t>可满足废水处理负荷需求。</w:t>
            </w:r>
          </w:p>
          <w:p w14:paraId="1A4A2F24">
            <w:pPr>
              <w:keepLines/>
              <w:autoSpaceDE w:val="0"/>
              <w:autoSpaceDN w:val="0"/>
              <w:adjustRightInd w:val="0"/>
              <w:snapToGrid w:val="0"/>
              <w:spacing w:line="360" w:lineRule="auto"/>
              <w:ind w:firstLine="480" w:firstLineChars="200"/>
              <w:textAlignment w:val="baseline"/>
              <w:rPr>
                <w:rFonts w:hint="default" w:ascii="Times New Roman" w:hAnsi="Times New Roman" w:eastAsia="宋体" w:cs="Times New Roman"/>
                <w:b/>
                <w:bCs/>
                <w:lang w:val="en-US" w:eastAsia="zh-CN"/>
              </w:rPr>
            </w:pPr>
            <w:r>
              <w:rPr>
                <w:rFonts w:hint="default" w:ascii="Times New Roman" w:hAnsi="Times New Roman" w:cs="Times New Roman"/>
                <w:color w:val="auto"/>
                <w:sz w:val="24"/>
              </w:rPr>
              <w:t>综上，项目一体化污水处理站处理规模、工艺均满足要求。</w:t>
            </w:r>
          </w:p>
          <w:p w14:paraId="69C94357">
            <w:pPr>
              <w:keepNext w:val="0"/>
              <w:keepLines w:val="0"/>
              <w:pageBreakBefore w:val="0"/>
              <w:widowControl w:val="0"/>
              <w:numPr>
                <w:ilvl w:val="0"/>
                <w:numId w:val="0"/>
              </w:numPr>
              <w:kinsoku/>
              <w:wordWrap/>
              <w:overflowPunct/>
              <w:topLinePunct w:val="0"/>
              <w:autoSpaceDE/>
              <w:autoSpaceDN/>
              <w:bidi w:val="0"/>
              <w:ind w:firstLine="482" w:firstLineChars="200"/>
              <w:textAlignment w:val="auto"/>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②</w:t>
            </w:r>
            <w:r>
              <w:rPr>
                <w:rFonts w:hint="default" w:ascii="Times New Roman" w:hAnsi="Times New Roman" w:cs="Times New Roman"/>
                <w:b/>
                <w:bCs/>
                <w:color w:val="auto"/>
                <w:highlight w:val="none"/>
                <w:lang w:val="en-US" w:eastAsia="zh-CN"/>
              </w:rPr>
              <w:t>化粪池可行性分析</w:t>
            </w:r>
          </w:p>
          <w:p w14:paraId="770F3412">
            <w:pPr>
              <w:keepNext w:val="0"/>
              <w:keepLines w:val="0"/>
              <w:pageBreakBefore w:val="0"/>
              <w:widowControl w:val="0"/>
              <w:kinsoku/>
              <w:wordWrap/>
              <w:overflowPunct/>
              <w:topLinePunct w:val="0"/>
              <w:autoSpaceDE/>
              <w:autoSpaceDN/>
              <w:bidi w:val="0"/>
              <w:textAlignment w:val="auto"/>
              <w:rPr>
                <w:rFonts w:hint="default" w:ascii="Times New Roman" w:hAnsi="Times New Roman" w:eastAsia="宋体" w:cs="Times New Roman"/>
                <w:b w:val="0"/>
                <w:bCs w:val="0"/>
                <w:color w:val="auto"/>
                <w:sz w:val="24"/>
                <w:u w:val="none"/>
                <w:lang w:val="en-US" w:eastAsia="zh-CN"/>
              </w:rPr>
            </w:pPr>
            <w:r>
              <w:rPr>
                <w:rFonts w:hint="default" w:ascii="Times New Roman" w:hAnsi="Times New Roman" w:eastAsia="宋体" w:cs="Times New Roman"/>
                <w:b w:val="0"/>
                <w:bCs w:val="0"/>
                <w:color w:val="auto"/>
                <w:sz w:val="24"/>
                <w:u w:val="none"/>
                <w:lang w:val="en-US" w:eastAsia="zh-CN"/>
              </w:rPr>
              <w:t>根据《建筑给排水设计规范》（GB50015-2009）要求：化粪池有效停留时间取12~24h，本项目化粪池有效停留时间取24h，化粪池污水处理规模以项目运营期的产生量为基数，并取1.2的安全变化系数。</w:t>
            </w:r>
          </w:p>
          <w:p w14:paraId="03F5FC9D">
            <w:pPr>
              <w:keepNext w:val="0"/>
              <w:keepLines w:val="0"/>
              <w:pageBreakBefore w:val="0"/>
              <w:widowControl w:val="0"/>
              <w:kinsoku/>
              <w:wordWrap/>
              <w:overflowPunct/>
              <w:topLinePunct w:val="0"/>
              <w:autoSpaceDE/>
              <w:autoSpaceDN/>
              <w:bidi w:val="0"/>
              <w:textAlignment w:val="auto"/>
              <w:rPr>
                <w:rFonts w:hint="default" w:ascii="Times New Roman" w:hAnsi="Times New Roman" w:eastAsia="宋体" w:cs="Times New Roman"/>
                <w:b w:val="0"/>
                <w:bCs w:val="0"/>
                <w:color w:val="auto"/>
                <w:sz w:val="24"/>
                <w:u w:val="none"/>
                <w:lang w:val="en-US" w:eastAsia="zh-CN"/>
              </w:rPr>
            </w:pPr>
            <w:r>
              <w:rPr>
                <w:rFonts w:hint="default" w:ascii="Times New Roman" w:hAnsi="Times New Roman" w:eastAsia="宋体" w:cs="Times New Roman"/>
                <w:b w:val="0"/>
                <w:bCs w:val="0"/>
                <w:color w:val="auto"/>
                <w:sz w:val="24"/>
                <w:u w:val="none"/>
                <w:lang w:val="en-US" w:eastAsia="zh-CN"/>
              </w:rPr>
              <w:t>本项目建成后经化粪池处理的废水量为0.</w:t>
            </w:r>
            <w:r>
              <w:rPr>
                <w:rFonts w:hint="eastAsia" w:cs="Times New Roman"/>
                <w:b w:val="0"/>
                <w:bCs w:val="0"/>
                <w:color w:val="auto"/>
                <w:sz w:val="24"/>
                <w:u w:val="none"/>
                <w:lang w:val="en-US" w:eastAsia="zh-CN"/>
              </w:rPr>
              <w:t>4</w:t>
            </w:r>
            <w:r>
              <w:rPr>
                <w:rFonts w:hint="default" w:ascii="Times New Roman" w:hAnsi="Times New Roman" w:eastAsia="宋体" w:cs="Times New Roman"/>
                <w:b w:val="0"/>
                <w:bCs w:val="0"/>
                <w:color w:val="auto"/>
                <w:sz w:val="24"/>
                <w:u w:val="none"/>
                <w:lang w:val="en-US" w:eastAsia="zh-CN"/>
              </w:rPr>
              <w:t>m³/d，考虑1.2的安全变化系数，本项目</w:t>
            </w:r>
            <w:r>
              <w:rPr>
                <w:rFonts w:hint="default" w:ascii="Times New Roman" w:hAnsi="Times New Roman" w:cs="Times New Roman"/>
                <w:b w:val="0"/>
                <w:bCs w:val="0"/>
                <w:color w:val="auto"/>
                <w:sz w:val="24"/>
                <w:u w:val="none"/>
                <w:lang w:val="en-US" w:eastAsia="zh-CN"/>
              </w:rPr>
              <w:t>5</w:t>
            </w:r>
            <w:r>
              <w:rPr>
                <w:rFonts w:hint="default" w:ascii="Times New Roman" w:hAnsi="Times New Roman" w:eastAsia="宋体" w:cs="Times New Roman"/>
                <w:b w:val="0"/>
                <w:bCs w:val="0"/>
                <w:color w:val="auto"/>
                <w:sz w:val="24"/>
                <w:u w:val="none"/>
                <w:lang w:val="en-US" w:eastAsia="zh-CN"/>
              </w:rPr>
              <w:t>m³的化粪池</w:t>
            </w:r>
            <w:r>
              <w:rPr>
                <w:rFonts w:hint="eastAsia" w:cs="Times New Roman"/>
                <w:b w:val="0"/>
                <w:bCs w:val="0"/>
                <w:color w:val="auto"/>
                <w:sz w:val="24"/>
                <w:u w:val="none"/>
                <w:lang w:val="en-US" w:eastAsia="zh-CN"/>
              </w:rPr>
              <w:t>能满足要求</w:t>
            </w:r>
            <w:r>
              <w:rPr>
                <w:rFonts w:hint="default" w:ascii="Times New Roman" w:hAnsi="Times New Roman" w:eastAsia="宋体" w:cs="Times New Roman"/>
                <w:b w:val="0"/>
                <w:bCs w:val="0"/>
                <w:color w:val="auto"/>
                <w:sz w:val="24"/>
                <w:u w:val="none"/>
                <w:lang w:val="en-US" w:eastAsia="zh-CN"/>
              </w:rPr>
              <w:t>。</w:t>
            </w:r>
          </w:p>
          <w:p w14:paraId="6BDF4231">
            <w:pPr>
              <w:keepNext w:val="0"/>
              <w:keepLines w:val="0"/>
              <w:pageBreakBefore w:val="0"/>
              <w:widowControl w:val="0"/>
              <w:kinsoku/>
              <w:wordWrap/>
              <w:overflowPunct/>
              <w:topLinePunct w:val="0"/>
              <w:autoSpaceDE/>
              <w:autoSpaceDN/>
              <w:bidi w:val="0"/>
              <w:textAlignment w:val="auto"/>
              <w:rPr>
                <w:rFonts w:hint="default" w:ascii="Times New Roman" w:hAnsi="Times New Roman" w:eastAsia="宋体" w:cs="Times New Roman"/>
                <w:b/>
                <w:bCs/>
                <w:color w:val="auto"/>
                <w:sz w:val="24"/>
                <w:u w:val="none"/>
                <w:lang w:val="en-US" w:eastAsia="zh-CN"/>
              </w:rPr>
            </w:pPr>
            <w:r>
              <w:rPr>
                <w:rFonts w:hint="eastAsia" w:cs="Times New Roman"/>
                <w:b/>
                <w:bCs/>
                <w:color w:val="auto"/>
                <w:sz w:val="24"/>
                <w:u w:val="none"/>
                <w:lang w:val="en-US" w:eastAsia="zh-CN"/>
              </w:rPr>
              <w:t>③</w:t>
            </w:r>
            <w:r>
              <w:rPr>
                <w:rFonts w:hint="default" w:ascii="Times New Roman" w:hAnsi="Times New Roman" w:eastAsia="宋体" w:cs="Times New Roman"/>
                <w:b/>
                <w:bCs/>
                <w:color w:val="auto"/>
                <w:sz w:val="24"/>
                <w:u w:val="none"/>
                <w:lang w:val="en-US" w:eastAsia="zh-CN"/>
              </w:rPr>
              <w:t>沉淀池可行性分析</w:t>
            </w:r>
          </w:p>
          <w:p w14:paraId="024315A1">
            <w:pPr>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u w:val="none"/>
                <w:lang w:val="en-US" w:eastAsia="zh-CN"/>
              </w:rPr>
            </w:pPr>
            <w:r>
              <w:rPr>
                <w:rFonts w:hint="default" w:ascii="Times New Roman" w:hAnsi="Times New Roman" w:cs="Times New Roman"/>
                <w:b w:val="0"/>
                <w:bCs w:val="0"/>
                <w:color w:val="auto"/>
                <w:sz w:val="24"/>
                <w:u w:val="none"/>
                <w:lang w:val="en-US" w:eastAsia="zh-CN"/>
              </w:rPr>
              <w:t>根据车辆冲洗产生废水为0.</w:t>
            </w:r>
            <w:r>
              <w:rPr>
                <w:rFonts w:hint="eastAsia" w:cs="Times New Roman"/>
                <w:b w:val="0"/>
                <w:bCs w:val="0"/>
                <w:color w:val="auto"/>
                <w:sz w:val="24"/>
                <w:u w:val="none"/>
                <w:lang w:val="en-US" w:eastAsia="zh-CN"/>
              </w:rPr>
              <w:t>356</w:t>
            </w:r>
            <w:r>
              <w:rPr>
                <w:rFonts w:hint="default" w:ascii="Times New Roman" w:hAnsi="Times New Roman" w:eastAsia="宋体" w:cs="Times New Roman"/>
                <w:b w:val="0"/>
                <w:bCs w:val="0"/>
                <w:color w:val="auto"/>
                <w:sz w:val="24"/>
                <w:u w:val="none"/>
                <w:lang w:val="en-US" w:eastAsia="zh-CN"/>
              </w:rPr>
              <w:t>m</w:t>
            </w:r>
            <w:r>
              <w:rPr>
                <w:rFonts w:hint="default" w:ascii="Times New Roman" w:hAnsi="Times New Roman" w:eastAsia="宋体" w:cs="Times New Roman"/>
                <w:b w:val="0"/>
                <w:bCs w:val="0"/>
                <w:color w:val="auto"/>
                <w:sz w:val="24"/>
                <w:u w:val="none"/>
                <w:vertAlign w:val="superscript"/>
                <w:lang w:val="en-US" w:eastAsia="zh-CN"/>
              </w:rPr>
              <w:t>3</w:t>
            </w:r>
            <w:r>
              <w:rPr>
                <w:rFonts w:hint="default" w:ascii="Times New Roman" w:hAnsi="Times New Roman" w:eastAsia="宋体" w:cs="Times New Roman"/>
                <w:b w:val="0"/>
                <w:bCs w:val="0"/>
                <w:color w:val="auto"/>
                <w:sz w:val="24"/>
                <w:u w:val="none"/>
                <w:lang w:val="en-US" w:eastAsia="zh-CN"/>
              </w:rPr>
              <w:t>/d，考虑1.2的安全变化系数，本项目</w:t>
            </w:r>
            <w:r>
              <w:rPr>
                <w:rFonts w:hint="eastAsia" w:cs="Times New Roman"/>
                <w:b w:val="0"/>
                <w:bCs w:val="0"/>
                <w:color w:val="auto"/>
                <w:sz w:val="24"/>
                <w:u w:val="none"/>
                <w:lang w:val="en-US" w:eastAsia="zh-CN"/>
              </w:rPr>
              <w:t>5</w:t>
            </w:r>
            <w:r>
              <w:rPr>
                <w:rFonts w:hint="default" w:ascii="Times New Roman" w:hAnsi="Times New Roman" w:eastAsia="宋体" w:cs="Times New Roman"/>
                <w:b w:val="0"/>
                <w:bCs w:val="0"/>
                <w:color w:val="auto"/>
                <w:sz w:val="24"/>
                <w:u w:val="none"/>
                <w:lang w:val="en-US" w:eastAsia="zh-CN"/>
              </w:rPr>
              <w:t>m³的沉淀池</w:t>
            </w:r>
            <w:r>
              <w:rPr>
                <w:rFonts w:hint="eastAsia" w:cs="Times New Roman"/>
                <w:b w:val="0"/>
                <w:bCs w:val="0"/>
                <w:color w:val="auto"/>
                <w:sz w:val="24"/>
                <w:u w:val="none"/>
                <w:lang w:val="en-US" w:eastAsia="zh-CN"/>
              </w:rPr>
              <w:t>能</w:t>
            </w:r>
            <w:r>
              <w:rPr>
                <w:rFonts w:hint="default" w:ascii="Times New Roman" w:hAnsi="Times New Roman" w:eastAsia="宋体" w:cs="Times New Roman"/>
                <w:b w:val="0"/>
                <w:bCs w:val="0"/>
                <w:color w:val="auto"/>
                <w:sz w:val="24"/>
                <w:u w:val="none"/>
                <w:lang w:val="en-US" w:eastAsia="zh-CN"/>
              </w:rPr>
              <w:t>满足废水处理需求</w:t>
            </w:r>
            <w:r>
              <w:rPr>
                <w:rFonts w:hint="eastAsia" w:cs="Times New Roman"/>
                <w:b w:val="0"/>
                <w:bCs w:val="0"/>
                <w:color w:val="auto"/>
                <w:sz w:val="24"/>
                <w:u w:val="none"/>
                <w:lang w:val="en-US" w:eastAsia="zh-CN"/>
              </w:rPr>
              <w:t>；项目运营期汽车冲用水量为0.445</w:t>
            </w:r>
            <w:r>
              <w:rPr>
                <w:rFonts w:hint="default" w:ascii="Times New Roman" w:hAnsi="Times New Roman" w:eastAsia="宋体" w:cs="Times New Roman"/>
                <w:b w:val="0"/>
                <w:bCs w:val="0"/>
                <w:color w:val="auto"/>
                <w:sz w:val="24"/>
                <w:u w:val="none"/>
                <w:lang w:val="en-US" w:eastAsia="zh-CN"/>
              </w:rPr>
              <w:t>m</w:t>
            </w:r>
            <w:r>
              <w:rPr>
                <w:rFonts w:hint="default" w:ascii="Times New Roman" w:hAnsi="Times New Roman" w:eastAsia="宋体" w:cs="Times New Roman"/>
                <w:b w:val="0"/>
                <w:bCs w:val="0"/>
                <w:color w:val="auto"/>
                <w:sz w:val="24"/>
                <w:u w:val="none"/>
                <w:vertAlign w:val="superscript"/>
                <w:lang w:val="en-US" w:eastAsia="zh-CN"/>
              </w:rPr>
              <w:t>3</w:t>
            </w:r>
            <w:r>
              <w:rPr>
                <w:rFonts w:hint="default" w:ascii="Times New Roman" w:hAnsi="Times New Roman" w:eastAsia="宋体" w:cs="Times New Roman"/>
                <w:b w:val="0"/>
                <w:bCs w:val="0"/>
                <w:color w:val="auto"/>
                <w:sz w:val="24"/>
                <w:u w:val="none"/>
                <w:lang w:val="en-US" w:eastAsia="zh-CN"/>
              </w:rPr>
              <w:t>/d，</w:t>
            </w:r>
            <w:r>
              <w:rPr>
                <w:rFonts w:hint="eastAsia" w:cs="Times New Roman"/>
                <w:b w:val="0"/>
                <w:bCs w:val="0"/>
                <w:color w:val="auto"/>
                <w:sz w:val="24"/>
                <w:u w:val="none"/>
                <w:lang w:val="en-US" w:eastAsia="zh-CN"/>
              </w:rPr>
              <w:t>133.36</w:t>
            </w:r>
            <w:r>
              <w:rPr>
                <w:rFonts w:hint="default" w:ascii="Times New Roman" w:hAnsi="Times New Roman" w:eastAsia="宋体" w:cs="Times New Roman"/>
                <w:b w:val="0"/>
                <w:bCs w:val="0"/>
                <w:color w:val="auto"/>
                <w:sz w:val="24"/>
                <w:highlight w:val="none"/>
                <w:u w:val="none"/>
                <w:lang w:val="en-US" w:eastAsia="zh-CN"/>
              </w:rPr>
              <w:t>m</w:t>
            </w:r>
            <w:r>
              <w:rPr>
                <w:rFonts w:hint="default" w:ascii="Times New Roman" w:hAnsi="Times New Roman" w:eastAsia="宋体" w:cs="Times New Roman"/>
                <w:b w:val="0"/>
                <w:bCs w:val="0"/>
                <w:color w:val="auto"/>
                <w:sz w:val="24"/>
                <w:highlight w:val="none"/>
                <w:u w:val="none"/>
                <w:vertAlign w:val="superscript"/>
                <w:lang w:val="en-US" w:eastAsia="zh-CN"/>
              </w:rPr>
              <w:t>3</w:t>
            </w:r>
            <w:r>
              <w:rPr>
                <w:rFonts w:hint="default" w:ascii="Times New Roman" w:hAnsi="Times New Roman" w:eastAsia="宋体" w:cs="Times New Roman"/>
                <w:b w:val="0"/>
                <w:bCs w:val="0"/>
                <w:color w:val="auto"/>
                <w:sz w:val="24"/>
                <w:highlight w:val="none"/>
                <w:u w:val="none"/>
                <w:lang w:val="en-US" w:eastAsia="zh-CN"/>
              </w:rPr>
              <w:t>/a</w:t>
            </w:r>
            <w:r>
              <w:rPr>
                <w:rFonts w:hint="eastAsia" w:cs="Times New Roman"/>
                <w:b w:val="0"/>
                <w:bCs w:val="0"/>
                <w:color w:val="auto"/>
                <w:sz w:val="24"/>
                <w:highlight w:val="none"/>
                <w:u w:val="none"/>
                <w:lang w:val="en-US" w:eastAsia="zh-CN"/>
              </w:rPr>
              <w:t>，</w:t>
            </w:r>
            <w:r>
              <w:rPr>
                <w:rFonts w:hint="eastAsia" w:cs="Times New Roman"/>
                <w:b w:val="0"/>
                <w:bCs w:val="0"/>
                <w:color w:val="auto"/>
                <w:sz w:val="24"/>
                <w:u w:val="none"/>
                <w:lang w:val="en-US" w:eastAsia="zh-CN"/>
              </w:rPr>
              <w:t>废水可全部回用于汽车冲洗</w:t>
            </w:r>
            <w:r>
              <w:rPr>
                <w:rFonts w:hint="default" w:ascii="Times New Roman" w:hAnsi="Times New Roman" w:eastAsia="宋体" w:cs="Times New Roman"/>
                <w:b w:val="0"/>
                <w:bCs w:val="0"/>
                <w:color w:val="auto"/>
                <w:sz w:val="24"/>
                <w:u w:val="none"/>
                <w:lang w:val="en-US" w:eastAsia="zh-CN"/>
              </w:rPr>
              <w:t>。</w:t>
            </w:r>
          </w:p>
          <w:p w14:paraId="72B9C5C5">
            <w:pPr>
              <w:keepNext w:val="0"/>
              <w:keepLines w:val="0"/>
              <w:pageBreakBefore w:val="0"/>
              <w:widowControl w:val="0"/>
              <w:tabs>
                <w:tab w:val="left" w:pos="5300"/>
              </w:tabs>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val="0"/>
                <w:color w:val="auto"/>
                <w:sz w:val="24"/>
                <w:highlight w:val="none"/>
                <w:lang w:val="en-US" w:eastAsia="zh-CN" w:bidi="ar"/>
              </w:rPr>
            </w:pPr>
            <w:r>
              <w:rPr>
                <w:rFonts w:hint="eastAsia" w:cs="Times New Roman"/>
                <w:b/>
                <w:bCs w:val="0"/>
                <w:color w:val="auto"/>
                <w:sz w:val="24"/>
                <w:highlight w:val="none"/>
                <w:lang w:val="en-US" w:eastAsia="zh-CN" w:bidi="ar"/>
              </w:rPr>
              <w:t>④初期雨水回用的可行性分析</w:t>
            </w:r>
          </w:p>
          <w:p w14:paraId="6ED03737">
            <w:pPr>
              <w:keepNext w:val="0"/>
              <w:keepLines w:val="0"/>
              <w:pageBreakBefore w:val="0"/>
              <w:widowControl w:val="0"/>
              <w:tabs>
                <w:tab w:val="left" w:pos="5300"/>
              </w:tabs>
              <w:kinsoku/>
              <w:wordWrap/>
              <w:overflowPunct/>
              <w:topLinePunct w:val="0"/>
              <w:autoSpaceDE/>
              <w:autoSpaceDN/>
              <w:bidi w:val="0"/>
              <w:adjustRightInd w:val="0"/>
              <w:snapToGrid w:val="0"/>
              <w:spacing w:line="360" w:lineRule="auto"/>
              <w:ind w:firstLine="480" w:firstLineChars="200"/>
              <w:textAlignment w:val="auto"/>
              <w:rPr>
                <w:rFonts w:hint="default"/>
                <w:lang w:val="en-US" w:eastAsia="zh-CN"/>
              </w:rPr>
            </w:pPr>
            <w:r>
              <w:rPr>
                <w:rFonts w:hint="default" w:ascii="Times New Roman" w:hAnsi="Times New Roman" w:cs="Times New Roman"/>
                <w:color w:val="auto"/>
                <w:sz w:val="24"/>
                <w:highlight w:val="none"/>
                <w:u w:val="none"/>
                <w:lang w:val="en-US" w:eastAsia="zh-CN"/>
              </w:rPr>
              <w:t>本项目</w:t>
            </w:r>
            <w:r>
              <w:rPr>
                <w:rFonts w:hint="default" w:ascii="Times New Roman" w:hAnsi="Times New Roman" w:eastAsia="宋体" w:cs="Times New Roman"/>
                <w:color w:val="auto"/>
                <w:sz w:val="24"/>
                <w:highlight w:val="none"/>
                <w:u w:val="none"/>
                <w:lang w:val="en-US" w:eastAsia="zh-CN"/>
              </w:rPr>
              <w:t>初期雨水产生量为</w:t>
            </w:r>
            <w:r>
              <w:rPr>
                <w:rFonts w:hint="eastAsia" w:cs="Times New Roman"/>
                <w:color w:val="auto"/>
                <w:sz w:val="24"/>
                <w:highlight w:val="none"/>
                <w:u w:val="none"/>
                <w:lang w:val="en-US" w:eastAsia="zh-CN"/>
              </w:rPr>
              <w:t>743.162</w:t>
            </w:r>
            <w:r>
              <w:rPr>
                <w:rFonts w:hint="default" w:ascii="Times New Roman" w:hAnsi="Times New Roman" w:eastAsia="宋体" w:cs="Times New Roman"/>
                <w:b w:val="0"/>
                <w:bCs w:val="0"/>
                <w:color w:val="auto"/>
                <w:sz w:val="24"/>
                <w:highlight w:val="none"/>
                <w:u w:val="none"/>
                <w:lang w:val="en-US" w:eastAsia="zh-CN"/>
              </w:rPr>
              <w:t>m</w:t>
            </w:r>
            <w:r>
              <w:rPr>
                <w:rFonts w:hint="default" w:ascii="Times New Roman" w:hAnsi="Times New Roman" w:eastAsia="宋体" w:cs="Times New Roman"/>
                <w:b w:val="0"/>
                <w:bCs w:val="0"/>
                <w:color w:val="auto"/>
                <w:sz w:val="24"/>
                <w:highlight w:val="none"/>
                <w:u w:val="none"/>
                <w:vertAlign w:val="superscript"/>
                <w:lang w:val="en-US" w:eastAsia="zh-CN"/>
              </w:rPr>
              <w:t>3</w:t>
            </w:r>
            <w:r>
              <w:rPr>
                <w:rFonts w:hint="default" w:ascii="Times New Roman" w:hAnsi="Times New Roman" w:eastAsia="宋体" w:cs="Times New Roman"/>
                <w:b w:val="0"/>
                <w:bCs w:val="0"/>
                <w:color w:val="auto"/>
                <w:sz w:val="24"/>
                <w:highlight w:val="none"/>
                <w:u w:val="none"/>
                <w:lang w:val="en-US" w:eastAsia="zh-CN"/>
              </w:rPr>
              <w:t>/d</w:t>
            </w:r>
            <w:r>
              <w:rPr>
                <w:rFonts w:hint="eastAsia" w:cs="Times New Roman"/>
                <w:b w:val="0"/>
                <w:bCs w:val="0"/>
                <w:color w:val="auto"/>
                <w:sz w:val="24"/>
                <w:highlight w:val="none"/>
                <w:u w:val="none"/>
                <w:lang w:val="en-US" w:eastAsia="zh-CN"/>
              </w:rPr>
              <w:t>（111474.3</w:t>
            </w:r>
            <w:r>
              <w:rPr>
                <w:rFonts w:hint="default" w:ascii="Times New Roman" w:hAnsi="Times New Roman" w:eastAsia="宋体" w:cs="Times New Roman"/>
                <w:b w:val="0"/>
                <w:bCs w:val="0"/>
                <w:color w:val="auto"/>
                <w:sz w:val="24"/>
                <w:highlight w:val="none"/>
                <w:u w:val="none"/>
                <w:lang w:val="en-US" w:eastAsia="zh-CN"/>
              </w:rPr>
              <w:t>m</w:t>
            </w:r>
            <w:r>
              <w:rPr>
                <w:rFonts w:hint="default" w:ascii="Times New Roman" w:hAnsi="Times New Roman" w:eastAsia="宋体" w:cs="Times New Roman"/>
                <w:b w:val="0"/>
                <w:bCs w:val="0"/>
                <w:color w:val="auto"/>
                <w:sz w:val="24"/>
                <w:highlight w:val="none"/>
                <w:u w:val="none"/>
                <w:vertAlign w:val="superscript"/>
                <w:lang w:val="en-US" w:eastAsia="zh-CN"/>
              </w:rPr>
              <w:t>3</w:t>
            </w:r>
            <w:r>
              <w:rPr>
                <w:rFonts w:hint="default" w:ascii="Times New Roman" w:hAnsi="Times New Roman" w:eastAsia="宋体" w:cs="Times New Roman"/>
                <w:b w:val="0"/>
                <w:bCs w:val="0"/>
                <w:color w:val="auto"/>
                <w:sz w:val="24"/>
                <w:highlight w:val="none"/>
                <w:u w:val="none"/>
                <w:lang w:val="en-US" w:eastAsia="zh-CN"/>
              </w:rPr>
              <w:t>/a）</w:t>
            </w:r>
            <w:r>
              <w:rPr>
                <w:rFonts w:hint="default" w:ascii="Times New Roman" w:hAnsi="Times New Roman" w:cs="Times New Roman"/>
                <w:b w:val="0"/>
                <w:bCs w:val="0"/>
                <w:color w:val="auto"/>
                <w:sz w:val="24"/>
                <w:highlight w:val="none"/>
                <w:u w:val="none"/>
                <w:lang w:val="en-US" w:eastAsia="zh-CN"/>
              </w:rPr>
              <w:t>，</w:t>
            </w:r>
            <w:r>
              <w:rPr>
                <w:rFonts w:hint="default" w:ascii="Times New Roman" w:hAnsi="Times New Roman" w:eastAsia="宋体" w:cs="Times New Roman"/>
                <w:b w:val="0"/>
                <w:bCs w:val="0"/>
                <w:color w:val="auto"/>
                <w:sz w:val="24"/>
                <w:szCs w:val="24"/>
                <w:highlight w:val="none"/>
                <w:u w:val="none"/>
                <w:lang w:val="en-US" w:eastAsia="zh-CN"/>
              </w:rPr>
              <w:t>进入</w:t>
            </w:r>
            <w:r>
              <w:rPr>
                <w:rFonts w:hint="eastAsia" w:cs="Times New Roman"/>
                <w:b w:val="0"/>
                <w:bCs w:val="0"/>
                <w:color w:val="auto"/>
                <w:sz w:val="24"/>
                <w:szCs w:val="24"/>
                <w:highlight w:val="none"/>
                <w:u w:val="none"/>
                <w:lang w:val="en-US" w:eastAsia="zh-CN"/>
              </w:rPr>
              <w:t>750</w:t>
            </w:r>
            <w:r>
              <w:rPr>
                <w:rFonts w:hint="default" w:ascii="Times New Roman" w:hAnsi="Times New Roman" w:cs="Times New Roman"/>
                <w:b w:val="0"/>
                <w:bCs w:val="0"/>
                <w:color w:val="auto"/>
                <w:sz w:val="24"/>
                <w:szCs w:val="24"/>
                <w:highlight w:val="none"/>
                <w:u w:val="none"/>
                <w:lang w:val="en-US" w:eastAsia="zh-CN"/>
              </w:rPr>
              <w:t>m</w:t>
            </w:r>
            <w:r>
              <w:rPr>
                <w:rFonts w:hint="eastAsia" w:cs="Times New Roman"/>
                <w:b w:val="0"/>
                <w:bCs w:val="0"/>
                <w:color w:val="auto"/>
                <w:sz w:val="24"/>
                <w:szCs w:val="24"/>
                <w:highlight w:val="none"/>
                <w:u w:val="none"/>
                <w:vertAlign w:val="superscript"/>
                <w:lang w:val="en-US" w:eastAsia="zh-CN"/>
              </w:rPr>
              <w:t>3</w:t>
            </w:r>
            <w:r>
              <w:rPr>
                <w:rFonts w:hint="default" w:ascii="Times New Roman" w:hAnsi="Times New Roman" w:cs="Times New Roman"/>
                <w:b w:val="0"/>
                <w:bCs w:val="0"/>
                <w:color w:val="auto"/>
                <w:sz w:val="24"/>
                <w:szCs w:val="24"/>
                <w:highlight w:val="none"/>
                <w:u w:val="none"/>
                <w:lang w:val="en-US" w:eastAsia="zh-CN"/>
              </w:rPr>
              <w:t>收集池收集</w:t>
            </w:r>
            <w:r>
              <w:rPr>
                <w:rFonts w:hint="default" w:ascii="Times New Roman" w:hAnsi="Times New Roman" w:cs="Times New Roman"/>
                <w:color w:val="auto"/>
                <w:highlight w:val="none"/>
                <w:u w:val="none"/>
                <w:lang w:val="en-US" w:eastAsia="zh-CN"/>
              </w:rPr>
              <w:t>沉淀池沉淀</w:t>
            </w:r>
            <w:r>
              <w:rPr>
                <w:rFonts w:hint="default" w:ascii="Times New Roman" w:hAnsi="Times New Roman" w:cs="Times New Roman"/>
                <w:b w:val="0"/>
                <w:bCs w:val="0"/>
                <w:color w:val="auto"/>
                <w:sz w:val="24"/>
                <w:szCs w:val="24"/>
                <w:highlight w:val="none"/>
                <w:u w:val="none"/>
                <w:lang w:val="en-US" w:eastAsia="zh-CN"/>
              </w:rPr>
              <w:t>后用于</w:t>
            </w:r>
            <w:r>
              <w:rPr>
                <w:rFonts w:hint="eastAsia" w:cs="Times New Roman"/>
                <w:b w:val="0"/>
                <w:bCs w:val="0"/>
                <w:color w:val="auto"/>
                <w:sz w:val="24"/>
                <w:szCs w:val="24"/>
                <w:highlight w:val="none"/>
                <w:u w:val="none"/>
                <w:lang w:val="en-US" w:eastAsia="zh-CN"/>
              </w:rPr>
              <w:t>场内道路和裸露地面</w:t>
            </w:r>
            <w:r>
              <w:rPr>
                <w:rFonts w:hint="default" w:ascii="Times New Roman" w:hAnsi="Times New Roman" w:cs="Times New Roman"/>
                <w:b w:val="0"/>
                <w:bCs w:val="0"/>
                <w:color w:val="auto"/>
                <w:sz w:val="24"/>
                <w:szCs w:val="24"/>
                <w:highlight w:val="none"/>
                <w:u w:val="none"/>
                <w:lang w:val="en-US" w:eastAsia="zh-CN"/>
              </w:rPr>
              <w:t>洒水降尘</w:t>
            </w:r>
            <w:r>
              <w:rPr>
                <w:rFonts w:hint="eastAsia" w:cs="Times New Roman"/>
                <w:b w:val="0"/>
                <w:bCs w:val="0"/>
                <w:color w:val="auto"/>
                <w:sz w:val="24"/>
                <w:szCs w:val="24"/>
                <w:highlight w:val="none"/>
                <w:u w:val="none"/>
                <w:lang w:val="en-US" w:eastAsia="zh-CN"/>
              </w:rPr>
              <w:t>。根据项目水平衡分析，项目场内道路和裸露地面晴天</w:t>
            </w:r>
            <w:r>
              <w:rPr>
                <w:rFonts w:hint="default" w:ascii="Times New Roman" w:hAnsi="Times New Roman" w:cs="Times New Roman"/>
                <w:b w:val="0"/>
                <w:bCs w:val="0"/>
                <w:color w:val="auto"/>
                <w:sz w:val="24"/>
                <w:szCs w:val="24"/>
                <w:highlight w:val="none"/>
                <w:u w:val="none"/>
                <w:lang w:val="en-US" w:eastAsia="zh-CN"/>
              </w:rPr>
              <w:t>洒水降尘</w:t>
            </w:r>
            <w:r>
              <w:rPr>
                <w:rFonts w:hint="eastAsia" w:cs="Times New Roman"/>
                <w:b w:val="0"/>
                <w:bCs w:val="0"/>
                <w:color w:val="auto"/>
                <w:sz w:val="24"/>
                <w:szCs w:val="24"/>
                <w:highlight w:val="none"/>
                <w:u w:val="none"/>
                <w:lang w:val="en-US" w:eastAsia="zh-CN"/>
              </w:rPr>
              <w:t>用水量为437.944</w:t>
            </w:r>
            <w:r>
              <w:rPr>
                <w:rFonts w:hint="default" w:ascii="Times New Roman" w:hAnsi="Times New Roman" w:eastAsia="宋体" w:cs="Times New Roman"/>
                <w:b w:val="0"/>
                <w:bCs w:val="0"/>
                <w:color w:val="auto"/>
                <w:sz w:val="24"/>
                <w:highlight w:val="none"/>
                <w:u w:val="none"/>
                <w:vertAlign w:val="superscript"/>
                <w:lang w:val="en-US" w:eastAsia="zh-CN"/>
              </w:rPr>
              <w:t>3</w:t>
            </w:r>
            <w:r>
              <w:rPr>
                <w:rFonts w:hint="default" w:ascii="Times New Roman" w:hAnsi="Times New Roman" w:eastAsia="宋体" w:cs="Times New Roman"/>
                <w:b w:val="0"/>
                <w:bCs w:val="0"/>
                <w:color w:val="auto"/>
                <w:sz w:val="24"/>
                <w:highlight w:val="none"/>
                <w:u w:val="none"/>
                <w:lang w:val="en-US" w:eastAsia="zh-CN"/>
              </w:rPr>
              <w:t>/d</w:t>
            </w:r>
            <w:r>
              <w:rPr>
                <w:rFonts w:hint="eastAsia" w:cs="Times New Roman"/>
                <w:b w:val="0"/>
                <w:bCs w:val="0"/>
                <w:color w:val="auto"/>
                <w:sz w:val="24"/>
                <w:highlight w:val="none"/>
                <w:u w:val="none"/>
                <w:lang w:val="en-US" w:eastAsia="zh-CN"/>
              </w:rPr>
              <w:t>（87588.8</w:t>
            </w:r>
            <w:r>
              <w:rPr>
                <w:rFonts w:hint="default" w:ascii="Times New Roman" w:hAnsi="Times New Roman" w:eastAsia="宋体" w:cs="Times New Roman"/>
                <w:b w:val="0"/>
                <w:bCs w:val="0"/>
                <w:color w:val="auto"/>
                <w:sz w:val="24"/>
                <w:highlight w:val="none"/>
                <w:u w:val="none"/>
                <w:lang w:val="en-US" w:eastAsia="zh-CN"/>
              </w:rPr>
              <w:t>m</w:t>
            </w:r>
            <w:r>
              <w:rPr>
                <w:rFonts w:hint="default" w:ascii="Times New Roman" w:hAnsi="Times New Roman" w:eastAsia="宋体" w:cs="Times New Roman"/>
                <w:b w:val="0"/>
                <w:bCs w:val="0"/>
                <w:color w:val="auto"/>
                <w:sz w:val="24"/>
                <w:highlight w:val="none"/>
                <w:u w:val="none"/>
                <w:vertAlign w:val="superscript"/>
                <w:lang w:val="en-US" w:eastAsia="zh-CN"/>
              </w:rPr>
              <w:t>3</w:t>
            </w:r>
            <w:r>
              <w:rPr>
                <w:rFonts w:hint="default" w:ascii="Times New Roman" w:hAnsi="Times New Roman" w:eastAsia="宋体" w:cs="Times New Roman"/>
                <w:b w:val="0"/>
                <w:bCs w:val="0"/>
                <w:color w:val="auto"/>
                <w:sz w:val="24"/>
                <w:highlight w:val="none"/>
                <w:u w:val="none"/>
                <w:lang w:val="en-US" w:eastAsia="zh-CN"/>
              </w:rPr>
              <w:t>/a）</w:t>
            </w:r>
            <w:r>
              <w:rPr>
                <w:rFonts w:hint="eastAsia" w:cs="Times New Roman"/>
                <w:b w:val="0"/>
                <w:bCs w:val="0"/>
                <w:color w:val="auto"/>
                <w:sz w:val="24"/>
                <w:highlight w:val="none"/>
                <w:u w:val="none"/>
                <w:lang w:val="en-US" w:eastAsia="zh-CN"/>
              </w:rPr>
              <w:t>，雾炮机用水量为</w:t>
            </w:r>
            <w:r>
              <w:rPr>
                <w:rFonts w:hint="eastAsia" w:cs="Times New Roman"/>
                <w:b w:val="0"/>
                <w:bCs w:val="0"/>
                <w:color w:val="auto"/>
                <w:sz w:val="24"/>
                <w:szCs w:val="24"/>
                <w:highlight w:val="none"/>
                <w:u w:val="none"/>
                <w:lang w:val="en-US" w:eastAsia="zh-CN"/>
              </w:rPr>
              <w:t>144</w:t>
            </w:r>
            <w:r>
              <w:rPr>
                <w:rFonts w:hint="default" w:ascii="Times New Roman" w:hAnsi="Times New Roman" w:eastAsia="宋体" w:cs="Times New Roman"/>
                <w:b w:val="0"/>
                <w:bCs w:val="0"/>
                <w:color w:val="auto"/>
                <w:sz w:val="24"/>
                <w:highlight w:val="none"/>
                <w:u w:val="none"/>
                <w:vertAlign w:val="superscript"/>
                <w:lang w:val="en-US" w:eastAsia="zh-CN"/>
              </w:rPr>
              <w:t>3</w:t>
            </w:r>
            <w:r>
              <w:rPr>
                <w:rFonts w:hint="default" w:ascii="Times New Roman" w:hAnsi="Times New Roman" w:eastAsia="宋体" w:cs="Times New Roman"/>
                <w:b w:val="0"/>
                <w:bCs w:val="0"/>
                <w:color w:val="auto"/>
                <w:sz w:val="24"/>
                <w:highlight w:val="none"/>
                <w:u w:val="none"/>
                <w:lang w:val="en-US" w:eastAsia="zh-CN"/>
              </w:rPr>
              <w:t>/d</w:t>
            </w:r>
            <w:r>
              <w:rPr>
                <w:rFonts w:hint="eastAsia" w:cs="Times New Roman"/>
                <w:b w:val="0"/>
                <w:bCs w:val="0"/>
                <w:color w:val="auto"/>
                <w:sz w:val="24"/>
                <w:highlight w:val="none"/>
                <w:u w:val="none"/>
                <w:lang w:val="en-US" w:eastAsia="zh-CN"/>
              </w:rPr>
              <w:t>（28800</w:t>
            </w:r>
            <w:r>
              <w:rPr>
                <w:rFonts w:hint="default" w:ascii="Times New Roman" w:hAnsi="Times New Roman" w:eastAsia="宋体" w:cs="Times New Roman"/>
                <w:b w:val="0"/>
                <w:bCs w:val="0"/>
                <w:color w:val="auto"/>
                <w:sz w:val="24"/>
                <w:highlight w:val="none"/>
                <w:u w:val="none"/>
                <w:lang w:val="en-US" w:eastAsia="zh-CN"/>
              </w:rPr>
              <w:t>m</w:t>
            </w:r>
            <w:r>
              <w:rPr>
                <w:rFonts w:hint="default" w:ascii="Times New Roman" w:hAnsi="Times New Roman" w:eastAsia="宋体" w:cs="Times New Roman"/>
                <w:b w:val="0"/>
                <w:bCs w:val="0"/>
                <w:color w:val="auto"/>
                <w:sz w:val="24"/>
                <w:highlight w:val="none"/>
                <w:u w:val="none"/>
                <w:vertAlign w:val="superscript"/>
                <w:lang w:val="en-US" w:eastAsia="zh-CN"/>
              </w:rPr>
              <w:t>3</w:t>
            </w:r>
            <w:r>
              <w:rPr>
                <w:rFonts w:hint="default" w:ascii="Times New Roman" w:hAnsi="Times New Roman" w:eastAsia="宋体" w:cs="Times New Roman"/>
                <w:b w:val="0"/>
                <w:bCs w:val="0"/>
                <w:color w:val="auto"/>
                <w:sz w:val="24"/>
                <w:highlight w:val="none"/>
                <w:u w:val="none"/>
                <w:lang w:val="en-US" w:eastAsia="zh-CN"/>
              </w:rPr>
              <w:t>/a）</w:t>
            </w:r>
            <w:r>
              <w:rPr>
                <w:rFonts w:hint="eastAsia" w:cs="Times New Roman"/>
                <w:b w:val="0"/>
                <w:bCs w:val="0"/>
                <w:color w:val="auto"/>
                <w:sz w:val="24"/>
                <w:highlight w:val="none"/>
                <w:u w:val="none"/>
                <w:lang w:val="en-US" w:eastAsia="zh-CN"/>
              </w:rPr>
              <w:t>，收集的初期雨水可全部回用完，不外排。</w:t>
            </w:r>
          </w:p>
          <w:p w14:paraId="42514AE7">
            <w:pPr>
              <w:keepNext w:val="0"/>
              <w:keepLines w:val="0"/>
              <w:pageBreakBefore w:val="0"/>
              <w:widowControl w:val="0"/>
              <w:numPr>
                <w:ilvl w:val="0"/>
                <w:numId w:val="0"/>
              </w:numPr>
              <w:kinsoku/>
              <w:wordWrap/>
              <w:overflowPunct/>
              <w:topLinePunct w:val="0"/>
              <w:autoSpaceDE/>
              <w:autoSpaceDN/>
              <w:bidi w:val="0"/>
              <w:ind w:firstLine="482" w:firstLineChars="200"/>
              <w:textAlignment w:val="auto"/>
              <w:rPr>
                <w:rFonts w:hint="default" w:ascii="Times New Roman" w:hAnsi="Times New Roman" w:cs="Times New Roman"/>
                <w:b/>
                <w:bCs/>
                <w:color w:val="auto"/>
                <w:sz w:val="24"/>
                <w:highlight w:val="none"/>
                <w:lang w:val="en-US" w:eastAsia="zh-CN"/>
              </w:rPr>
            </w:pPr>
            <w:r>
              <w:rPr>
                <w:rFonts w:hint="default" w:ascii="Times New Roman" w:hAnsi="Times New Roman" w:eastAsia="宋体" w:cs="Times New Roman"/>
                <w:b/>
                <w:bCs/>
                <w:color w:val="auto"/>
                <w:kern w:val="2"/>
                <w:sz w:val="24"/>
                <w:szCs w:val="24"/>
                <w:lang w:val="en-US" w:eastAsia="zh-CN" w:bidi="ar-SA"/>
              </w:rPr>
              <w:t>（</w:t>
            </w:r>
            <w:r>
              <w:rPr>
                <w:rFonts w:hint="eastAsia" w:ascii="Times New Roman" w:hAnsi="Times New Roman" w:eastAsia="宋体" w:cs="Times New Roman"/>
                <w:b/>
                <w:bCs/>
                <w:color w:val="auto"/>
                <w:kern w:val="2"/>
                <w:sz w:val="24"/>
                <w:szCs w:val="24"/>
                <w:lang w:val="en-US" w:eastAsia="zh-CN" w:bidi="ar-SA"/>
              </w:rPr>
              <w:t>3</w:t>
            </w:r>
            <w:r>
              <w:rPr>
                <w:rFonts w:hint="default" w:ascii="Times New Roman" w:hAnsi="Times New Roman" w:eastAsia="宋体" w:cs="Times New Roman"/>
                <w:b/>
                <w:bCs/>
                <w:color w:val="auto"/>
                <w:kern w:val="2"/>
                <w:sz w:val="24"/>
                <w:szCs w:val="24"/>
                <w:lang w:val="en-US" w:eastAsia="zh-CN" w:bidi="ar-SA"/>
              </w:rPr>
              <w:t>）</w:t>
            </w:r>
            <w:r>
              <w:rPr>
                <w:rFonts w:hint="default" w:ascii="Times New Roman" w:hAnsi="Times New Roman" w:cs="Times New Roman"/>
                <w:b/>
                <w:bCs/>
                <w:color w:val="auto"/>
                <w:sz w:val="24"/>
                <w:highlight w:val="none"/>
                <w:lang w:val="en-US" w:eastAsia="zh-CN"/>
              </w:rPr>
              <w:t>废水</w:t>
            </w:r>
            <w:r>
              <w:rPr>
                <w:rFonts w:hint="eastAsia" w:ascii="Times New Roman" w:hAnsi="Times New Roman" w:cs="Times New Roman"/>
                <w:b/>
                <w:bCs/>
                <w:color w:val="auto"/>
                <w:sz w:val="24"/>
                <w:highlight w:val="none"/>
                <w:lang w:val="en-US" w:eastAsia="zh-CN"/>
              </w:rPr>
              <w:t>监测要求</w:t>
            </w:r>
          </w:p>
          <w:p w14:paraId="7FB449CB">
            <w:pPr>
              <w:widowControl/>
              <w:snapToGrid w:val="0"/>
              <w:spacing w:line="360" w:lineRule="auto"/>
              <w:ind w:firstLine="476" w:firstLineChars="200"/>
              <w:jc w:val="left"/>
              <w:rPr>
                <w:rFonts w:hint="eastAsia" w:ascii="Times New Roman" w:hAnsi="Times New Roman" w:eastAsia="宋体" w:cs="宋体"/>
                <w:color w:val="auto"/>
                <w:spacing w:val="-1"/>
                <w:kern w:val="2"/>
                <w:sz w:val="24"/>
                <w:szCs w:val="24"/>
                <w:lang w:val="en-US" w:eastAsia="zh-CN" w:bidi="ar-SA"/>
              </w:rPr>
            </w:pPr>
            <w:r>
              <w:rPr>
                <w:rFonts w:hint="eastAsia" w:ascii="Times New Roman" w:hAnsi="Times New Roman" w:eastAsia="宋体" w:cs="宋体"/>
                <w:color w:val="auto"/>
                <w:spacing w:val="-1"/>
                <w:sz w:val="24"/>
                <w:szCs w:val="24"/>
                <w:lang w:val="en-US" w:eastAsia="zh-CN"/>
              </w:rPr>
              <w:t>项目运营过程中应委托有资质的监测单位进行项目环</w:t>
            </w:r>
            <w:r>
              <w:rPr>
                <w:rFonts w:hint="eastAsia" w:ascii="Times New Roman" w:hAnsi="Times New Roman" w:eastAsia="宋体" w:cs="宋体"/>
                <w:color w:val="auto"/>
                <w:spacing w:val="-1"/>
                <w:kern w:val="2"/>
                <w:sz w:val="24"/>
                <w:szCs w:val="24"/>
                <w:lang w:val="en-US" w:eastAsia="zh-CN" w:bidi="ar-SA"/>
              </w:rPr>
              <w:t>境监测，参照《排污单位自行监测技术指南总则》（HJ819-2017），各监测点位、监测因子、监测频次见下表：</w:t>
            </w:r>
          </w:p>
          <w:p w14:paraId="321E84B1">
            <w:pPr>
              <w:pStyle w:val="29"/>
              <w:keepNext w:val="0"/>
              <w:keepLines w:val="0"/>
              <w:suppressLineNumbers w:val="0"/>
              <w:bidi w:val="0"/>
              <w:spacing w:beforeAutospacing="0" w:after="0" w:afterAutospacing="0"/>
              <w:ind w:left="0" w:right="0"/>
              <w:rPr>
                <w:rFonts w:hint="eastAsia" w:ascii="Times New Roman" w:hAnsi="Times New Roman" w:eastAsia="宋体" w:cs="Times New Roman"/>
                <w:b/>
                <w:bCs/>
                <w:kern w:val="2"/>
                <w:sz w:val="24"/>
                <w:szCs w:val="24"/>
                <w:u w:val="none"/>
                <w:lang w:val="en-US" w:eastAsia="zh-CN" w:bidi="ar-SA"/>
              </w:rPr>
            </w:pPr>
            <w:r>
              <w:rPr>
                <w:rFonts w:hint="eastAsia" w:ascii="Times New Roman" w:hAnsi="Times New Roman" w:eastAsia="宋体" w:cs="Times New Roman"/>
                <w:b/>
                <w:bCs/>
                <w:kern w:val="2"/>
                <w:sz w:val="24"/>
                <w:szCs w:val="24"/>
                <w:u w:val="none"/>
                <w:lang w:val="en-US" w:eastAsia="zh-CN" w:bidi="ar-SA"/>
              </w:rPr>
              <w:t>表4-5 项目运营期废水监测计划表</w:t>
            </w:r>
          </w:p>
          <w:p w14:paraId="5ABF43D0">
            <w:pPr>
              <w:spacing w:line="128" w:lineRule="exact"/>
              <w:rPr>
                <w:rFonts w:hint="eastAsia" w:ascii="Times New Roman" w:hAnsi="Times New Roman" w:eastAsia="宋体" w:cs="宋体"/>
                <w:color w:val="auto"/>
                <w:spacing w:val="-1"/>
                <w:kern w:val="2"/>
                <w:sz w:val="24"/>
                <w:szCs w:val="24"/>
                <w:lang w:val="en-US" w:eastAsia="zh-CN" w:bidi="ar-SA"/>
              </w:rPr>
            </w:pPr>
          </w:p>
          <w:tbl>
            <w:tblPr>
              <w:tblStyle w:val="53"/>
              <w:tblW w:w="813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5"/>
              <w:gridCol w:w="1311"/>
              <w:gridCol w:w="1861"/>
              <w:gridCol w:w="1077"/>
              <w:gridCol w:w="2926"/>
            </w:tblGrid>
            <w:tr w14:paraId="07E94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3" w:hRule="atLeast"/>
                <w:jc w:val="center"/>
              </w:trPr>
              <w:tc>
                <w:tcPr>
                  <w:tcW w:w="955" w:type="dxa"/>
                  <w:vAlign w:val="center"/>
                </w:tcPr>
                <w:p w14:paraId="6E08F09A">
                  <w:pPr>
                    <w:spacing w:line="240" w:lineRule="auto"/>
                    <w:ind w:firstLine="0" w:firstLineChars="0"/>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监测对象</w:t>
                  </w:r>
                </w:p>
              </w:tc>
              <w:tc>
                <w:tcPr>
                  <w:tcW w:w="1311" w:type="dxa"/>
                  <w:vAlign w:val="center"/>
                </w:tcPr>
                <w:p w14:paraId="7C0E7A96">
                  <w:pPr>
                    <w:spacing w:line="240" w:lineRule="auto"/>
                    <w:ind w:firstLine="0" w:firstLineChars="0"/>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监测点位</w:t>
                  </w:r>
                </w:p>
              </w:tc>
              <w:tc>
                <w:tcPr>
                  <w:tcW w:w="1861" w:type="dxa"/>
                  <w:vAlign w:val="center"/>
                </w:tcPr>
                <w:p w14:paraId="7C276047">
                  <w:pPr>
                    <w:spacing w:line="240" w:lineRule="auto"/>
                    <w:ind w:firstLine="0" w:firstLineChars="0"/>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监测项目</w:t>
                  </w:r>
                </w:p>
              </w:tc>
              <w:tc>
                <w:tcPr>
                  <w:tcW w:w="1077" w:type="dxa"/>
                  <w:vAlign w:val="center"/>
                </w:tcPr>
                <w:p w14:paraId="77CA0A3B">
                  <w:pPr>
                    <w:spacing w:line="240" w:lineRule="auto"/>
                    <w:ind w:firstLine="0" w:firstLineChars="0"/>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监测频率</w:t>
                  </w:r>
                </w:p>
              </w:tc>
              <w:tc>
                <w:tcPr>
                  <w:tcW w:w="2926" w:type="dxa"/>
                  <w:vAlign w:val="center"/>
                </w:tcPr>
                <w:p w14:paraId="621A481C">
                  <w:pPr>
                    <w:spacing w:line="240" w:lineRule="auto"/>
                    <w:ind w:firstLine="0" w:firstLineChars="0"/>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执行标准</w:t>
                  </w:r>
                </w:p>
              </w:tc>
            </w:tr>
            <w:tr w14:paraId="69273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3" w:hRule="atLeast"/>
                <w:jc w:val="center"/>
              </w:trPr>
              <w:tc>
                <w:tcPr>
                  <w:tcW w:w="955" w:type="dxa"/>
                  <w:vAlign w:val="center"/>
                </w:tcPr>
                <w:p w14:paraId="07C9061D">
                  <w:pPr>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废水</w:t>
                  </w:r>
                </w:p>
              </w:tc>
              <w:tc>
                <w:tcPr>
                  <w:tcW w:w="1311" w:type="dxa"/>
                  <w:vAlign w:val="center"/>
                </w:tcPr>
                <w:p w14:paraId="00A501F6">
                  <w:pPr>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化粪池出口</w:t>
                  </w:r>
                </w:p>
              </w:tc>
              <w:tc>
                <w:tcPr>
                  <w:tcW w:w="1861" w:type="dxa"/>
                  <w:vAlign w:val="center"/>
                </w:tcPr>
                <w:p w14:paraId="4326D00F">
                  <w:pPr>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pH、COD</w:t>
                  </w:r>
                  <w:r>
                    <w:rPr>
                      <w:rFonts w:hint="eastAsia" w:ascii="Times New Roman" w:hAnsi="Times New Roman" w:eastAsia="宋体" w:cs="宋体"/>
                      <w:color w:val="auto"/>
                      <w:sz w:val="21"/>
                      <w:szCs w:val="21"/>
                      <w:vertAlign w:val="subscript"/>
                      <w:lang w:val="en-US" w:eastAsia="zh-CN"/>
                    </w:rPr>
                    <w:t>Cr</w:t>
                  </w:r>
                  <w:r>
                    <w:rPr>
                      <w:rFonts w:hint="eastAsia" w:ascii="Times New Roman" w:hAnsi="Times New Roman" w:eastAsia="宋体" w:cs="宋体"/>
                      <w:color w:val="auto"/>
                      <w:sz w:val="21"/>
                      <w:szCs w:val="21"/>
                      <w:lang w:val="en-US" w:eastAsia="zh-CN"/>
                    </w:rPr>
                    <w:t>、BOD</w:t>
                  </w:r>
                  <w:r>
                    <w:rPr>
                      <w:rFonts w:hint="eastAsia" w:ascii="Times New Roman" w:hAnsi="Times New Roman" w:eastAsia="宋体" w:cs="宋体"/>
                      <w:color w:val="auto"/>
                      <w:sz w:val="21"/>
                      <w:szCs w:val="21"/>
                      <w:vertAlign w:val="subscript"/>
                      <w:lang w:val="en-US" w:eastAsia="zh-CN"/>
                    </w:rPr>
                    <w:t>5</w:t>
                  </w:r>
                  <w:r>
                    <w:rPr>
                      <w:rFonts w:hint="eastAsia" w:ascii="Times New Roman" w:hAnsi="Times New Roman" w:eastAsia="宋体" w:cs="宋体"/>
                      <w:color w:val="auto"/>
                      <w:sz w:val="21"/>
                      <w:szCs w:val="21"/>
                      <w:lang w:val="en-US" w:eastAsia="zh-CN"/>
                    </w:rPr>
                    <w:t>、SS、氨氮、TP、TN、LAS</w:t>
                  </w:r>
                </w:p>
              </w:tc>
              <w:tc>
                <w:tcPr>
                  <w:tcW w:w="1077" w:type="dxa"/>
                  <w:vAlign w:val="center"/>
                </w:tcPr>
                <w:p w14:paraId="75A40B36">
                  <w:pPr>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1次/年</w:t>
                  </w:r>
                </w:p>
              </w:tc>
              <w:tc>
                <w:tcPr>
                  <w:tcW w:w="2926" w:type="dxa"/>
                  <w:vAlign w:val="center"/>
                </w:tcPr>
                <w:p w14:paraId="2D94CE8D">
                  <w:pPr>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《污水排入城镇下水道水质标准》（GB/T31962-2015）表1中A级标准</w:t>
                  </w:r>
                </w:p>
              </w:tc>
            </w:tr>
          </w:tbl>
          <w:p w14:paraId="30A0E625">
            <w:pPr>
              <w:pStyle w:val="12"/>
              <w:rPr>
                <w:rFonts w:hint="default" w:ascii="Times New Roman" w:hAnsi="Times New Roman" w:cs="Times New Roman"/>
                <w:b/>
                <w:bCs/>
                <w:sz w:val="24"/>
                <w:lang w:val="en-US" w:eastAsia="zh-CN"/>
              </w:rPr>
            </w:pPr>
            <w:r>
              <w:rPr>
                <w:rFonts w:hint="default" w:ascii="Times New Roman" w:hAnsi="Times New Roman" w:cs="Times New Roman"/>
                <w:b/>
                <w:bCs/>
                <w:sz w:val="24"/>
                <w:lang w:val="en-US" w:eastAsia="zh-CN"/>
              </w:rPr>
              <w:t>3、噪声</w:t>
            </w:r>
          </w:p>
          <w:p w14:paraId="42F086AB">
            <w:pPr>
              <w:numPr>
                <w:ilvl w:val="0"/>
                <w:numId w:val="0"/>
              </w:numPr>
              <w:bidi w:val="0"/>
              <w:ind w:firstLine="482" w:firstLineChars="200"/>
              <w:rPr>
                <w:rFonts w:hint="default" w:ascii="Times New Roman" w:hAnsi="Times New Roman" w:cs="Times New Roman"/>
                <w:b/>
                <w:bCs/>
                <w:lang w:val="en-US" w:eastAsia="zh-CN"/>
              </w:rPr>
            </w:pPr>
            <w:r>
              <w:rPr>
                <w:rFonts w:hint="default" w:ascii="Times New Roman" w:hAnsi="Times New Roman" w:eastAsia="宋体" w:cs="Times New Roman"/>
                <w:b/>
                <w:bCs/>
                <w:kern w:val="2"/>
                <w:sz w:val="24"/>
                <w:szCs w:val="24"/>
                <w:lang w:val="en-US" w:eastAsia="zh-CN" w:bidi="ar-SA"/>
              </w:rPr>
              <w:t>（1）</w:t>
            </w:r>
            <w:r>
              <w:rPr>
                <w:rFonts w:hint="default" w:ascii="Times New Roman" w:hAnsi="Times New Roman" w:cs="Times New Roman"/>
                <w:b/>
                <w:bCs/>
                <w:lang w:val="en-US" w:eastAsia="zh-CN"/>
              </w:rPr>
              <w:t>源强分析及治理措施</w:t>
            </w:r>
          </w:p>
          <w:p w14:paraId="34C4627C">
            <w:pPr>
              <w:rPr>
                <w:rFonts w:hint="default" w:ascii="Times New Roman" w:hAnsi="Times New Roman" w:eastAsia="宋体" w:cs="Times New Roman"/>
                <w:b w:val="0"/>
                <w:bCs w:val="0"/>
                <w:color w:val="auto"/>
                <w:sz w:val="24"/>
                <w:u w:val="none"/>
                <w:lang w:val="en-US" w:eastAsia="zh-CN"/>
              </w:rPr>
            </w:pPr>
            <w:r>
              <w:rPr>
                <w:rFonts w:hint="default" w:ascii="Times New Roman" w:hAnsi="Times New Roman" w:cs="Times New Roman"/>
                <w:color w:val="auto"/>
                <w:highlight w:val="none"/>
                <w:lang w:val="en-US" w:eastAsia="zh-CN"/>
              </w:rPr>
              <w:t>本项目的噪声主要为</w:t>
            </w:r>
            <w:r>
              <w:rPr>
                <w:rFonts w:hint="eastAsia" w:cs="Times New Roman"/>
                <w:color w:val="auto"/>
                <w:highlight w:val="none"/>
                <w:lang w:val="en-US" w:eastAsia="zh-CN"/>
              </w:rPr>
              <w:t>运输车辆及装载机</w:t>
            </w:r>
            <w:r>
              <w:rPr>
                <w:rFonts w:hint="default" w:ascii="Times New Roman" w:hAnsi="Times New Roman" w:cs="Times New Roman"/>
                <w:color w:val="auto"/>
                <w:highlight w:val="none"/>
                <w:lang w:val="en-US" w:eastAsia="zh-CN"/>
              </w:rPr>
              <w:t>所产生，</w:t>
            </w:r>
            <w:r>
              <w:rPr>
                <w:rFonts w:hint="default" w:ascii="Times New Roman" w:hAnsi="Times New Roman" w:cs="Times New Roman"/>
                <w:lang w:val="en-US" w:eastAsia="zh-CN"/>
              </w:rPr>
              <w:t>项目各设备的噪声源强见表</w:t>
            </w:r>
            <w:r>
              <w:rPr>
                <w:rFonts w:hint="eastAsia" w:cs="Times New Roman"/>
                <w:highlight w:val="none"/>
                <w:lang w:val="en-US" w:eastAsia="zh-CN"/>
              </w:rPr>
              <w:t>下表</w:t>
            </w:r>
            <w:r>
              <w:rPr>
                <w:rFonts w:hint="default" w:ascii="Times New Roman" w:hAnsi="Times New Roman" w:cs="Times New Roman"/>
                <w:highlight w:val="none"/>
                <w:lang w:val="en-US" w:eastAsia="zh-CN"/>
              </w:rPr>
              <w:t>。</w:t>
            </w:r>
          </w:p>
        </w:tc>
      </w:tr>
    </w:tbl>
    <w:p w14:paraId="698643BA">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4"/>
        <w:tblW w:w="132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12805"/>
      </w:tblGrid>
      <w:tr w14:paraId="1F605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tcPr>
          <w:p w14:paraId="76C45931">
            <w:pPr>
              <w:pStyle w:val="12"/>
              <w:rPr>
                <w:rFonts w:hint="eastAsia"/>
                <w:vertAlign w:val="baseline"/>
              </w:rPr>
            </w:pPr>
          </w:p>
        </w:tc>
        <w:tc>
          <w:tcPr>
            <w:tcW w:w="12805" w:type="dxa"/>
          </w:tcPr>
          <w:tbl>
            <w:tblPr>
              <w:tblStyle w:val="24"/>
              <w:tblW w:w="1258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89"/>
            </w:tblGrid>
            <w:tr w14:paraId="0E6E5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89" w:type="dxa"/>
                  <w:vAlign w:val="center"/>
                </w:tcPr>
                <w:p w14:paraId="3C5C55E5">
                  <w:pPr>
                    <w:spacing w:line="240" w:lineRule="auto"/>
                    <w:ind w:firstLine="0" w:firstLineChars="0"/>
                    <w:jc w:val="center"/>
                    <w:rPr>
                      <w:rFonts w:hint="eastAsia" w:ascii="Times New Roman" w:hAnsi="Times New Roman" w:cs="Times New Roman" w:eastAsiaTheme="minorEastAsia"/>
                      <w:b/>
                      <w:color w:val="auto"/>
                      <w:sz w:val="21"/>
                      <w:szCs w:val="21"/>
                      <w:lang w:val="en-US" w:eastAsia="zh-CN"/>
                    </w:rPr>
                  </w:pPr>
                  <w:r>
                    <w:rPr>
                      <w:rFonts w:hint="eastAsia" w:ascii="Times New Roman" w:hAnsi="Times New Roman" w:cs="Times New Roman" w:eastAsiaTheme="minorEastAsia"/>
                      <w:b/>
                      <w:color w:val="auto"/>
                      <w:sz w:val="21"/>
                      <w:szCs w:val="21"/>
                      <w:lang w:val="en-US" w:eastAsia="zh-CN"/>
                    </w:rPr>
                    <w:t>表4-6   工业企业噪声源强调查清单（室外声源）</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4"/>
                    <w:gridCol w:w="2398"/>
                    <w:gridCol w:w="574"/>
                    <w:gridCol w:w="643"/>
                    <w:gridCol w:w="715"/>
                    <w:gridCol w:w="598"/>
                    <w:gridCol w:w="2858"/>
                    <w:gridCol w:w="1377"/>
                    <w:gridCol w:w="1526"/>
                    <w:gridCol w:w="1093"/>
                  </w:tblGrid>
                  <w:tr w14:paraId="1910F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trPr>
                    <w:tc>
                      <w:tcPr>
                        <w:tcW w:w="232" w:type="pct"/>
                        <w:vMerge w:val="restart"/>
                        <w:vAlign w:val="center"/>
                      </w:tcPr>
                      <w:p w14:paraId="3B3BB55B">
                        <w:pPr>
                          <w:spacing w:line="240" w:lineRule="auto"/>
                          <w:ind w:firstLine="0" w:firstLineChars="0"/>
                          <w:jc w:val="center"/>
                          <w:rPr>
                            <w:rFonts w:ascii="Times New Roman" w:hAnsi="Times New Roman" w:cs="Times New Roman" w:eastAsiaTheme="minorEastAsia"/>
                            <w:b/>
                            <w:color w:val="auto"/>
                            <w:sz w:val="21"/>
                            <w:szCs w:val="21"/>
                          </w:rPr>
                        </w:pPr>
                        <w:r>
                          <w:rPr>
                            <w:rFonts w:ascii="Times New Roman" w:hAnsi="Times New Roman" w:cs="Times New Roman" w:eastAsiaTheme="minorEastAsia"/>
                            <w:b/>
                            <w:color w:val="auto"/>
                            <w:sz w:val="21"/>
                            <w:szCs w:val="21"/>
                          </w:rPr>
                          <w:t>序号</w:t>
                        </w:r>
                      </w:p>
                    </w:tc>
                    <w:tc>
                      <w:tcPr>
                        <w:tcW w:w="970" w:type="pct"/>
                        <w:vMerge w:val="restart"/>
                        <w:vAlign w:val="center"/>
                      </w:tcPr>
                      <w:p w14:paraId="1E6A3E39">
                        <w:pPr>
                          <w:spacing w:line="240" w:lineRule="auto"/>
                          <w:ind w:firstLine="0" w:firstLineChars="0"/>
                          <w:jc w:val="center"/>
                          <w:rPr>
                            <w:rFonts w:ascii="Times New Roman" w:hAnsi="Times New Roman" w:cs="Times New Roman" w:eastAsiaTheme="minorEastAsia"/>
                            <w:b/>
                            <w:color w:val="auto"/>
                            <w:sz w:val="21"/>
                            <w:szCs w:val="21"/>
                          </w:rPr>
                        </w:pPr>
                        <w:r>
                          <w:rPr>
                            <w:rFonts w:ascii="Times New Roman" w:hAnsi="Times New Roman" w:cs="Times New Roman" w:eastAsiaTheme="minorEastAsia"/>
                            <w:b/>
                            <w:color w:val="auto"/>
                            <w:sz w:val="21"/>
                            <w:szCs w:val="21"/>
                          </w:rPr>
                          <w:t>声源名称</w:t>
                        </w:r>
                      </w:p>
                    </w:tc>
                    <w:tc>
                      <w:tcPr>
                        <w:tcW w:w="232" w:type="pct"/>
                        <w:vMerge w:val="restart"/>
                        <w:vAlign w:val="center"/>
                      </w:tcPr>
                      <w:p w14:paraId="7C171EEC">
                        <w:pPr>
                          <w:spacing w:line="240" w:lineRule="auto"/>
                          <w:ind w:firstLine="0" w:firstLineChars="0"/>
                          <w:jc w:val="center"/>
                          <w:rPr>
                            <w:rFonts w:ascii="Times New Roman" w:hAnsi="Times New Roman" w:cs="Times New Roman" w:eastAsiaTheme="minorEastAsia"/>
                            <w:b/>
                            <w:color w:val="auto"/>
                            <w:sz w:val="21"/>
                            <w:szCs w:val="21"/>
                          </w:rPr>
                        </w:pPr>
                        <w:r>
                          <w:rPr>
                            <w:rFonts w:ascii="Times New Roman" w:hAnsi="Times New Roman" w:cs="Times New Roman" w:eastAsiaTheme="minorEastAsia"/>
                            <w:b/>
                            <w:color w:val="auto"/>
                            <w:sz w:val="21"/>
                            <w:szCs w:val="21"/>
                          </w:rPr>
                          <w:t>型号</w:t>
                        </w:r>
                      </w:p>
                    </w:tc>
                    <w:tc>
                      <w:tcPr>
                        <w:tcW w:w="791" w:type="pct"/>
                        <w:gridSpan w:val="3"/>
                        <w:vAlign w:val="center"/>
                      </w:tcPr>
                      <w:p w14:paraId="60CFD63C">
                        <w:pPr>
                          <w:spacing w:line="240" w:lineRule="auto"/>
                          <w:ind w:firstLine="0" w:firstLineChars="0"/>
                          <w:jc w:val="center"/>
                          <w:rPr>
                            <w:rFonts w:ascii="Times New Roman" w:hAnsi="Times New Roman" w:cs="Times New Roman" w:eastAsiaTheme="minorEastAsia"/>
                            <w:b/>
                            <w:color w:val="auto"/>
                            <w:sz w:val="21"/>
                            <w:szCs w:val="21"/>
                          </w:rPr>
                        </w:pPr>
                        <w:r>
                          <w:rPr>
                            <w:rFonts w:ascii="Times New Roman" w:hAnsi="Times New Roman" w:cs="Times New Roman" w:eastAsiaTheme="minorEastAsia"/>
                            <w:b/>
                            <w:color w:val="auto"/>
                            <w:sz w:val="21"/>
                            <w:szCs w:val="21"/>
                          </w:rPr>
                          <w:t>空间相对位置/m</w:t>
                        </w:r>
                      </w:p>
                    </w:tc>
                    <w:tc>
                      <w:tcPr>
                        <w:tcW w:w="1713" w:type="pct"/>
                        <w:gridSpan w:val="2"/>
                        <w:vAlign w:val="center"/>
                      </w:tcPr>
                      <w:p w14:paraId="01B2FF21">
                        <w:pPr>
                          <w:spacing w:line="240" w:lineRule="auto"/>
                          <w:ind w:firstLine="0" w:firstLineChars="0"/>
                          <w:jc w:val="center"/>
                          <w:rPr>
                            <w:rFonts w:ascii="Times New Roman" w:hAnsi="Times New Roman" w:cs="Times New Roman" w:eastAsiaTheme="minorEastAsia"/>
                            <w:b/>
                            <w:color w:val="auto"/>
                            <w:sz w:val="21"/>
                            <w:szCs w:val="21"/>
                          </w:rPr>
                        </w:pPr>
                        <w:r>
                          <w:rPr>
                            <w:rFonts w:ascii="Times New Roman" w:hAnsi="Times New Roman" w:cs="Times New Roman" w:eastAsiaTheme="minorEastAsia"/>
                            <w:b/>
                            <w:color w:val="auto"/>
                            <w:sz w:val="21"/>
                            <w:szCs w:val="21"/>
                          </w:rPr>
                          <w:t>声源源强（任选一种）</w:t>
                        </w:r>
                      </w:p>
                    </w:tc>
                    <w:tc>
                      <w:tcPr>
                        <w:tcW w:w="617" w:type="pct"/>
                        <w:vMerge w:val="restart"/>
                        <w:vAlign w:val="center"/>
                      </w:tcPr>
                      <w:p w14:paraId="71133DC6">
                        <w:pPr>
                          <w:spacing w:line="240" w:lineRule="auto"/>
                          <w:ind w:firstLine="0" w:firstLineChars="0"/>
                          <w:jc w:val="center"/>
                          <w:rPr>
                            <w:rFonts w:ascii="Times New Roman" w:hAnsi="Times New Roman" w:cs="Times New Roman" w:eastAsiaTheme="minorEastAsia"/>
                            <w:b/>
                            <w:color w:val="auto"/>
                            <w:sz w:val="21"/>
                            <w:szCs w:val="21"/>
                          </w:rPr>
                        </w:pPr>
                        <w:r>
                          <w:rPr>
                            <w:rFonts w:ascii="Times New Roman" w:hAnsi="Times New Roman" w:cs="Times New Roman" w:eastAsiaTheme="minorEastAsia"/>
                            <w:b/>
                            <w:color w:val="auto"/>
                            <w:sz w:val="21"/>
                            <w:szCs w:val="21"/>
                          </w:rPr>
                          <w:t>声源控制措施</w:t>
                        </w:r>
                      </w:p>
                    </w:tc>
                    <w:tc>
                      <w:tcPr>
                        <w:tcW w:w="442" w:type="pct"/>
                        <w:vMerge w:val="restart"/>
                        <w:vAlign w:val="center"/>
                      </w:tcPr>
                      <w:p w14:paraId="564F714F">
                        <w:pPr>
                          <w:spacing w:line="240" w:lineRule="auto"/>
                          <w:ind w:firstLine="0" w:firstLineChars="0"/>
                          <w:jc w:val="center"/>
                          <w:rPr>
                            <w:rFonts w:ascii="Times New Roman" w:hAnsi="Times New Roman" w:cs="Times New Roman" w:eastAsiaTheme="minorEastAsia"/>
                            <w:b/>
                            <w:color w:val="auto"/>
                            <w:sz w:val="21"/>
                            <w:szCs w:val="21"/>
                          </w:rPr>
                        </w:pPr>
                        <w:r>
                          <w:rPr>
                            <w:rFonts w:ascii="Times New Roman" w:hAnsi="Times New Roman" w:cs="Times New Roman" w:eastAsiaTheme="minorEastAsia"/>
                            <w:b/>
                            <w:color w:val="auto"/>
                            <w:sz w:val="21"/>
                            <w:szCs w:val="21"/>
                          </w:rPr>
                          <w:t>运行时段</w:t>
                        </w:r>
                      </w:p>
                    </w:tc>
                  </w:tr>
                  <w:tr w14:paraId="6FCB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32" w:type="pct"/>
                        <w:vMerge w:val="continue"/>
                        <w:shd w:val="clear" w:color="auto" w:fill="FFFFFF"/>
                        <w:vAlign w:val="center"/>
                      </w:tcPr>
                      <w:p w14:paraId="29B2593B">
                        <w:pPr>
                          <w:spacing w:line="240" w:lineRule="auto"/>
                          <w:ind w:firstLine="0" w:firstLineChars="0"/>
                          <w:jc w:val="center"/>
                          <w:rPr>
                            <w:rFonts w:ascii="Times New Roman" w:hAnsi="Times New Roman" w:cs="Times New Roman" w:eastAsiaTheme="minorEastAsia"/>
                            <w:b/>
                            <w:color w:val="auto"/>
                            <w:sz w:val="21"/>
                            <w:szCs w:val="21"/>
                          </w:rPr>
                        </w:pPr>
                      </w:p>
                    </w:tc>
                    <w:tc>
                      <w:tcPr>
                        <w:tcW w:w="970" w:type="pct"/>
                        <w:vMerge w:val="continue"/>
                        <w:shd w:val="clear" w:color="auto" w:fill="FFFFFF"/>
                        <w:vAlign w:val="center"/>
                      </w:tcPr>
                      <w:p w14:paraId="15784A7D">
                        <w:pPr>
                          <w:spacing w:line="240" w:lineRule="auto"/>
                          <w:ind w:firstLine="0" w:firstLineChars="0"/>
                          <w:jc w:val="center"/>
                          <w:rPr>
                            <w:rFonts w:ascii="Times New Roman" w:hAnsi="Times New Roman" w:cs="Times New Roman" w:eastAsiaTheme="minorEastAsia"/>
                            <w:b/>
                            <w:color w:val="auto"/>
                            <w:sz w:val="21"/>
                            <w:szCs w:val="21"/>
                          </w:rPr>
                        </w:pPr>
                      </w:p>
                    </w:tc>
                    <w:tc>
                      <w:tcPr>
                        <w:tcW w:w="232" w:type="pct"/>
                        <w:vMerge w:val="continue"/>
                        <w:shd w:val="clear" w:color="auto" w:fill="FFFFFF"/>
                        <w:vAlign w:val="center"/>
                      </w:tcPr>
                      <w:p w14:paraId="5BEDB701">
                        <w:pPr>
                          <w:spacing w:line="240" w:lineRule="auto"/>
                          <w:ind w:firstLine="0" w:firstLineChars="0"/>
                          <w:jc w:val="center"/>
                          <w:rPr>
                            <w:rFonts w:ascii="Times New Roman" w:hAnsi="Times New Roman" w:cs="Times New Roman" w:eastAsiaTheme="minorEastAsia"/>
                            <w:b/>
                            <w:color w:val="auto"/>
                            <w:sz w:val="21"/>
                            <w:szCs w:val="21"/>
                          </w:rPr>
                        </w:pPr>
                      </w:p>
                    </w:tc>
                    <w:tc>
                      <w:tcPr>
                        <w:tcW w:w="260" w:type="pct"/>
                        <w:shd w:val="clear" w:color="auto" w:fill="FFFFFF"/>
                        <w:vAlign w:val="center"/>
                      </w:tcPr>
                      <w:p w14:paraId="164434D9">
                        <w:pPr>
                          <w:spacing w:line="240" w:lineRule="auto"/>
                          <w:ind w:firstLine="0" w:firstLineChars="0"/>
                          <w:jc w:val="center"/>
                          <w:rPr>
                            <w:rFonts w:ascii="Times New Roman" w:hAnsi="Times New Roman" w:cs="Times New Roman" w:eastAsiaTheme="minorEastAsia"/>
                            <w:b/>
                            <w:color w:val="auto"/>
                            <w:sz w:val="21"/>
                            <w:szCs w:val="21"/>
                          </w:rPr>
                        </w:pPr>
                        <w:r>
                          <w:rPr>
                            <w:rFonts w:ascii="Times New Roman" w:hAnsi="Times New Roman" w:cs="Times New Roman" w:eastAsiaTheme="minorEastAsia"/>
                            <w:b/>
                            <w:color w:val="auto"/>
                            <w:sz w:val="21"/>
                            <w:szCs w:val="21"/>
                          </w:rPr>
                          <w:t>X</w:t>
                        </w:r>
                      </w:p>
                    </w:tc>
                    <w:tc>
                      <w:tcPr>
                        <w:tcW w:w="289" w:type="pct"/>
                        <w:shd w:val="clear" w:color="auto" w:fill="FFFFFF"/>
                        <w:vAlign w:val="center"/>
                      </w:tcPr>
                      <w:p w14:paraId="4CCBDA99">
                        <w:pPr>
                          <w:spacing w:line="240" w:lineRule="auto"/>
                          <w:ind w:firstLine="0" w:firstLineChars="0"/>
                          <w:jc w:val="center"/>
                          <w:rPr>
                            <w:rFonts w:ascii="Times New Roman" w:hAnsi="Times New Roman" w:cs="Times New Roman" w:eastAsiaTheme="minorEastAsia"/>
                            <w:b/>
                            <w:color w:val="auto"/>
                            <w:sz w:val="21"/>
                            <w:szCs w:val="21"/>
                          </w:rPr>
                        </w:pPr>
                        <w:r>
                          <w:rPr>
                            <w:rFonts w:ascii="Times New Roman" w:hAnsi="Times New Roman" w:cs="Times New Roman" w:eastAsiaTheme="minorEastAsia"/>
                            <w:b/>
                            <w:color w:val="auto"/>
                            <w:sz w:val="21"/>
                            <w:szCs w:val="21"/>
                          </w:rPr>
                          <w:t>Y</w:t>
                        </w:r>
                      </w:p>
                    </w:tc>
                    <w:tc>
                      <w:tcPr>
                        <w:tcW w:w="242" w:type="pct"/>
                        <w:shd w:val="clear" w:color="auto" w:fill="FFFFFF"/>
                        <w:vAlign w:val="center"/>
                      </w:tcPr>
                      <w:p w14:paraId="2700D0D9">
                        <w:pPr>
                          <w:spacing w:line="240" w:lineRule="auto"/>
                          <w:ind w:firstLine="0" w:firstLineChars="0"/>
                          <w:jc w:val="center"/>
                          <w:rPr>
                            <w:rFonts w:ascii="Times New Roman" w:hAnsi="Times New Roman" w:cs="Times New Roman" w:eastAsiaTheme="minorEastAsia"/>
                            <w:b/>
                            <w:color w:val="auto"/>
                            <w:sz w:val="21"/>
                            <w:szCs w:val="21"/>
                          </w:rPr>
                        </w:pPr>
                        <w:r>
                          <w:rPr>
                            <w:rFonts w:ascii="Times New Roman" w:hAnsi="Times New Roman" w:cs="Times New Roman" w:eastAsiaTheme="minorEastAsia"/>
                            <w:b/>
                            <w:color w:val="auto"/>
                            <w:sz w:val="21"/>
                            <w:szCs w:val="21"/>
                          </w:rPr>
                          <w:t>Z</w:t>
                        </w:r>
                      </w:p>
                    </w:tc>
                    <w:tc>
                      <w:tcPr>
                        <w:tcW w:w="1156" w:type="pct"/>
                        <w:shd w:val="clear" w:color="auto" w:fill="FFFFFF"/>
                        <w:vAlign w:val="center"/>
                      </w:tcPr>
                      <w:p w14:paraId="7E252B21">
                        <w:pPr>
                          <w:spacing w:line="240" w:lineRule="auto"/>
                          <w:ind w:firstLine="0" w:firstLineChars="0"/>
                          <w:jc w:val="center"/>
                          <w:rPr>
                            <w:rFonts w:ascii="Times New Roman" w:hAnsi="Times New Roman" w:cs="Times New Roman" w:eastAsiaTheme="minorEastAsia"/>
                            <w:b/>
                            <w:color w:val="auto"/>
                            <w:sz w:val="21"/>
                            <w:szCs w:val="21"/>
                          </w:rPr>
                        </w:pPr>
                        <w:r>
                          <w:rPr>
                            <w:rFonts w:ascii="Times New Roman" w:hAnsi="Times New Roman" w:cs="Times New Roman" w:eastAsiaTheme="minorEastAsia"/>
                            <w:b/>
                            <w:color w:val="auto"/>
                            <w:sz w:val="21"/>
                            <w:szCs w:val="21"/>
                          </w:rPr>
                          <w:t>（声压级/距声源距离）/（dB(A)/m）</w:t>
                        </w:r>
                      </w:p>
                    </w:tc>
                    <w:tc>
                      <w:tcPr>
                        <w:tcW w:w="556" w:type="pct"/>
                        <w:shd w:val="clear" w:color="auto" w:fill="FFFFFF"/>
                        <w:vAlign w:val="center"/>
                      </w:tcPr>
                      <w:p w14:paraId="584375C1">
                        <w:pPr>
                          <w:spacing w:line="240" w:lineRule="auto"/>
                          <w:ind w:firstLine="0" w:firstLineChars="0"/>
                          <w:jc w:val="center"/>
                          <w:rPr>
                            <w:rFonts w:ascii="Times New Roman" w:hAnsi="Times New Roman" w:cs="Times New Roman" w:eastAsiaTheme="minorEastAsia"/>
                            <w:b/>
                            <w:color w:val="auto"/>
                            <w:sz w:val="21"/>
                            <w:szCs w:val="21"/>
                          </w:rPr>
                        </w:pPr>
                        <w:r>
                          <w:rPr>
                            <w:rFonts w:ascii="Times New Roman" w:hAnsi="Times New Roman" w:cs="Times New Roman" w:eastAsiaTheme="minorEastAsia"/>
                            <w:b/>
                            <w:color w:val="auto"/>
                            <w:sz w:val="21"/>
                            <w:szCs w:val="21"/>
                          </w:rPr>
                          <w:t>声功率级/dB(A)</w:t>
                        </w:r>
                      </w:p>
                    </w:tc>
                    <w:tc>
                      <w:tcPr>
                        <w:tcW w:w="617" w:type="pct"/>
                        <w:vMerge w:val="continue"/>
                        <w:shd w:val="clear" w:color="auto" w:fill="FFFFFF"/>
                        <w:vAlign w:val="center"/>
                      </w:tcPr>
                      <w:p w14:paraId="7EF9B937">
                        <w:pPr>
                          <w:spacing w:line="240" w:lineRule="auto"/>
                          <w:ind w:firstLine="0" w:firstLineChars="0"/>
                          <w:jc w:val="center"/>
                          <w:rPr>
                            <w:rFonts w:ascii="Times New Roman" w:hAnsi="Times New Roman" w:cs="Times New Roman" w:eastAsiaTheme="minorEastAsia"/>
                            <w:b/>
                            <w:color w:val="auto"/>
                            <w:sz w:val="21"/>
                            <w:szCs w:val="21"/>
                          </w:rPr>
                        </w:pPr>
                      </w:p>
                    </w:tc>
                    <w:tc>
                      <w:tcPr>
                        <w:tcW w:w="442" w:type="pct"/>
                        <w:vMerge w:val="continue"/>
                        <w:shd w:val="clear" w:color="auto" w:fill="FFFFFF"/>
                        <w:vAlign w:val="center"/>
                      </w:tcPr>
                      <w:p w14:paraId="60902657">
                        <w:pPr>
                          <w:spacing w:line="240" w:lineRule="auto"/>
                          <w:ind w:firstLine="0" w:firstLineChars="0"/>
                          <w:jc w:val="center"/>
                          <w:rPr>
                            <w:rFonts w:ascii="Times New Roman" w:hAnsi="Times New Roman" w:cs="Times New Roman" w:eastAsiaTheme="minorEastAsia"/>
                            <w:b/>
                            <w:color w:val="auto"/>
                            <w:sz w:val="21"/>
                            <w:szCs w:val="21"/>
                          </w:rPr>
                        </w:pPr>
                      </w:p>
                    </w:tc>
                  </w:tr>
                  <w:tr w14:paraId="770B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97" w:hRule="exact"/>
                    </w:trPr>
                    <w:tc>
                      <w:tcPr>
                        <w:tcW w:w="232" w:type="pct"/>
                        <w:shd w:val="clear" w:color="auto" w:fill="FFFFFF"/>
                        <w:vAlign w:val="center"/>
                      </w:tcPr>
                      <w:p w14:paraId="581A4027">
                        <w:pPr>
                          <w:spacing w:line="240" w:lineRule="auto"/>
                          <w:ind w:firstLine="0" w:firstLineChars="0"/>
                          <w:jc w:val="center"/>
                          <w:rPr>
                            <w:rFonts w:ascii="Times New Roman" w:hAnsi="Times New Roman" w:cs="Times New Roman" w:eastAsiaTheme="minorEastAsia"/>
                            <w:b w:val="0"/>
                            <w:bCs/>
                            <w:color w:val="auto"/>
                            <w:sz w:val="21"/>
                            <w:szCs w:val="21"/>
                          </w:rPr>
                        </w:pPr>
                        <w:r>
                          <w:rPr>
                            <w:rFonts w:ascii="Times New Roman" w:hAnsi="Times New Roman" w:cs="Times New Roman" w:eastAsiaTheme="minorEastAsia"/>
                            <w:b w:val="0"/>
                            <w:bCs/>
                            <w:color w:val="auto"/>
                            <w:sz w:val="21"/>
                            <w:szCs w:val="21"/>
                          </w:rPr>
                          <w:t>1</w:t>
                        </w:r>
                      </w:p>
                    </w:tc>
                    <w:tc>
                      <w:tcPr>
                        <w:tcW w:w="970" w:type="pct"/>
                        <w:shd w:val="clear" w:color="auto" w:fill="FFFFFF"/>
                        <w:vAlign w:val="center"/>
                      </w:tcPr>
                      <w:p w14:paraId="4993AD4D">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运输车辆1</w:t>
                        </w:r>
                      </w:p>
                    </w:tc>
                    <w:tc>
                      <w:tcPr>
                        <w:tcW w:w="232" w:type="pct"/>
                        <w:shd w:val="clear" w:color="auto" w:fill="FFFFFF"/>
                        <w:vAlign w:val="center"/>
                      </w:tcPr>
                      <w:p w14:paraId="7A2CB2D9">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w:t>
                        </w:r>
                      </w:p>
                    </w:tc>
                    <w:tc>
                      <w:tcPr>
                        <w:tcW w:w="260" w:type="pct"/>
                        <w:shd w:val="clear" w:color="auto" w:fill="FFFFFF"/>
                        <w:vAlign w:val="center"/>
                      </w:tcPr>
                      <w:p w14:paraId="5365A1E0">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-40</w:t>
                        </w:r>
                      </w:p>
                    </w:tc>
                    <w:tc>
                      <w:tcPr>
                        <w:tcW w:w="289" w:type="pct"/>
                        <w:shd w:val="clear" w:color="auto" w:fill="FFFFFF"/>
                        <w:vAlign w:val="center"/>
                      </w:tcPr>
                      <w:p w14:paraId="6EBCEF9E">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164</w:t>
                        </w:r>
                      </w:p>
                    </w:tc>
                    <w:tc>
                      <w:tcPr>
                        <w:tcW w:w="242" w:type="pct"/>
                        <w:shd w:val="clear" w:color="auto" w:fill="FFFFFF"/>
                        <w:vAlign w:val="center"/>
                      </w:tcPr>
                      <w:p w14:paraId="622A80DB">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1.2</w:t>
                        </w:r>
                      </w:p>
                    </w:tc>
                    <w:tc>
                      <w:tcPr>
                        <w:tcW w:w="1156" w:type="pct"/>
                        <w:shd w:val="clear" w:color="auto" w:fill="FFFFFF"/>
                        <w:vAlign w:val="center"/>
                      </w:tcPr>
                      <w:p w14:paraId="7075527C">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w:t>
                        </w:r>
                      </w:p>
                    </w:tc>
                    <w:tc>
                      <w:tcPr>
                        <w:tcW w:w="556" w:type="pct"/>
                        <w:shd w:val="clear" w:color="auto" w:fill="FFFFFF"/>
                        <w:vAlign w:val="center"/>
                      </w:tcPr>
                      <w:p w14:paraId="0D59A223">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80</w:t>
                        </w:r>
                      </w:p>
                    </w:tc>
                    <w:tc>
                      <w:tcPr>
                        <w:tcW w:w="617" w:type="pct"/>
                        <w:shd w:val="clear" w:color="auto" w:fill="FFFFFF"/>
                        <w:vAlign w:val="center"/>
                      </w:tcPr>
                      <w:p w14:paraId="0F6ABCFB">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隔声罩、减震基座</w:t>
                        </w:r>
                      </w:p>
                    </w:tc>
                    <w:tc>
                      <w:tcPr>
                        <w:tcW w:w="442" w:type="pct"/>
                        <w:shd w:val="clear" w:color="auto" w:fill="FFFFFF"/>
                        <w:vAlign w:val="center"/>
                      </w:tcPr>
                      <w:p w14:paraId="489AB938">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昼间</w:t>
                        </w:r>
                      </w:p>
                    </w:tc>
                  </w:tr>
                  <w:tr w14:paraId="30C9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2" w:hRule="exact"/>
                    </w:trPr>
                    <w:tc>
                      <w:tcPr>
                        <w:tcW w:w="232" w:type="pct"/>
                        <w:shd w:val="clear" w:color="auto" w:fill="FFFFFF"/>
                        <w:vAlign w:val="center"/>
                      </w:tcPr>
                      <w:p w14:paraId="28C2D563">
                        <w:pPr>
                          <w:spacing w:line="240" w:lineRule="auto"/>
                          <w:ind w:firstLine="0" w:firstLineChars="0"/>
                          <w:jc w:val="center"/>
                          <w:rPr>
                            <w:rFonts w:ascii="Times New Roman" w:hAnsi="Times New Roman" w:cs="Times New Roman" w:eastAsiaTheme="minorEastAsia"/>
                            <w:b w:val="0"/>
                            <w:bCs/>
                            <w:color w:val="auto"/>
                            <w:sz w:val="21"/>
                            <w:szCs w:val="21"/>
                          </w:rPr>
                        </w:pPr>
                        <w:r>
                          <w:rPr>
                            <w:rFonts w:ascii="Times New Roman" w:hAnsi="Times New Roman" w:cs="Times New Roman" w:eastAsiaTheme="minorEastAsia"/>
                            <w:b w:val="0"/>
                            <w:bCs/>
                            <w:color w:val="auto"/>
                            <w:sz w:val="21"/>
                            <w:szCs w:val="21"/>
                          </w:rPr>
                          <w:t>2</w:t>
                        </w:r>
                      </w:p>
                    </w:tc>
                    <w:tc>
                      <w:tcPr>
                        <w:tcW w:w="970" w:type="pct"/>
                        <w:shd w:val="clear" w:color="auto" w:fill="FFFFFF"/>
                        <w:vAlign w:val="center"/>
                      </w:tcPr>
                      <w:p w14:paraId="17F247DA">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lang w:val="en-US" w:eastAsia="zh-CN"/>
                          </w:rPr>
                          <w:t>运输车辆2</w:t>
                        </w:r>
                      </w:p>
                    </w:tc>
                    <w:tc>
                      <w:tcPr>
                        <w:tcW w:w="232" w:type="pct"/>
                        <w:shd w:val="clear" w:color="auto" w:fill="FFFFFF"/>
                        <w:vAlign w:val="center"/>
                      </w:tcPr>
                      <w:p w14:paraId="0651FB55">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w:t>
                        </w:r>
                      </w:p>
                    </w:tc>
                    <w:tc>
                      <w:tcPr>
                        <w:tcW w:w="260" w:type="pct"/>
                        <w:shd w:val="clear" w:color="auto" w:fill="FFFFFF"/>
                        <w:vAlign w:val="center"/>
                      </w:tcPr>
                      <w:p w14:paraId="0BFEDA5C">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-48</w:t>
                        </w:r>
                      </w:p>
                    </w:tc>
                    <w:tc>
                      <w:tcPr>
                        <w:tcW w:w="289" w:type="pct"/>
                        <w:shd w:val="clear" w:color="auto" w:fill="FFFFFF"/>
                        <w:vAlign w:val="center"/>
                      </w:tcPr>
                      <w:p w14:paraId="62236679">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-18</w:t>
                        </w:r>
                      </w:p>
                    </w:tc>
                    <w:tc>
                      <w:tcPr>
                        <w:tcW w:w="242" w:type="pct"/>
                        <w:shd w:val="clear" w:color="auto" w:fill="FFFFFF"/>
                        <w:vAlign w:val="center"/>
                      </w:tcPr>
                      <w:p w14:paraId="35DF6ADA">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1.2</w:t>
                        </w:r>
                      </w:p>
                    </w:tc>
                    <w:tc>
                      <w:tcPr>
                        <w:tcW w:w="1156" w:type="pct"/>
                        <w:shd w:val="clear" w:color="auto" w:fill="FFFFFF"/>
                        <w:vAlign w:val="center"/>
                      </w:tcPr>
                      <w:p w14:paraId="3E6AB7C5">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w:t>
                        </w:r>
                      </w:p>
                    </w:tc>
                    <w:tc>
                      <w:tcPr>
                        <w:tcW w:w="556" w:type="pct"/>
                        <w:shd w:val="clear" w:color="auto" w:fill="FFFFFF"/>
                        <w:vAlign w:val="center"/>
                      </w:tcPr>
                      <w:p w14:paraId="6A80418F">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80</w:t>
                        </w:r>
                      </w:p>
                    </w:tc>
                    <w:tc>
                      <w:tcPr>
                        <w:tcW w:w="617" w:type="pct"/>
                        <w:shd w:val="clear" w:color="auto" w:fill="FFFFFF"/>
                        <w:vAlign w:val="center"/>
                      </w:tcPr>
                      <w:p w14:paraId="58020473">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盖板隔音</w:t>
                        </w:r>
                      </w:p>
                    </w:tc>
                    <w:tc>
                      <w:tcPr>
                        <w:tcW w:w="442" w:type="pct"/>
                        <w:shd w:val="clear" w:color="auto" w:fill="FFFFFF"/>
                        <w:vAlign w:val="center"/>
                      </w:tcPr>
                      <w:p w14:paraId="79BE963F">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昼间</w:t>
                        </w:r>
                      </w:p>
                    </w:tc>
                  </w:tr>
                  <w:tr w14:paraId="18109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2" w:hRule="exact"/>
                    </w:trPr>
                    <w:tc>
                      <w:tcPr>
                        <w:tcW w:w="232" w:type="pct"/>
                        <w:shd w:val="clear" w:color="auto" w:fill="FFFFFF"/>
                        <w:vAlign w:val="center"/>
                      </w:tcPr>
                      <w:p w14:paraId="72C3662C">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3</w:t>
                        </w:r>
                      </w:p>
                    </w:tc>
                    <w:tc>
                      <w:tcPr>
                        <w:tcW w:w="970" w:type="pct"/>
                        <w:shd w:val="clear" w:color="auto" w:fill="FFFFFF"/>
                        <w:vAlign w:val="center"/>
                      </w:tcPr>
                      <w:p w14:paraId="57A85CD1">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lang w:val="en-US" w:eastAsia="zh-CN"/>
                          </w:rPr>
                          <w:t>运输车辆3</w:t>
                        </w:r>
                      </w:p>
                    </w:tc>
                    <w:tc>
                      <w:tcPr>
                        <w:tcW w:w="232" w:type="pct"/>
                        <w:shd w:val="clear" w:color="auto" w:fill="FFFFFF"/>
                        <w:vAlign w:val="center"/>
                      </w:tcPr>
                      <w:p w14:paraId="19C5BFFD">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w:t>
                        </w:r>
                      </w:p>
                    </w:tc>
                    <w:tc>
                      <w:tcPr>
                        <w:tcW w:w="260" w:type="pct"/>
                        <w:shd w:val="clear" w:color="auto" w:fill="FFFFFF"/>
                        <w:vAlign w:val="center"/>
                      </w:tcPr>
                      <w:p w14:paraId="01161861">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31</w:t>
                        </w:r>
                      </w:p>
                    </w:tc>
                    <w:tc>
                      <w:tcPr>
                        <w:tcW w:w="289" w:type="pct"/>
                        <w:shd w:val="clear" w:color="auto" w:fill="FFFFFF"/>
                        <w:vAlign w:val="center"/>
                      </w:tcPr>
                      <w:p w14:paraId="135AB31C">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115</w:t>
                        </w:r>
                      </w:p>
                    </w:tc>
                    <w:tc>
                      <w:tcPr>
                        <w:tcW w:w="242" w:type="pct"/>
                        <w:shd w:val="clear" w:color="auto" w:fill="FFFFFF"/>
                        <w:vAlign w:val="center"/>
                      </w:tcPr>
                      <w:p w14:paraId="30405466">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1.2</w:t>
                        </w:r>
                      </w:p>
                    </w:tc>
                    <w:tc>
                      <w:tcPr>
                        <w:tcW w:w="1156" w:type="pct"/>
                        <w:shd w:val="clear" w:color="auto" w:fill="FFFFFF"/>
                        <w:vAlign w:val="center"/>
                      </w:tcPr>
                      <w:p w14:paraId="4195CB20">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w:t>
                        </w:r>
                      </w:p>
                    </w:tc>
                    <w:tc>
                      <w:tcPr>
                        <w:tcW w:w="556" w:type="pct"/>
                        <w:shd w:val="clear" w:color="auto" w:fill="FFFFFF"/>
                        <w:vAlign w:val="center"/>
                      </w:tcPr>
                      <w:p w14:paraId="031FFE7F">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80</w:t>
                        </w:r>
                      </w:p>
                    </w:tc>
                    <w:tc>
                      <w:tcPr>
                        <w:tcW w:w="617" w:type="pct"/>
                        <w:shd w:val="clear" w:color="auto" w:fill="FFFFFF"/>
                        <w:vAlign w:val="center"/>
                      </w:tcPr>
                      <w:p w14:paraId="4A0E4A8B">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盖板隔音</w:t>
                        </w:r>
                      </w:p>
                    </w:tc>
                    <w:tc>
                      <w:tcPr>
                        <w:tcW w:w="442" w:type="pct"/>
                        <w:shd w:val="clear" w:color="auto" w:fill="FFFFFF"/>
                        <w:vAlign w:val="center"/>
                      </w:tcPr>
                      <w:p w14:paraId="3BB5D13B">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昼间</w:t>
                        </w:r>
                      </w:p>
                    </w:tc>
                  </w:tr>
                  <w:tr w14:paraId="4B8F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22" w:hRule="exact"/>
                    </w:trPr>
                    <w:tc>
                      <w:tcPr>
                        <w:tcW w:w="232" w:type="pct"/>
                        <w:shd w:val="clear" w:color="auto" w:fill="FFFFFF"/>
                        <w:vAlign w:val="center"/>
                      </w:tcPr>
                      <w:p w14:paraId="5CE8A055">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4</w:t>
                        </w:r>
                      </w:p>
                    </w:tc>
                    <w:tc>
                      <w:tcPr>
                        <w:tcW w:w="970" w:type="pct"/>
                        <w:shd w:val="clear" w:color="auto" w:fill="FFFFFF"/>
                        <w:vAlign w:val="center"/>
                      </w:tcPr>
                      <w:p w14:paraId="45C4001C">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潜水泵</w:t>
                        </w:r>
                      </w:p>
                    </w:tc>
                    <w:tc>
                      <w:tcPr>
                        <w:tcW w:w="232" w:type="pct"/>
                        <w:shd w:val="clear" w:color="auto" w:fill="FFFFFF"/>
                        <w:vAlign w:val="center"/>
                      </w:tcPr>
                      <w:p w14:paraId="22F3CF49">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w:t>
                        </w:r>
                      </w:p>
                    </w:tc>
                    <w:tc>
                      <w:tcPr>
                        <w:tcW w:w="260" w:type="pct"/>
                        <w:shd w:val="clear" w:color="auto" w:fill="FFFFFF"/>
                        <w:vAlign w:val="center"/>
                      </w:tcPr>
                      <w:p w14:paraId="7976F114">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-25</w:t>
                        </w:r>
                      </w:p>
                    </w:tc>
                    <w:tc>
                      <w:tcPr>
                        <w:tcW w:w="289" w:type="pct"/>
                        <w:shd w:val="clear" w:color="auto" w:fill="FFFFFF"/>
                        <w:vAlign w:val="center"/>
                      </w:tcPr>
                      <w:p w14:paraId="22234EBC">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190</w:t>
                        </w:r>
                      </w:p>
                    </w:tc>
                    <w:tc>
                      <w:tcPr>
                        <w:tcW w:w="242" w:type="pct"/>
                        <w:shd w:val="clear" w:color="auto" w:fill="FFFFFF"/>
                        <w:vAlign w:val="center"/>
                      </w:tcPr>
                      <w:p w14:paraId="69B70059">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-0.8</w:t>
                        </w:r>
                      </w:p>
                    </w:tc>
                    <w:tc>
                      <w:tcPr>
                        <w:tcW w:w="1156" w:type="pct"/>
                        <w:shd w:val="clear" w:color="auto" w:fill="FFFFFF"/>
                        <w:vAlign w:val="center"/>
                      </w:tcPr>
                      <w:p w14:paraId="0B99168C">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w:t>
                        </w:r>
                      </w:p>
                    </w:tc>
                    <w:tc>
                      <w:tcPr>
                        <w:tcW w:w="556" w:type="pct"/>
                        <w:shd w:val="clear" w:color="auto" w:fill="FFFFFF"/>
                        <w:vAlign w:val="center"/>
                      </w:tcPr>
                      <w:p w14:paraId="13C2DC7F">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85</w:t>
                        </w:r>
                      </w:p>
                    </w:tc>
                    <w:tc>
                      <w:tcPr>
                        <w:tcW w:w="617" w:type="pct"/>
                        <w:shd w:val="clear" w:color="auto" w:fill="FFFFFF"/>
                        <w:vAlign w:val="center"/>
                      </w:tcPr>
                      <w:p w14:paraId="79E2638C">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盖板隔音</w:t>
                        </w:r>
                      </w:p>
                    </w:tc>
                    <w:tc>
                      <w:tcPr>
                        <w:tcW w:w="442" w:type="pct"/>
                        <w:shd w:val="clear" w:color="auto" w:fill="FFFFFF"/>
                        <w:vAlign w:val="center"/>
                      </w:tcPr>
                      <w:p w14:paraId="50FA3342">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昼间</w:t>
                        </w:r>
                      </w:p>
                    </w:tc>
                  </w:tr>
                </w:tbl>
                <w:p w14:paraId="1044C1DA">
                  <w:pPr>
                    <w:spacing w:line="240" w:lineRule="auto"/>
                    <w:ind w:firstLine="0" w:firstLineChars="0"/>
                    <w:jc w:val="center"/>
                    <w:rPr>
                      <w:rFonts w:hint="eastAsia" w:ascii="Times New Roman" w:hAnsi="Times New Roman" w:cs="Times New Roman" w:eastAsiaTheme="minorEastAsia"/>
                      <w:b/>
                      <w:color w:val="auto"/>
                      <w:sz w:val="21"/>
                      <w:szCs w:val="21"/>
                      <w:lang w:val="en-US" w:eastAsia="zh-CN"/>
                    </w:rPr>
                  </w:pPr>
                  <w:r>
                    <w:rPr>
                      <w:rFonts w:hint="eastAsia" w:ascii="Times New Roman" w:hAnsi="Times New Roman" w:cs="Times New Roman" w:eastAsiaTheme="minorEastAsia"/>
                      <w:b/>
                      <w:color w:val="auto"/>
                      <w:sz w:val="21"/>
                      <w:szCs w:val="21"/>
                      <w:lang w:val="en-US" w:eastAsia="zh-CN"/>
                    </w:rPr>
                    <w:t>表4-7  工业企业噪声源强调查清单（室</w:t>
                  </w:r>
                  <w:r>
                    <w:rPr>
                      <w:rFonts w:hint="eastAsia" w:cs="Times New Roman" w:eastAsiaTheme="minorEastAsia"/>
                      <w:b/>
                      <w:color w:val="auto"/>
                      <w:sz w:val="21"/>
                      <w:szCs w:val="21"/>
                      <w:lang w:val="en-US" w:eastAsia="zh-CN"/>
                    </w:rPr>
                    <w:t>内</w:t>
                  </w:r>
                  <w:r>
                    <w:rPr>
                      <w:rFonts w:hint="eastAsia" w:ascii="Times New Roman" w:hAnsi="Times New Roman" w:cs="Times New Roman" w:eastAsiaTheme="minorEastAsia"/>
                      <w:b/>
                      <w:color w:val="auto"/>
                      <w:sz w:val="21"/>
                      <w:szCs w:val="21"/>
                      <w:lang w:val="en-US" w:eastAsia="zh-CN"/>
                    </w:rPr>
                    <w:t>声源）</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54"/>
                    <w:gridCol w:w="1153"/>
                    <w:gridCol w:w="617"/>
                    <w:gridCol w:w="537"/>
                    <w:gridCol w:w="460"/>
                    <w:gridCol w:w="435"/>
                    <w:gridCol w:w="430"/>
                    <w:gridCol w:w="383"/>
                    <w:gridCol w:w="425"/>
                    <w:gridCol w:w="440"/>
                    <w:gridCol w:w="383"/>
                    <w:gridCol w:w="383"/>
                    <w:gridCol w:w="383"/>
                    <w:gridCol w:w="411"/>
                    <w:gridCol w:w="425"/>
                    <w:gridCol w:w="440"/>
                    <w:gridCol w:w="383"/>
                    <w:gridCol w:w="396"/>
                    <w:gridCol w:w="383"/>
                    <w:gridCol w:w="383"/>
                    <w:gridCol w:w="455"/>
                    <w:gridCol w:w="398"/>
                    <w:gridCol w:w="455"/>
                    <w:gridCol w:w="430"/>
                    <w:gridCol w:w="587"/>
                  </w:tblGrid>
                  <w:tr w14:paraId="2A2B7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 w:type="pct"/>
                        <w:vMerge w:val="restart"/>
                        <w:vAlign w:val="center"/>
                      </w:tcPr>
                      <w:p w14:paraId="49C0D02A">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bookmarkStart w:id="9" w:name="PT_6"/>
                        <w:r>
                          <w:rPr>
                            <w:rFonts w:hint="eastAsia" w:ascii="Times New Roman" w:hAnsi="Times New Roman" w:cs="Times New Roman" w:eastAsiaTheme="minorEastAsia"/>
                            <w:b/>
                            <w:bCs w:val="0"/>
                            <w:color w:val="auto"/>
                            <w:sz w:val="21"/>
                            <w:szCs w:val="21"/>
                            <w:lang w:val="en-US" w:eastAsia="zh-CN"/>
                          </w:rPr>
                          <w:t>序号</w:t>
                        </w:r>
                      </w:p>
                    </w:tc>
                    <w:tc>
                      <w:tcPr>
                        <w:tcW w:w="305" w:type="pct"/>
                        <w:vMerge w:val="restart"/>
                        <w:vAlign w:val="center"/>
                      </w:tcPr>
                      <w:p w14:paraId="14D4CCD3">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建筑物名称</w:t>
                        </w:r>
                      </w:p>
                    </w:tc>
                    <w:tc>
                      <w:tcPr>
                        <w:tcW w:w="466" w:type="pct"/>
                        <w:vMerge w:val="restart"/>
                        <w:vAlign w:val="center"/>
                      </w:tcPr>
                      <w:p w14:paraId="11213B13">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声源名称</w:t>
                        </w:r>
                      </w:p>
                    </w:tc>
                    <w:tc>
                      <w:tcPr>
                        <w:tcW w:w="249" w:type="pct"/>
                        <w:vAlign w:val="center"/>
                      </w:tcPr>
                      <w:p w14:paraId="56658E33">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声源源强</w:t>
                        </w:r>
                      </w:p>
                    </w:tc>
                    <w:tc>
                      <w:tcPr>
                        <w:tcW w:w="217" w:type="pct"/>
                        <w:vMerge w:val="restart"/>
                        <w:vAlign w:val="center"/>
                      </w:tcPr>
                      <w:p w14:paraId="19494FF6">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声源控制措施</w:t>
                        </w:r>
                      </w:p>
                    </w:tc>
                    <w:tc>
                      <w:tcPr>
                        <w:tcW w:w="536" w:type="pct"/>
                        <w:gridSpan w:val="3"/>
                        <w:vAlign w:val="center"/>
                      </w:tcPr>
                      <w:p w14:paraId="6F27EAED">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空间相对位置/m</w:t>
                        </w:r>
                      </w:p>
                    </w:tc>
                    <w:tc>
                      <w:tcPr>
                        <w:tcW w:w="660" w:type="pct"/>
                        <w:gridSpan w:val="4"/>
                        <w:vAlign w:val="center"/>
                      </w:tcPr>
                      <w:p w14:paraId="58C6E215">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距室内边界距离/m</w:t>
                        </w:r>
                      </w:p>
                    </w:tc>
                    <w:tc>
                      <w:tcPr>
                        <w:tcW w:w="648" w:type="pct"/>
                        <w:gridSpan w:val="4"/>
                        <w:vAlign w:val="center"/>
                      </w:tcPr>
                      <w:p w14:paraId="2AC8072C">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室内边界声级/dB(A)</w:t>
                        </w:r>
                      </w:p>
                    </w:tc>
                    <w:tc>
                      <w:tcPr>
                        <w:tcW w:w="178" w:type="pct"/>
                        <w:vMerge w:val="restart"/>
                        <w:vAlign w:val="center"/>
                      </w:tcPr>
                      <w:p w14:paraId="7466BEF1">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运行时段</w:t>
                        </w:r>
                      </w:p>
                    </w:tc>
                    <w:tc>
                      <w:tcPr>
                        <w:tcW w:w="625" w:type="pct"/>
                        <w:gridSpan w:val="4"/>
                        <w:vAlign w:val="center"/>
                      </w:tcPr>
                      <w:p w14:paraId="69011A18">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建筑物插入损失 / dB(A)</w:t>
                        </w:r>
                        <w:bookmarkStart w:id="10" w:name="PT_10"/>
                        <w:bookmarkEnd w:id="10"/>
                      </w:p>
                    </w:tc>
                    <w:tc>
                      <w:tcPr>
                        <w:tcW w:w="940" w:type="pct"/>
                        <w:gridSpan w:val="5"/>
                        <w:vAlign w:val="center"/>
                      </w:tcPr>
                      <w:p w14:paraId="1AC2819C">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建筑物外噪声声压级/dB(A)</w:t>
                        </w:r>
                      </w:p>
                    </w:tc>
                  </w:tr>
                  <w:tr w14:paraId="7FC3F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72" w:type="pct"/>
                        <w:vMerge w:val="continue"/>
                        <w:shd w:val="clear" w:color="auto" w:fill="FFFFFF"/>
                        <w:tcMar>
                          <w:top w:w="0" w:type="dxa"/>
                          <w:left w:w="0" w:type="dxa"/>
                          <w:bottom w:w="0" w:type="dxa"/>
                          <w:right w:w="0" w:type="dxa"/>
                        </w:tcMar>
                        <w:vAlign w:val="center"/>
                      </w:tcPr>
                      <w:p w14:paraId="75D2BF9E">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p>
                    </w:tc>
                    <w:tc>
                      <w:tcPr>
                        <w:tcW w:w="305" w:type="pct"/>
                        <w:vMerge w:val="continue"/>
                        <w:shd w:val="clear" w:color="auto" w:fill="FFFFFF"/>
                        <w:tcMar>
                          <w:top w:w="0" w:type="dxa"/>
                          <w:left w:w="0" w:type="dxa"/>
                          <w:bottom w:w="0" w:type="dxa"/>
                          <w:right w:w="0" w:type="dxa"/>
                        </w:tcMar>
                        <w:vAlign w:val="center"/>
                      </w:tcPr>
                      <w:p w14:paraId="5147BCAE">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p>
                    </w:tc>
                    <w:tc>
                      <w:tcPr>
                        <w:tcW w:w="466" w:type="pct"/>
                        <w:vMerge w:val="continue"/>
                        <w:shd w:val="clear" w:color="auto" w:fill="FFFFFF"/>
                        <w:tcMar>
                          <w:top w:w="0" w:type="dxa"/>
                          <w:left w:w="0" w:type="dxa"/>
                          <w:bottom w:w="0" w:type="dxa"/>
                          <w:right w:w="0" w:type="dxa"/>
                        </w:tcMar>
                        <w:vAlign w:val="center"/>
                      </w:tcPr>
                      <w:p w14:paraId="59971D09">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p>
                    </w:tc>
                    <w:tc>
                      <w:tcPr>
                        <w:tcW w:w="249" w:type="pct"/>
                        <w:shd w:val="clear" w:color="auto" w:fill="FFFFFF"/>
                        <w:tcMar>
                          <w:top w:w="0" w:type="dxa"/>
                          <w:left w:w="0" w:type="dxa"/>
                          <w:bottom w:w="0" w:type="dxa"/>
                          <w:right w:w="0" w:type="dxa"/>
                        </w:tcMar>
                        <w:vAlign w:val="center"/>
                      </w:tcPr>
                      <w:p w14:paraId="2F5B8C93">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声功率级/dB(A)</w:t>
                        </w:r>
                      </w:p>
                    </w:tc>
                    <w:tc>
                      <w:tcPr>
                        <w:tcW w:w="217" w:type="pct"/>
                        <w:vMerge w:val="continue"/>
                        <w:shd w:val="clear" w:color="auto" w:fill="FFFFFF"/>
                        <w:tcMar>
                          <w:top w:w="0" w:type="dxa"/>
                          <w:left w:w="0" w:type="dxa"/>
                          <w:bottom w:w="0" w:type="dxa"/>
                          <w:right w:w="0" w:type="dxa"/>
                        </w:tcMar>
                        <w:vAlign w:val="center"/>
                      </w:tcPr>
                      <w:p w14:paraId="73F8008F">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p>
                    </w:tc>
                    <w:tc>
                      <w:tcPr>
                        <w:tcW w:w="186" w:type="pct"/>
                        <w:shd w:val="clear" w:color="auto" w:fill="FFFFFF"/>
                        <w:tcMar>
                          <w:top w:w="0" w:type="dxa"/>
                          <w:left w:w="0" w:type="dxa"/>
                          <w:bottom w:w="0" w:type="dxa"/>
                          <w:right w:w="0" w:type="dxa"/>
                        </w:tcMar>
                        <w:vAlign w:val="center"/>
                      </w:tcPr>
                      <w:p w14:paraId="5855C4FB">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X</w:t>
                        </w:r>
                      </w:p>
                    </w:tc>
                    <w:tc>
                      <w:tcPr>
                        <w:tcW w:w="176" w:type="pct"/>
                        <w:shd w:val="clear" w:color="auto" w:fill="FFFFFF"/>
                        <w:tcMar>
                          <w:top w:w="0" w:type="dxa"/>
                          <w:left w:w="0" w:type="dxa"/>
                          <w:bottom w:w="0" w:type="dxa"/>
                          <w:right w:w="0" w:type="dxa"/>
                        </w:tcMar>
                        <w:vAlign w:val="center"/>
                      </w:tcPr>
                      <w:p w14:paraId="574D255A">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Y</w:t>
                        </w:r>
                      </w:p>
                    </w:tc>
                    <w:tc>
                      <w:tcPr>
                        <w:tcW w:w="174" w:type="pct"/>
                        <w:shd w:val="clear" w:color="auto" w:fill="FFFFFF"/>
                        <w:tcMar>
                          <w:top w:w="0" w:type="dxa"/>
                          <w:left w:w="0" w:type="dxa"/>
                          <w:bottom w:w="0" w:type="dxa"/>
                          <w:right w:w="0" w:type="dxa"/>
                        </w:tcMar>
                        <w:vAlign w:val="center"/>
                      </w:tcPr>
                      <w:p w14:paraId="2B62FCD8">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Z</w:t>
                        </w:r>
                      </w:p>
                    </w:tc>
                    <w:tc>
                      <w:tcPr>
                        <w:tcW w:w="155" w:type="pct"/>
                        <w:shd w:val="clear" w:color="auto" w:fill="FFFFFF"/>
                        <w:tcMar>
                          <w:top w:w="0" w:type="dxa"/>
                          <w:left w:w="0" w:type="dxa"/>
                          <w:bottom w:w="0" w:type="dxa"/>
                          <w:right w:w="0" w:type="dxa"/>
                        </w:tcMar>
                        <w:vAlign w:val="center"/>
                      </w:tcPr>
                      <w:p w14:paraId="0091D786">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东</w:t>
                        </w:r>
                      </w:p>
                    </w:tc>
                    <w:tc>
                      <w:tcPr>
                        <w:tcW w:w="172" w:type="pct"/>
                        <w:shd w:val="clear" w:color="auto" w:fill="FFFFFF"/>
                        <w:tcMar>
                          <w:top w:w="0" w:type="dxa"/>
                          <w:left w:w="0" w:type="dxa"/>
                          <w:bottom w:w="0" w:type="dxa"/>
                          <w:right w:w="0" w:type="dxa"/>
                        </w:tcMar>
                        <w:vAlign w:val="center"/>
                      </w:tcPr>
                      <w:p w14:paraId="6B83A84B">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南</w:t>
                        </w:r>
                      </w:p>
                    </w:tc>
                    <w:tc>
                      <w:tcPr>
                        <w:tcW w:w="178" w:type="pct"/>
                        <w:shd w:val="clear" w:color="auto" w:fill="FFFFFF"/>
                        <w:tcMar>
                          <w:top w:w="0" w:type="dxa"/>
                          <w:left w:w="0" w:type="dxa"/>
                          <w:bottom w:w="0" w:type="dxa"/>
                          <w:right w:w="0" w:type="dxa"/>
                        </w:tcMar>
                        <w:vAlign w:val="center"/>
                      </w:tcPr>
                      <w:p w14:paraId="60FAAAE6">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西</w:t>
                        </w:r>
                      </w:p>
                    </w:tc>
                    <w:tc>
                      <w:tcPr>
                        <w:tcW w:w="154" w:type="pct"/>
                        <w:shd w:val="clear" w:color="auto" w:fill="FFFFFF"/>
                        <w:tcMar>
                          <w:top w:w="0" w:type="dxa"/>
                          <w:left w:w="0" w:type="dxa"/>
                          <w:bottom w:w="0" w:type="dxa"/>
                          <w:right w:w="0" w:type="dxa"/>
                        </w:tcMar>
                        <w:vAlign w:val="center"/>
                      </w:tcPr>
                      <w:p w14:paraId="52A49118">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北</w:t>
                        </w:r>
                      </w:p>
                    </w:tc>
                    <w:tc>
                      <w:tcPr>
                        <w:tcW w:w="155" w:type="pct"/>
                        <w:shd w:val="clear" w:color="auto" w:fill="FFFFFF"/>
                        <w:tcMar>
                          <w:top w:w="0" w:type="dxa"/>
                          <w:left w:w="0" w:type="dxa"/>
                          <w:bottom w:w="0" w:type="dxa"/>
                          <w:right w:w="0" w:type="dxa"/>
                        </w:tcMar>
                        <w:vAlign w:val="center"/>
                      </w:tcPr>
                      <w:p w14:paraId="33A2158D">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东</w:t>
                        </w:r>
                      </w:p>
                    </w:tc>
                    <w:tc>
                      <w:tcPr>
                        <w:tcW w:w="155" w:type="pct"/>
                        <w:shd w:val="clear" w:color="auto" w:fill="FFFFFF"/>
                        <w:tcMar>
                          <w:top w:w="0" w:type="dxa"/>
                          <w:left w:w="0" w:type="dxa"/>
                          <w:bottom w:w="0" w:type="dxa"/>
                          <w:right w:w="0" w:type="dxa"/>
                        </w:tcMar>
                        <w:vAlign w:val="center"/>
                      </w:tcPr>
                      <w:p w14:paraId="245D63B4">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南</w:t>
                        </w:r>
                      </w:p>
                    </w:tc>
                    <w:tc>
                      <w:tcPr>
                        <w:tcW w:w="166" w:type="pct"/>
                        <w:shd w:val="clear" w:color="auto" w:fill="FFFFFF"/>
                        <w:tcMar>
                          <w:top w:w="0" w:type="dxa"/>
                          <w:left w:w="0" w:type="dxa"/>
                          <w:bottom w:w="0" w:type="dxa"/>
                          <w:right w:w="0" w:type="dxa"/>
                        </w:tcMar>
                        <w:vAlign w:val="center"/>
                      </w:tcPr>
                      <w:p w14:paraId="11EBB04B">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西</w:t>
                        </w:r>
                      </w:p>
                    </w:tc>
                    <w:tc>
                      <w:tcPr>
                        <w:tcW w:w="171" w:type="pct"/>
                        <w:shd w:val="clear" w:color="auto" w:fill="FFFFFF"/>
                        <w:tcMar>
                          <w:top w:w="0" w:type="dxa"/>
                          <w:left w:w="0" w:type="dxa"/>
                          <w:bottom w:w="0" w:type="dxa"/>
                          <w:right w:w="0" w:type="dxa"/>
                        </w:tcMar>
                        <w:vAlign w:val="center"/>
                      </w:tcPr>
                      <w:p w14:paraId="2271D235">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北</w:t>
                        </w:r>
                      </w:p>
                    </w:tc>
                    <w:tc>
                      <w:tcPr>
                        <w:tcW w:w="178" w:type="pct"/>
                        <w:vMerge w:val="continue"/>
                        <w:shd w:val="clear" w:color="auto" w:fill="FFFFFF"/>
                        <w:tcMar>
                          <w:top w:w="0" w:type="dxa"/>
                          <w:left w:w="0" w:type="dxa"/>
                          <w:bottom w:w="0" w:type="dxa"/>
                          <w:right w:w="0" w:type="dxa"/>
                        </w:tcMar>
                        <w:vAlign w:val="center"/>
                      </w:tcPr>
                      <w:p w14:paraId="32B63CBB">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p>
                    </w:tc>
                    <w:tc>
                      <w:tcPr>
                        <w:tcW w:w="155" w:type="pct"/>
                        <w:shd w:val="clear" w:color="auto" w:fill="FFFFFF"/>
                        <w:tcMar>
                          <w:top w:w="0" w:type="dxa"/>
                          <w:left w:w="0" w:type="dxa"/>
                          <w:bottom w:w="0" w:type="dxa"/>
                          <w:right w:w="0" w:type="dxa"/>
                        </w:tcMar>
                        <w:vAlign w:val="center"/>
                      </w:tcPr>
                      <w:p w14:paraId="69DB961F">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东</w:t>
                        </w:r>
                      </w:p>
                    </w:tc>
                    <w:tc>
                      <w:tcPr>
                        <w:tcW w:w="160" w:type="pct"/>
                        <w:shd w:val="clear" w:color="auto" w:fill="FFFFFF"/>
                        <w:tcMar>
                          <w:top w:w="0" w:type="dxa"/>
                          <w:left w:w="0" w:type="dxa"/>
                          <w:bottom w:w="0" w:type="dxa"/>
                          <w:right w:w="0" w:type="dxa"/>
                        </w:tcMar>
                        <w:vAlign w:val="center"/>
                      </w:tcPr>
                      <w:p w14:paraId="7F74C736">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南</w:t>
                        </w:r>
                      </w:p>
                    </w:tc>
                    <w:tc>
                      <w:tcPr>
                        <w:tcW w:w="155" w:type="pct"/>
                        <w:shd w:val="clear" w:color="auto" w:fill="FFFFFF"/>
                        <w:tcMar>
                          <w:top w:w="0" w:type="dxa"/>
                          <w:left w:w="0" w:type="dxa"/>
                          <w:bottom w:w="0" w:type="dxa"/>
                          <w:right w:w="0" w:type="dxa"/>
                        </w:tcMar>
                        <w:vAlign w:val="center"/>
                      </w:tcPr>
                      <w:p w14:paraId="684110E4">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西</w:t>
                        </w:r>
                      </w:p>
                    </w:tc>
                    <w:tc>
                      <w:tcPr>
                        <w:tcW w:w="154" w:type="pct"/>
                        <w:shd w:val="clear" w:color="auto" w:fill="FFFFFF"/>
                        <w:tcMar>
                          <w:top w:w="0" w:type="dxa"/>
                          <w:left w:w="0" w:type="dxa"/>
                          <w:bottom w:w="0" w:type="dxa"/>
                          <w:right w:w="0" w:type="dxa"/>
                        </w:tcMar>
                        <w:vAlign w:val="center"/>
                      </w:tcPr>
                      <w:p w14:paraId="257FF72B">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北</w:t>
                        </w:r>
                      </w:p>
                    </w:tc>
                    <w:tc>
                      <w:tcPr>
                        <w:tcW w:w="184" w:type="pct"/>
                        <w:shd w:val="clear" w:color="auto" w:fill="FFFFFF"/>
                        <w:tcMar>
                          <w:top w:w="0" w:type="dxa"/>
                          <w:left w:w="0" w:type="dxa"/>
                          <w:bottom w:w="0" w:type="dxa"/>
                          <w:right w:w="0" w:type="dxa"/>
                        </w:tcMar>
                        <w:vAlign w:val="center"/>
                      </w:tcPr>
                      <w:p w14:paraId="259D1BD9">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东</w:t>
                        </w:r>
                      </w:p>
                    </w:tc>
                    <w:tc>
                      <w:tcPr>
                        <w:tcW w:w="161" w:type="pct"/>
                        <w:shd w:val="clear" w:color="auto" w:fill="FFFFFF"/>
                        <w:tcMar>
                          <w:top w:w="0" w:type="dxa"/>
                          <w:left w:w="0" w:type="dxa"/>
                          <w:bottom w:w="0" w:type="dxa"/>
                          <w:right w:w="0" w:type="dxa"/>
                        </w:tcMar>
                        <w:vAlign w:val="center"/>
                      </w:tcPr>
                      <w:p w14:paraId="45FB95C2">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南</w:t>
                        </w:r>
                      </w:p>
                    </w:tc>
                    <w:tc>
                      <w:tcPr>
                        <w:tcW w:w="184" w:type="pct"/>
                        <w:shd w:val="clear" w:color="auto" w:fill="FFFFFF"/>
                        <w:tcMar>
                          <w:top w:w="0" w:type="dxa"/>
                          <w:left w:w="0" w:type="dxa"/>
                          <w:bottom w:w="0" w:type="dxa"/>
                          <w:right w:w="0" w:type="dxa"/>
                        </w:tcMar>
                        <w:vAlign w:val="center"/>
                      </w:tcPr>
                      <w:p w14:paraId="75AFC452">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西</w:t>
                        </w:r>
                      </w:p>
                    </w:tc>
                    <w:tc>
                      <w:tcPr>
                        <w:tcW w:w="174" w:type="pct"/>
                        <w:shd w:val="clear" w:color="auto" w:fill="FFFFFF"/>
                        <w:tcMar>
                          <w:top w:w="0" w:type="dxa"/>
                          <w:left w:w="0" w:type="dxa"/>
                          <w:bottom w:w="0" w:type="dxa"/>
                          <w:right w:w="0" w:type="dxa"/>
                        </w:tcMar>
                        <w:vAlign w:val="center"/>
                      </w:tcPr>
                      <w:p w14:paraId="5FEE9585">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北</w:t>
                        </w:r>
                      </w:p>
                    </w:tc>
                    <w:tc>
                      <w:tcPr>
                        <w:tcW w:w="237" w:type="pct"/>
                        <w:shd w:val="clear" w:color="auto" w:fill="FFFFFF"/>
                        <w:tcMar>
                          <w:top w:w="0" w:type="dxa"/>
                          <w:left w:w="0" w:type="dxa"/>
                          <w:bottom w:w="0" w:type="dxa"/>
                          <w:right w:w="0" w:type="dxa"/>
                        </w:tcMar>
                        <w:vAlign w:val="center"/>
                      </w:tcPr>
                      <w:p w14:paraId="7238ED55">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建筑物外距离</w:t>
                        </w:r>
                      </w:p>
                    </w:tc>
                  </w:tr>
                  <w:tr w14:paraId="55A70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72" w:type="pct"/>
                        <w:shd w:val="clear" w:color="auto" w:fill="FFFFFF"/>
                        <w:tcMar>
                          <w:top w:w="0" w:type="dxa"/>
                          <w:left w:w="0" w:type="dxa"/>
                          <w:bottom w:w="0" w:type="dxa"/>
                          <w:right w:w="0" w:type="dxa"/>
                        </w:tcMar>
                        <w:vAlign w:val="center"/>
                      </w:tcPr>
                      <w:p w14:paraId="79ADA60F">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w:t>
                        </w:r>
                      </w:p>
                    </w:tc>
                    <w:tc>
                      <w:tcPr>
                        <w:tcW w:w="305" w:type="pct"/>
                        <w:shd w:val="clear" w:color="auto" w:fill="FFFFFF"/>
                        <w:tcMar>
                          <w:top w:w="0" w:type="dxa"/>
                          <w:left w:w="0" w:type="dxa"/>
                          <w:bottom w:w="0" w:type="dxa"/>
                          <w:right w:w="0" w:type="dxa"/>
                        </w:tcMar>
                        <w:vAlign w:val="center"/>
                      </w:tcPr>
                      <w:p w14:paraId="6102647B">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储煤仓库2</w:t>
                        </w:r>
                      </w:p>
                    </w:tc>
                    <w:tc>
                      <w:tcPr>
                        <w:tcW w:w="466" w:type="pct"/>
                        <w:shd w:val="clear" w:color="auto" w:fill="FFFFFF"/>
                        <w:tcMar>
                          <w:top w:w="0" w:type="dxa"/>
                          <w:left w:w="0" w:type="dxa"/>
                          <w:bottom w:w="0" w:type="dxa"/>
                          <w:right w:w="0" w:type="dxa"/>
                        </w:tcMar>
                        <w:vAlign w:val="center"/>
                      </w:tcPr>
                      <w:p w14:paraId="4CDC4E22">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运输车辆4</w:t>
                        </w:r>
                      </w:p>
                    </w:tc>
                    <w:tc>
                      <w:tcPr>
                        <w:tcW w:w="249" w:type="pct"/>
                        <w:shd w:val="clear" w:color="auto" w:fill="FFFFFF"/>
                        <w:tcMar>
                          <w:top w:w="0" w:type="dxa"/>
                          <w:left w:w="0" w:type="dxa"/>
                          <w:bottom w:w="0" w:type="dxa"/>
                          <w:right w:w="0" w:type="dxa"/>
                        </w:tcMar>
                        <w:vAlign w:val="center"/>
                      </w:tcPr>
                      <w:p w14:paraId="78F76748">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80</w:t>
                        </w:r>
                      </w:p>
                    </w:tc>
                    <w:tc>
                      <w:tcPr>
                        <w:tcW w:w="217" w:type="pct"/>
                        <w:vMerge w:val="restart"/>
                        <w:shd w:val="clear" w:color="auto" w:fill="FFFFFF"/>
                        <w:tcMar>
                          <w:top w:w="0" w:type="dxa"/>
                          <w:left w:w="0" w:type="dxa"/>
                          <w:bottom w:w="0" w:type="dxa"/>
                          <w:right w:w="0" w:type="dxa"/>
                        </w:tcMar>
                        <w:vAlign w:val="center"/>
                      </w:tcPr>
                      <w:p w14:paraId="1478176F">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减振基座、厂房隔声、距离衰减</w:t>
                        </w:r>
                      </w:p>
                    </w:tc>
                    <w:tc>
                      <w:tcPr>
                        <w:tcW w:w="186" w:type="pct"/>
                        <w:shd w:val="clear" w:color="auto" w:fill="FFFFFF"/>
                        <w:tcMar>
                          <w:top w:w="0" w:type="dxa"/>
                          <w:left w:w="0" w:type="dxa"/>
                          <w:bottom w:w="0" w:type="dxa"/>
                          <w:right w:w="0" w:type="dxa"/>
                        </w:tcMar>
                        <w:vAlign w:val="center"/>
                      </w:tcPr>
                      <w:p w14:paraId="15324FAF">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64</w:t>
                        </w:r>
                      </w:p>
                    </w:tc>
                    <w:tc>
                      <w:tcPr>
                        <w:tcW w:w="176" w:type="pct"/>
                        <w:shd w:val="clear" w:color="auto" w:fill="FFFFFF"/>
                        <w:tcMar>
                          <w:top w:w="0" w:type="dxa"/>
                          <w:left w:w="0" w:type="dxa"/>
                          <w:bottom w:w="0" w:type="dxa"/>
                          <w:right w:w="0" w:type="dxa"/>
                        </w:tcMar>
                        <w:vAlign w:val="center"/>
                      </w:tcPr>
                      <w:p w14:paraId="7C1B857E">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85</w:t>
                        </w:r>
                      </w:p>
                    </w:tc>
                    <w:tc>
                      <w:tcPr>
                        <w:tcW w:w="174" w:type="pct"/>
                        <w:shd w:val="clear" w:color="auto" w:fill="FFFFFF"/>
                        <w:tcMar>
                          <w:top w:w="0" w:type="dxa"/>
                          <w:left w:w="0" w:type="dxa"/>
                          <w:bottom w:w="0" w:type="dxa"/>
                          <w:right w:w="0" w:type="dxa"/>
                        </w:tcMar>
                        <w:vAlign w:val="center"/>
                      </w:tcPr>
                      <w:p w14:paraId="65D2FC77">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1.2</w:t>
                        </w:r>
                      </w:p>
                    </w:tc>
                    <w:tc>
                      <w:tcPr>
                        <w:tcW w:w="155" w:type="pct"/>
                        <w:shd w:val="clear" w:color="auto" w:fill="FFFFFF"/>
                        <w:tcMar>
                          <w:top w:w="0" w:type="dxa"/>
                          <w:left w:w="0" w:type="dxa"/>
                          <w:bottom w:w="0" w:type="dxa"/>
                          <w:right w:w="0" w:type="dxa"/>
                        </w:tcMar>
                        <w:vAlign w:val="center"/>
                      </w:tcPr>
                      <w:p w14:paraId="2C5CAEB8">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26.7</w:t>
                        </w:r>
                      </w:p>
                    </w:tc>
                    <w:tc>
                      <w:tcPr>
                        <w:tcW w:w="172" w:type="pct"/>
                        <w:shd w:val="clear" w:color="auto" w:fill="FFFFFF"/>
                        <w:tcMar>
                          <w:top w:w="0" w:type="dxa"/>
                          <w:left w:w="0" w:type="dxa"/>
                          <w:bottom w:w="0" w:type="dxa"/>
                          <w:right w:w="0" w:type="dxa"/>
                        </w:tcMar>
                        <w:vAlign w:val="center"/>
                      </w:tcPr>
                      <w:p w14:paraId="6162A8A3">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27.4</w:t>
                        </w:r>
                      </w:p>
                    </w:tc>
                    <w:tc>
                      <w:tcPr>
                        <w:tcW w:w="178" w:type="pct"/>
                        <w:shd w:val="clear" w:color="auto" w:fill="FFFFFF"/>
                        <w:tcMar>
                          <w:top w:w="0" w:type="dxa"/>
                          <w:left w:w="0" w:type="dxa"/>
                          <w:bottom w:w="0" w:type="dxa"/>
                          <w:right w:w="0" w:type="dxa"/>
                        </w:tcMar>
                        <w:vAlign w:val="center"/>
                      </w:tcPr>
                      <w:p w14:paraId="0B3024A3">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17.4</w:t>
                        </w:r>
                      </w:p>
                    </w:tc>
                    <w:tc>
                      <w:tcPr>
                        <w:tcW w:w="154" w:type="pct"/>
                        <w:shd w:val="clear" w:color="auto" w:fill="FFFFFF"/>
                        <w:tcMar>
                          <w:top w:w="0" w:type="dxa"/>
                          <w:left w:w="0" w:type="dxa"/>
                          <w:bottom w:w="0" w:type="dxa"/>
                          <w:right w:w="0" w:type="dxa"/>
                        </w:tcMar>
                        <w:vAlign w:val="center"/>
                      </w:tcPr>
                      <w:p w14:paraId="1458F01D">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81.2</w:t>
                        </w:r>
                      </w:p>
                    </w:tc>
                    <w:tc>
                      <w:tcPr>
                        <w:tcW w:w="155" w:type="pct"/>
                        <w:shd w:val="clear" w:color="auto" w:fill="FFFFFF"/>
                        <w:tcMar>
                          <w:top w:w="0" w:type="dxa"/>
                          <w:left w:w="0" w:type="dxa"/>
                          <w:bottom w:w="0" w:type="dxa"/>
                          <w:right w:w="0" w:type="dxa"/>
                        </w:tcMar>
                        <w:vAlign w:val="center"/>
                      </w:tcPr>
                      <w:p w14:paraId="1CF928BA">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6</w:t>
                        </w:r>
                        <w:r>
                          <w:rPr>
                            <w:rFonts w:hint="eastAsia" w:cs="Times New Roman" w:eastAsiaTheme="minorEastAsia"/>
                            <w:b w:val="0"/>
                            <w:bCs/>
                            <w:color w:val="auto"/>
                            <w:sz w:val="21"/>
                            <w:szCs w:val="21"/>
                            <w:lang w:val="en-US" w:eastAsia="zh-CN"/>
                          </w:rPr>
                          <w:t>3</w:t>
                        </w:r>
                        <w:r>
                          <w:rPr>
                            <w:rFonts w:hint="eastAsia" w:ascii="Times New Roman" w:hAnsi="Times New Roman" w:cs="Times New Roman" w:eastAsiaTheme="minorEastAsia"/>
                            <w:b w:val="0"/>
                            <w:bCs/>
                            <w:color w:val="auto"/>
                            <w:sz w:val="21"/>
                            <w:szCs w:val="21"/>
                            <w:lang w:val="en-US" w:eastAsia="zh-CN"/>
                          </w:rPr>
                          <w:t>.6</w:t>
                        </w:r>
                      </w:p>
                    </w:tc>
                    <w:tc>
                      <w:tcPr>
                        <w:tcW w:w="155" w:type="pct"/>
                        <w:shd w:val="clear" w:color="auto" w:fill="FFFFFF"/>
                        <w:tcMar>
                          <w:top w:w="0" w:type="dxa"/>
                          <w:left w:w="0" w:type="dxa"/>
                          <w:bottom w:w="0" w:type="dxa"/>
                          <w:right w:w="0" w:type="dxa"/>
                        </w:tcMar>
                        <w:vAlign w:val="center"/>
                      </w:tcPr>
                      <w:p w14:paraId="528B0967">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6</w:t>
                        </w:r>
                        <w:r>
                          <w:rPr>
                            <w:rFonts w:hint="eastAsia" w:cs="Times New Roman" w:eastAsiaTheme="minorEastAsia"/>
                            <w:b w:val="0"/>
                            <w:bCs/>
                            <w:color w:val="auto"/>
                            <w:sz w:val="21"/>
                            <w:szCs w:val="21"/>
                            <w:lang w:val="en-US" w:eastAsia="zh-CN"/>
                          </w:rPr>
                          <w:t>3</w:t>
                        </w:r>
                        <w:r>
                          <w:rPr>
                            <w:rFonts w:hint="eastAsia" w:ascii="Times New Roman" w:hAnsi="Times New Roman" w:cs="Times New Roman" w:eastAsiaTheme="minorEastAsia"/>
                            <w:b w:val="0"/>
                            <w:bCs/>
                            <w:color w:val="auto"/>
                            <w:sz w:val="21"/>
                            <w:szCs w:val="21"/>
                            <w:lang w:val="en-US" w:eastAsia="zh-CN"/>
                          </w:rPr>
                          <w:t>.4</w:t>
                        </w:r>
                      </w:p>
                    </w:tc>
                    <w:tc>
                      <w:tcPr>
                        <w:tcW w:w="166" w:type="pct"/>
                        <w:shd w:val="clear" w:color="auto" w:fill="FFFFFF"/>
                        <w:tcMar>
                          <w:top w:w="0" w:type="dxa"/>
                          <w:left w:w="0" w:type="dxa"/>
                          <w:bottom w:w="0" w:type="dxa"/>
                          <w:right w:w="0" w:type="dxa"/>
                        </w:tcMar>
                        <w:vAlign w:val="center"/>
                      </w:tcPr>
                      <w:p w14:paraId="222E66F3">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6</w:t>
                        </w:r>
                        <w:r>
                          <w:rPr>
                            <w:rFonts w:hint="eastAsia" w:cs="Times New Roman" w:eastAsiaTheme="minorEastAsia"/>
                            <w:b w:val="0"/>
                            <w:bCs/>
                            <w:color w:val="auto"/>
                            <w:sz w:val="21"/>
                            <w:szCs w:val="21"/>
                            <w:lang w:val="en-US" w:eastAsia="zh-CN"/>
                          </w:rPr>
                          <w:t>3</w:t>
                        </w:r>
                        <w:r>
                          <w:rPr>
                            <w:rFonts w:hint="eastAsia" w:ascii="Times New Roman" w:hAnsi="Times New Roman" w:cs="Times New Roman" w:eastAsiaTheme="minorEastAsia"/>
                            <w:b w:val="0"/>
                            <w:bCs/>
                            <w:color w:val="auto"/>
                            <w:sz w:val="21"/>
                            <w:szCs w:val="21"/>
                            <w:lang w:val="en-US" w:eastAsia="zh-CN"/>
                          </w:rPr>
                          <w:t>.4</w:t>
                        </w:r>
                      </w:p>
                    </w:tc>
                    <w:tc>
                      <w:tcPr>
                        <w:tcW w:w="171" w:type="pct"/>
                        <w:shd w:val="clear" w:color="auto" w:fill="FFFFFF"/>
                        <w:tcMar>
                          <w:top w:w="0" w:type="dxa"/>
                          <w:left w:w="0" w:type="dxa"/>
                          <w:bottom w:w="0" w:type="dxa"/>
                          <w:right w:w="0" w:type="dxa"/>
                        </w:tcMar>
                        <w:vAlign w:val="center"/>
                      </w:tcPr>
                      <w:p w14:paraId="5EF95A3D">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6</w:t>
                        </w:r>
                        <w:r>
                          <w:rPr>
                            <w:rFonts w:hint="eastAsia" w:cs="Times New Roman" w:eastAsiaTheme="minorEastAsia"/>
                            <w:b w:val="0"/>
                            <w:bCs/>
                            <w:color w:val="auto"/>
                            <w:sz w:val="21"/>
                            <w:szCs w:val="21"/>
                            <w:lang w:val="en-US" w:eastAsia="zh-CN"/>
                          </w:rPr>
                          <w:t>3</w:t>
                        </w:r>
                        <w:r>
                          <w:rPr>
                            <w:rFonts w:hint="eastAsia" w:ascii="Times New Roman" w:hAnsi="Times New Roman" w:cs="Times New Roman" w:eastAsiaTheme="minorEastAsia"/>
                            <w:b w:val="0"/>
                            <w:bCs/>
                            <w:color w:val="auto"/>
                            <w:sz w:val="21"/>
                            <w:szCs w:val="21"/>
                            <w:lang w:val="en-US" w:eastAsia="zh-CN"/>
                          </w:rPr>
                          <w:t>.4</w:t>
                        </w:r>
                      </w:p>
                    </w:tc>
                    <w:tc>
                      <w:tcPr>
                        <w:tcW w:w="178" w:type="pct"/>
                        <w:vMerge w:val="restart"/>
                        <w:shd w:val="clear" w:color="auto" w:fill="FFFFFF"/>
                        <w:tcMar>
                          <w:top w:w="0" w:type="dxa"/>
                          <w:left w:w="0" w:type="dxa"/>
                          <w:bottom w:w="0" w:type="dxa"/>
                          <w:right w:w="0" w:type="dxa"/>
                        </w:tcMar>
                        <w:vAlign w:val="center"/>
                      </w:tcPr>
                      <w:p w14:paraId="412B4C0F">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昼间</w:t>
                        </w:r>
                      </w:p>
                    </w:tc>
                    <w:tc>
                      <w:tcPr>
                        <w:tcW w:w="155" w:type="pct"/>
                        <w:shd w:val="clear" w:color="auto" w:fill="FFFFFF"/>
                        <w:tcMar>
                          <w:top w:w="0" w:type="dxa"/>
                          <w:left w:w="0" w:type="dxa"/>
                          <w:bottom w:w="0" w:type="dxa"/>
                          <w:right w:w="0" w:type="dxa"/>
                        </w:tcMar>
                        <w:vAlign w:val="center"/>
                      </w:tcPr>
                      <w:p w14:paraId="6F225C8E">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16.0</w:t>
                        </w:r>
                      </w:p>
                    </w:tc>
                    <w:tc>
                      <w:tcPr>
                        <w:tcW w:w="160" w:type="pct"/>
                        <w:shd w:val="clear" w:color="auto" w:fill="FFFFFF"/>
                        <w:tcMar>
                          <w:top w:w="0" w:type="dxa"/>
                          <w:left w:w="0" w:type="dxa"/>
                          <w:bottom w:w="0" w:type="dxa"/>
                          <w:right w:w="0" w:type="dxa"/>
                        </w:tcMar>
                        <w:vAlign w:val="center"/>
                      </w:tcPr>
                      <w:p w14:paraId="0A27D0BA">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16.0</w:t>
                        </w:r>
                      </w:p>
                    </w:tc>
                    <w:tc>
                      <w:tcPr>
                        <w:tcW w:w="155" w:type="pct"/>
                        <w:shd w:val="clear" w:color="auto" w:fill="FFFFFF"/>
                        <w:tcMar>
                          <w:top w:w="0" w:type="dxa"/>
                          <w:left w:w="0" w:type="dxa"/>
                          <w:bottom w:w="0" w:type="dxa"/>
                          <w:right w:w="0" w:type="dxa"/>
                        </w:tcMar>
                        <w:vAlign w:val="center"/>
                      </w:tcPr>
                      <w:p w14:paraId="451D26D5">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16.0</w:t>
                        </w:r>
                      </w:p>
                    </w:tc>
                    <w:tc>
                      <w:tcPr>
                        <w:tcW w:w="154" w:type="pct"/>
                        <w:shd w:val="clear" w:color="auto" w:fill="FFFFFF"/>
                        <w:tcMar>
                          <w:top w:w="0" w:type="dxa"/>
                          <w:left w:w="0" w:type="dxa"/>
                          <w:bottom w:w="0" w:type="dxa"/>
                          <w:right w:w="0" w:type="dxa"/>
                        </w:tcMar>
                        <w:vAlign w:val="center"/>
                      </w:tcPr>
                      <w:p w14:paraId="054D9B6A">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16.0</w:t>
                        </w:r>
                      </w:p>
                    </w:tc>
                    <w:tc>
                      <w:tcPr>
                        <w:tcW w:w="184" w:type="pct"/>
                        <w:shd w:val="clear" w:color="auto" w:fill="FFFFFF"/>
                        <w:tcMar>
                          <w:top w:w="0" w:type="dxa"/>
                          <w:left w:w="0" w:type="dxa"/>
                          <w:bottom w:w="0" w:type="dxa"/>
                          <w:right w:w="0" w:type="dxa"/>
                        </w:tcMar>
                        <w:vAlign w:val="center"/>
                      </w:tcPr>
                      <w:p w14:paraId="3899636B">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47.6</w:t>
                        </w:r>
                      </w:p>
                    </w:tc>
                    <w:tc>
                      <w:tcPr>
                        <w:tcW w:w="161" w:type="pct"/>
                        <w:shd w:val="clear" w:color="auto" w:fill="FFFFFF"/>
                        <w:tcMar>
                          <w:top w:w="0" w:type="dxa"/>
                          <w:left w:w="0" w:type="dxa"/>
                          <w:bottom w:w="0" w:type="dxa"/>
                          <w:right w:w="0" w:type="dxa"/>
                        </w:tcMar>
                        <w:vAlign w:val="center"/>
                      </w:tcPr>
                      <w:p w14:paraId="4E994C36">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47.4</w:t>
                        </w:r>
                      </w:p>
                    </w:tc>
                    <w:tc>
                      <w:tcPr>
                        <w:tcW w:w="184" w:type="pct"/>
                        <w:shd w:val="clear" w:color="auto" w:fill="FFFFFF"/>
                        <w:tcMar>
                          <w:top w:w="0" w:type="dxa"/>
                          <w:left w:w="0" w:type="dxa"/>
                          <w:bottom w:w="0" w:type="dxa"/>
                          <w:right w:w="0" w:type="dxa"/>
                        </w:tcMar>
                        <w:vAlign w:val="center"/>
                      </w:tcPr>
                      <w:p w14:paraId="3A5C7A80">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47.4</w:t>
                        </w:r>
                      </w:p>
                    </w:tc>
                    <w:tc>
                      <w:tcPr>
                        <w:tcW w:w="174" w:type="pct"/>
                        <w:shd w:val="clear" w:color="auto" w:fill="FFFFFF"/>
                        <w:tcMar>
                          <w:top w:w="0" w:type="dxa"/>
                          <w:left w:w="0" w:type="dxa"/>
                          <w:bottom w:w="0" w:type="dxa"/>
                          <w:right w:w="0" w:type="dxa"/>
                        </w:tcMar>
                        <w:vAlign w:val="center"/>
                      </w:tcPr>
                      <w:p w14:paraId="5F498CB0">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47.4</w:t>
                        </w:r>
                      </w:p>
                    </w:tc>
                    <w:tc>
                      <w:tcPr>
                        <w:tcW w:w="237" w:type="pct"/>
                        <w:shd w:val="clear" w:color="auto" w:fill="FFFFFF"/>
                        <w:tcMar>
                          <w:top w:w="0" w:type="dxa"/>
                          <w:left w:w="0" w:type="dxa"/>
                          <w:bottom w:w="0" w:type="dxa"/>
                          <w:right w:w="0" w:type="dxa"/>
                        </w:tcMar>
                        <w:vAlign w:val="center"/>
                      </w:tcPr>
                      <w:p w14:paraId="3C40D551">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w:t>
                        </w:r>
                      </w:p>
                    </w:tc>
                  </w:tr>
                  <w:tr w14:paraId="36ADE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72" w:type="pct"/>
                        <w:shd w:val="clear" w:color="auto" w:fill="FFFFFF"/>
                        <w:tcMar>
                          <w:top w:w="0" w:type="dxa"/>
                          <w:left w:w="0" w:type="dxa"/>
                          <w:bottom w:w="0" w:type="dxa"/>
                          <w:right w:w="0" w:type="dxa"/>
                        </w:tcMar>
                        <w:vAlign w:val="center"/>
                      </w:tcPr>
                      <w:p w14:paraId="6043549F">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2</w:t>
                        </w:r>
                      </w:p>
                    </w:tc>
                    <w:tc>
                      <w:tcPr>
                        <w:tcW w:w="305" w:type="pct"/>
                        <w:shd w:val="clear" w:color="auto" w:fill="FFFFFF"/>
                        <w:tcMar>
                          <w:top w:w="0" w:type="dxa"/>
                          <w:left w:w="0" w:type="dxa"/>
                          <w:bottom w:w="0" w:type="dxa"/>
                          <w:right w:w="0" w:type="dxa"/>
                        </w:tcMar>
                        <w:vAlign w:val="center"/>
                      </w:tcPr>
                      <w:p w14:paraId="5B43C3AF">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晾晒厂房2</w:t>
                        </w:r>
                      </w:p>
                    </w:tc>
                    <w:tc>
                      <w:tcPr>
                        <w:tcW w:w="466" w:type="pct"/>
                        <w:shd w:val="clear" w:color="auto" w:fill="FFFFFF"/>
                        <w:tcMar>
                          <w:top w:w="0" w:type="dxa"/>
                          <w:left w:w="0" w:type="dxa"/>
                          <w:bottom w:w="0" w:type="dxa"/>
                          <w:right w:w="0" w:type="dxa"/>
                        </w:tcMar>
                        <w:vAlign w:val="center"/>
                      </w:tcPr>
                      <w:p w14:paraId="0B4BDA0D">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运输车辆5</w:t>
                        </w:r>
                      </w:p>
                    </w:tc>
                    <w:tc>
                      <w:tcPr>
                        <w:tcW w:w="249" w:type="pct"/>
                        <w:shd w:val="clear" w:color="auto" w:fill="FFFFFF"/>
                        <w:tcMar>
                          <w:top w:w="0" w:type="dxa"/>
                          <w:left w:w="0" w:type="dxa"/>
                          <w:bottom w:w="0" w:type="dxa"/>
                          <w:right w:w="0" w:type="dxa"/>
                        </w:tcMar>
                        <w:vAlign w:val="center"/>
                      </w:tcPr>
                      <w:p w14:paraId="5035F1A2">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80</w:t>
                        </w:r>
                      </w:p>
                    </w:tc>
                    <w:tc>
                      <w:tcPr>
                        <w:tcW w:w="217" w:type="pct"/>
                        <w:vMerge w:val="continue"/>
                        <w:shd w:val="clear" w:color="auto" w:fill="FFFFFF"/>
                        <w:tcMar>
                          <w:top w:w="0" w:type="dxa"/>
                          <w:left w:w="0" w:type="dxa"/>
                          <w:bottom w:w="0" w:type="dxa"/>
                          <w:right w:w="0" w:type="dxa"/>
                        </w:tcMar>
                        <w:vAlign w:val="center"/>
                      </w:tcPr>
                      <w:p w14:paraId="198C5ED6">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p>
                    </w:tc>
                    <w:tc>
                      <w:tcPr>
                        <w:tcW w:w="186" w:type="pct"/>
                        <w:shd w:val="clear" w:color="auto" w:fill="FFFFFF"/>
                        <w:tcMar>
                          <w:top w:w="0" w:type="dxa"/>
                          <w:left w:w="0" w:type="dxa"/>
                          <w:bottom w:w="0" w:type="dxa"/>
                          <w:right w:w="0" w:type="dxa"/>
                        </w:tcMar>
                        <w:vAlign w:val="center"/>
                      </w:tcPr>
                      <w:p w14:paraId="5856B7B6">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-65</w:t>
                        </w:r>
                      </w:p>
                    </w:tc>
                    <w:tc>
                      <w:tcPr>
                        <w:tcW w:w="176" w:type="pct"/>
                        <w:shd w:val="clear" w:color="auto" w:fill="FFFFFF"/>
                        <w:tcMar>
                          <w:top w:w="0" w:type="dxa"/>
                          <w:left w:w="0" w:type="dxa"/>
                          <w:bottom w:w="0" w:type="dxa"/>
                          <w:right w:w="0" w:type="dxa"/>
                        </w:tcMar>
                        <w:vAlign w:val="center"/>
                      </w:tcPr>
                      <w:p w14:paraId="61E44D85">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-152</w:t>
                        </w:r>
                      </w:p>
                    </w:tc>
                    <w:tc>
                      <w:tcPr>
                        <w:tcW w:w="174" w:type="pct"/>
                        <w:shd w:val="clear" w:color="auto" w:fill="FFFFFF"/>
                        <w:tcMar>
                          <w:top w:w="0" w:type="dxa"/>
                          <w:left w:w="0" w:type="dxa"/>
                          <w:bottom w:w="0" w:type="dxa"/>
                          <w:right w:w="0" w:type="dxa"/>
                        </w:tcMar>
                        <w:vAlign w:val="center"/>
                      </w:tcPr>
                      <w:p w14:paraId="26B0EB5B">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1.2</w:t>
                        </w:r>
                      </w:p>
                    </w:tc>
                    <w:tc>
                      <w:tcPr>
                        <w:tcW w:w="155" w:type="pct"/>
                        <w:shd w:val="clear" w:color="auto" w:fill="FFFFFF"/>
                        <w:tcMar>
                          <w:top w:w="0" w:type="dxa"/>
                          <w:left w:w="0" w:type="dxa"/>
                          <w:bottom w:w="0" w:type="dxa"/>
                          <w:right w:w="0" w:type="dxa"/>
                        </w:tcMar>
                        <w:vAlign w:val="center"/>
                      </w:tcPr>
                      <w:p w14:paraId="77683E99">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2</w:t>
                        </w:r>
                        <w:r>
                          <w:rPr>
                            <w:rFonts w:hint="eastAsia" w:ascii="Times New Roman" w:hAnsi="Times New Roman" w:cs="Times New Roman" w:eastAsiaTheme="minorEastAsia"/>
                            <w:b w:val="0"/>
                            <w:bCs/>
                            <w:color w:val="auto"/>
                            <w:sz w:val="21"/>
                            <w:szCs w:val="21"/>
                            <w:lang w:val="en-US" w:eastAsia="zh-CN"/>
                          </w:rPr>
                          <w:t>8.3</w:t>
                        </w:r>
                      </w:p>
                    </w:tc>
                    <w:tc>
                      <w:tcPr>
                        <w:tcW w:w="172" w:type="pct"/>
                        <w:shd w:val="clear" w:color="auto" w:fill="FFFFFF"/>
                        <w:tcMar>
                          <w:top w:w="0" w:type="dxa"/>
                          <w:left w:w="0" w:type="dxa"/>
                          <w:bottom w:w="0" w:type="dxa"/>
                          <w:right w:w="0" w:type="dxa"/>
                        </w:tcMar>
                        <w:vAlign w:val="center"/>
                      </w:tcPr>
                      <w:p w14:paraId="703BCECC">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5</w:t>
                        </w:r>
                        <w:r>
                          <w:rPr>
                            <w:rFonts w:hint="eastAsia" w:ascii="Times New Roman" w:hAnsi="Times New Roman" w:cs="Times New Roman" w:eastAsiaTheme="minorEastAsia"/>
                            <w:b w:val="0"/>
                            <w:bCs/>
                            <w:color w:val="auto"/>
                            <w:sz w:val="21"/>
                            <w:szCs w:val="21"/>
                            <w:lang w:val="en-US" w:eastAsia="zh-CN"/>
                          </w:rPr>
                          <w:t>9.1</w:t>
                        </w:r>
                      </w:p>
                    </w:tc>
                    <w:tc>
                      <w:tcPr>
                        <w:tcW w:w="178" w:type="pct"/>
                        <w:shd w:val="clear" w:color="auto" w:fill="FFFFFF"/>
                        <w:tcMar>
                          <w:top w:w="0" w:type="dxa"/>
                          <w:left w:w="0" w:type="dxa"/>
                          <w:bottom w:w="0" w:type="dxa"/>
                          <w:right w:w="0" w:type="dxa"/>
                        </w:tcMar>
                        <w:vAlign w:val="center"/>
                      </w:tcPr>
                      <w:p w14:paraId="24440CBB">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2</w:t>
                        </w:r>
                        <w:r>
                          <w:rPr>
                            <w:rFonts w:hint="eastAsia" w:ascii="Times New Roman" w:hAnsi="Times New Roman" w:cs="Times New Roman" w:eastAsiaTheme="minorEastAsia"/>
                            <w:b w:val="0"/>
                            <w:bCs/>
                            <w:color w:val="auto"/>
                            <w:sz w:val="21"/>
                            <w:szCs w:val="21"/>
                            <w:lang w:val="en-US" w:eastAsia="zh-CN"/>
                          </w:rPr>
                          <w:t>0.4</w:t>
                        </w:r>
                      </w:p>
                    </w:tc>
                    <w:tc>
                      <w:tcPr>
                        <w:tcW w:w="154" w:type="pct"/>
                        <w:shd w:val="clear" w:color="auto" w:fill="FFFFFF"/>
                        <w:tcMar>
                          <w:top w:w="0" w:type="dxa"/>
                          <w:left w:w="0" w:type="dxa"/>
                          <w:bottom w:w="0" w:type="dxa"/>
                          <w:right w:w="0" w:type="dxa"/>
                        </w:tcMar>
                        <w:vAlign w:val="center"/>
                      </w:tcPr>
                      <w:p w14:paraId="12895C8D">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6</w:t>
                        </w:r>
                        <w:r>
                          <w:rPr>
                            <w:rFonts w:hint="eastAsia" w:ascii="Times New Roman" w:hAnsi="Times New Roman" w:cs="Times New Roman" w:eastAsiaTheme="minorEastAsia"/>
                            <w:b w:val="0"/>
                            <w:bCs/>
                            <w:color w:val="auto"/>
                            <w:sz w:val="21"/>
                            <w:szCs w:val="21"/>
                            <w:lang w:val="en-US" w:eastAsia="zh-CN"/>
                          </w:rPr>
                          <w:t>9.6</w:t>
                        </w:r>
                      </w:p>
                    </w:tc>
                    <w:tc>
                      <w:tcPr>
                        <w:tcW w:w="155" w:type="pct"/>
                        <w:shd w:val="clear" w:color="auto" w:fill="FFFFFF"/>
                        <w:tcMar>
                          <w:top w:w="0" w:type="dxa"/>
                          <w:left w:w="0" w:type="dxa"/>
                          <w:bottom w:w="0" w:type="dxa"/>
                          <w:right w:w="0" w:type="dxa"/>
                        </w:tcMar>
                        <w:vAlign w:val="center"/>
                      </w:tcPr>
                      <w:p w14:paraId="1A2279B5">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6</w:t>
                        </w:r>
                        <w:r>
                          <w:rPr>
                            <w:rFonts w:hint="eastAsia" w:cs="Times New Roman" w:eastAsiaTheme="minorEastAsia"/>
                            <w:b w:val="0"/>
                            <w:bCs/>
                            <w:color w:val="auto"/>
                            <w:sz w:val="21"/>
                            <w:szCs w:val="21"/>
                            <w:lang w:val="en-US" w:eastAsia="zh-CN"/>
                          </w:rPr>
                          <w:t>3</w:t>
                        </w:r>
                        <w:r>
                          <w:rPr>
                            <w:rFonts w:hint="eastAsia" w:ascii="Times New Roman" w:hAnsi="Times New Roman" w:cs="Times New Roman" w:eastAsiaTheme="minorEastAsia"/>
                            <w:b w:val="0"/>
                            <w:bCs/>
                            <w:color w:val="auto"/>
                            <w:sz w:val="21"/>
                            <w:szCs w:val="21"/>
                            <w:lang w:val="en-US" w:eastAsia="zh-CN"/>
                          </w:rPr>
                          <w:t>.5</w:t>
                        </w:r>
                      </w:p>
                    </w:tc>
                    <w:tc>
                      <w:tcPr>
                        <w:tcW w:w="155" w:type="pct"/>
                        <w:shd w:val="clear" w:color="auto" w:fill="FFFFFF"/>
                        <w:tcMar>
                          <w:top w:w="0" w:type="dxa"/>
                          <w:left w:w="0" w:type="dxa"/>
                          <w:bottom w:w="0" w:type="dxa"/>
                          <w:right w:w="0" w:type="dxa"/>
                        </w:tcMar>
                        <w:vAlign w:val="center"/>
                      </w:tcPr>
                      <w:p w14:paraId="68EA1335">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6</w:t>
                        </w:r>
                        <w:r>
                          <w:rPr>
                            <w:rFonts w:hint="eastAsia" w:cs="Times New Roman" w:eastAsiaTheme="minorEastAsia"/>
                            <w:b w:val="0"/>
                            <w:bCs/>
                            <w:color w:val="auto"/>
                            <w:sz w:val="21"/>
                            <w:szCs w:val="21"/>
                            <w:lang w:val="en-US" w:eastAsia="zh-CN"/>
                          </w:rPr>
                          <w:t>3</w:t>
                        </w:r>
                        <w:r>
                          <w:rPr>
                            <w:rFonts w:hint="eastAsia" w:ascii="Times New Roman" w:hAnsi="Times New Roman" w:cs="Times New Roman" w:eastAsiaTheme="minorEastAsia"/>
                            <w:b w:val="0"/>
                            <w:bCs/>
                            <w:color w:val="auto"/>
                            <w:sz w:val="21"/>
                            <w:szCs w:val="21"/>
                            <w:lang w:val="en-US" w:eastAsia="zh-CN"/>
                          </w:rPr>
                          <w:t>.4</w:t>
                        </w:r>
                      </w:p>
                    </w:tc>
                    <w:tc>
                      <w:tcPr>
                        <w:tcW w:w="166" w:type="pct"/>
                        <w:shd w:val="clear" w:color="auto" w:fill="FFFFFF"/>
                        <w:tcMar>
                          <w:top w:w="0" w:type="dxa"/>
                          <w:left w:w="0" w:type="dxa"/>
                          <w:bottom w:w="0" w:type="dxa"/>
                          <w:right w:w="0" w:type="dxa"/>
                        </w:tcMar>
                        <w:vAlign w:val="center"/>
                      </w:tcPr>
                      <w:p w14:paraId="1814E4C2">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6</w:t>
                        </w:r>
                        <w:r>
                          <w:rPr>
                            <w:rFonts w:hint="eastAsia" w:cs="Times New Roman" w:eastAsiaTheme="minorEastAsia"/>
                            <w:b w:val="0"/>
                            <w:bCs/>
                            <w:color w:val="auto"/>
                            <w:sz w:val="21"/>
                            <w:szCs w:val="21"/>
                            <w:lang w:val="en-US" w:eastAsia="zh-CN"/>
                          </w:rPr>
                          <w:t>3</w:t>
                        </w:r>
                        <w:r>
                          <w:rPr>
                            <w:rFonts w:hint="eastAsia" w:ascii="Times New Roman" w:hAnsi="Times New Roman" w:cs="Times New Roman" w:eastAsiaTheme="minorEastAsia"/>
                            <w:b w:val="0"/>
                            <w:bCs/>
                            <w:color w:val="auto"/>
                            <w:sz w:val="21"/>
                            <w:szCs w:val="21"/>
                            <w:lang w:val="en-US" w:eastAsia="zh-CN"/>
                          </w:rPr>
                          <w:t>.4</w:t>
                        </w:r>
                      </w:p>
                    </w:tc>
                    <w:tc>
                      <w:tcPr>
                        <w:tcW w:w="171" w:type="pct"/>
                        <w:shd w:val="clear" w:color="auto" w:fill="FFFFFF"/>
                        <w:tcMar>
                          <w:top w:w="0" w:type="dxa"/>
                          <w:left w:w="0" w:type="dxa"/>
                          <w:bottom w:w="0" w:type="dxa"/>
                          <w:right w:w="0" w:type="dxa"/>
                        </w:tcMar>
                        <w:vAlign w:val="center"/>
                      </w:tcPr>
                      <w:p w14:paraId="76681295">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6</w:t>
                        </w:r>
                        <w:r>
                          <w:rPr>
                            <w:rFonts w:hint="eastAsia" w:cs="Times New Roman" w:eastAsiaTheme="minorEastAsia"/>
                            <w:b w:val="0"/>
                            <w:bCs/>
                            <w:color w:val="auto"/>
                            <w:sz w:val="21"/>
                            <w:szCs w:val="21"/>
                            <w:lang w:val="en-US" w:eastAsia="zh-CN"/>
                          </w:rPr>
                          <w:t>3</w:t>
                        </w:r>
                        <w:r>
                          <w:rPr>
                            <w:rFonts w:hint="eastAsia" w:ascii="Times New Roman" w:hAnsi="Times New Roman" w:cs="Times New Roman" w:eastAsiaTheme="minorEastAsia"/>
                            <w:b w:val="0"/>
                            <w:bCs/>
                            <w:color w:val="auto"/>
                            <w:sz w:val="21"/>
                            <w:szCs w:val="21"/>
                            <w:lang w:val="en-US" w:eastAsia="zh-CN"/>
                          </w:rPr>
                          <w:t>.4</w:t>
                        </w:r>
                      </w:p>
                    </w:tc>
                    <w:tc>
                      <w:tcPr>
                        <w:tcW w:w="178" w:type="pct"/>
                        <w:vMerge w:val="continue"/>
                        <w:shd w:val="clear" w:color="auto" w:fill="FFFFFF"/>
                        <w:tcMar>
                          <w:top w:w="0" w:type="dxa"/>
                          <w:left w:w="0" w:type="dxa"/>
                          <w:bottom w:w="0" w:type="dxa"/>
                          <w:right w:w="0" w:type="dxa"/>
                        </w:tcMar>
                        <w:vAlign w:val="center"/>
                      </w:tcPr>
                      <w:p w14:paraId="01F3BF3F">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p>
                    </w:tc>
                    <w:tc>
                      <w:tcPr>
                        <w:tcW w:w="155" w:type="pct"/>
                        <w:shd w:val="clear" w:color="auto" w:fill="FFFFFF"/>
                        <w:tcMar>
                          <w:top w:w="0" w:type="dxa"/>
                          <w:left w:w="0" w:type="dxa"/>
                          <w:bottom w:w="0" w:type="dxa"/>
                          <w:right w:w="0" w:type="dxa"/>
                        </w:tcMar>
                        <w:vAlign w:val="center"/>
                      </w:tcPr>
                      <w:p w14:paraId="436E0382">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16.0</w:t>
                        </w:r>
                      </w:p>
                    </w:tc>
                    <w:tc>
                      <w:tcPr>
                        <w:tcW w:w="160" w:type="pct"/>
                        <w:shd w:val="clear" w:color="auto" w:fill="FFFFFF"/>
                        <w:tcMar>
                          <w:top w:w="0" w:type="dxa"/>
                          <w:left w:w="0" w:type="dxa"/>
                          <w:bottom w:w="0" w:type="dxa"/>
                          <w:right w:w="0" w:type="dxa"/>
                        </w:tcMar>
                        <w:vAlign w:val="center"/>
                      </w:tcPr>
                      <w:p w14:paraId="393EF769">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16.0</w:t>
                        </w:r>
                      </w:p>
                    </w:tc>
                    <w:tc>
                      <w:tcPr>
                        <w:tcW w:w="155" w:type="pct"/>
                        <w:shd w:val="clear" w:color="auto" w:fill="FFFFFF"/>
                        <w:tcMar>
                          <w:top w:w="0" w:type="dxa"/>
                          <w:left w:w="0" w:type="dxa"/>
                          <w:bottom w:w="0" w:type="dxa"/>
                          <w:right w:w="0" w:type="dxa"/>
                        </w:tcMar>
                        <w:vAlign w:val="center"/>
                      </w:tcPr>
                      <w:p w14:paraId="3E864FD9">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16.0</w:t>
                        </w:r>
                      </w:p>
                    </w:tc>
                    <w:tc>
                      <w:tcPr>
                        <w:tcW w:w="154" w:type="pct"/>
                        <w:shd w:val="clear" w:color="auto" w:fill="FFFFFF"/>
                        <w:tcMar>
                          <w:top w:w="0" w:type="dxa"/>
                          <w:left w:w="0" w:type="dxa"/>
                          <w:bottom w:w="0" w:type="dxa"/>
                          <w:right w:w="0" w:type="dxa"/>
                        </w:tcMar>
                        <w:vAlign w:val="center"/>
                      </w:tcPr>
                      <w:p w14:paraId="472ABA00">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16.0</w:t>
                        </w:r>
                      </w:p>
                    </w:tc>
                    <w:tc>
                      <w:tcPr>
                        <w:tcW w:w="184" w:type="pct"/>
                        <w:shd w:val="clear" w:color="auto" w:fill="FFFFFF"/>
                        <w:tcMar>
                          <w:top w:w="0" w:type="dxa"/>
                          <w:left w:w="0" w:type="dxa"/>
                          <w:bottom w:w="0" w:type="dxa"/>
                          <w:right w:w="0" w:type="dxa"/>
                        </w:tcMar>
                        <w:vAlign w:val="center"/>
                      </w:tcPr>
                      <w:p w14:paraId="2914E68F">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47.5</w:t>
                        </w:r>
                      </w:p>
                    </w:tc>
                    <w:tc>
                      <w:tcPr>
                        <w:tcW w:w="161" w:type="pct"/>
                        <w:shd w:val="clear" w:color="auto" w:fill="FFFFFF"/>
                        <w:tcMar>
                          <w:top w:w="0" w:type="dxa"/>
                          <w:left w:w="0" w:type="dxa"/>
                          <w:bottom w:w="0" w:type="dxa"/>
                          <w:right w:w="0" w:type="dxa"/>
                        </w:tcMar>
                        <w:vAlign w:val="center"/>
                      </w:tcPr>
                      <w:p w14:paraId="36642C2E">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47.4</w:t>
                        </w:r>
                      </w:p>
                    </w:tc>
                    <w:tc>
                      <w:tcPr>
                        <w:tcW w:w="184" w:type="pct"/>
                        <w:shd w:val="clear" w:color="auto" w:fill="FFFFFF"/>
                        <w:tcMar>
                          <w:top w:w="0" w:type="dxa"/>
                          <w:left w:w="0" w:type="dxa"/>
                          <w:bottom w:w="0" w:type="dxa"/>
                          <w:right w:w="0" w:type="dxa"/>
                        </w:tcMar>
                        <w:vAlign w:val="center"/>
                      </w:tcPr>
                      <w:p w14:paraId="7CFC5805">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47.4</w:t>
                        </w:r>
                      </w:p>
                    </w:tc>
                    <w:tc>
                      <w:tcPr>
                        <w:tcW w:w="174" w:type="pct"/>
                        <w:shd w:val="clear" w:color="auto" w:fill="FFFFFF"/>
                        <w:tcMar>
                          <w:top w:w="0" w:type="dxa"/>
                          <w:left w:w="0" w:type="dxa"/>
                          <w:bottom w:w="0" w:type="dxa"/>
                          <w:right w:w="0" w:type="dxa"/>
                        </w:tcMar>
                        <w:vAlign w:val="center"/>
                      </w:tcPr>
                      <w:p w14:paraId="42483168">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47.4</w:t>
                        </w:r>
                      </w:p>
                    </w:tc>
                    <w:tc>
                      <w:tcPr>
                        <w:tcW w:w="237" w:type="pct"/>
                        <w:shd w:val="clear" w:color="auto" w:fill="FFFFFF"/>
                        <w:tcMar>
                          <w:top w:w="0" w:type="dxa"/>
                          <w:left w:w="0" w:type="dxa"/>
                          <w:bottom w:w="0" w:type="dxa"/>
                          <w:right w:w="0" w:type="dxa"/>
                        </w:tcMar>
                        <w:vAlign w:val="center"/>
                      </w:tcPr>
                      <w:p w14:paraId="191D38D6">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w:t>
                        </w:r>
                      </w:p>
                    </w:tc>
                  </w:tr>
                  <w:tr w14:paraId="74652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72" w:type="pct"/>
                        <w:shd w:val="clear" w:color="auto" w:fill="FFFFFF"/>
                        <w:tcMar>
                          <w:top w:w="0" w:type="dxa"/>
                          <w:left w:w="0" w:type="dxa"/>
                          <w:bottom w:w="0" w:type="dxa"/>
                          <w:right w:w="0" w:type="dxa"/>
                        </w:tcMar>
                        <w:vAlign w:val="center"/>
                      </w:tcPr>
                      <w:p w14:paraId="0A370DF5">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3</w:t>
                        </w:r>
                      </w:p>
                    </w:tc>
                    <w:tc>
                      <w:tcPr>
                        <w:tcW w:w="305" w:type="pct"/>
                        <w:shd w:val="clear" w:color="auto" w:fill="FFFFFF"/>
                        <w:tcMar>
                          <w:top w:w="0" w:type="dxa"/>
                          <w:left w:w="0" w:type="dxa"/>
                          <w:bottom w:w="0" w:type="dxa"/>
                          <w:right w:w="0" w:type="dxa"/>
                        </w:tcMar>
                        <w:vAlign w:val="center"/>
                      </w:tcPr>
                      <w:p w14:paraId="27A7E8ED">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晾晒厂房2</w:t>
                        </w:r>
                      </w:p>
                    </w:tc>
                    <w:tc>
                      <w:tcPr>
                        <w:tcW w:w="466" w:type="pct"/>
                        <w:shd w:val="clear" w:color="auto" w:fill="FFFFFF"/>
                        <w:tcMar>
                          <w:top w:w="0" w:type="dxa"/>
                          <w:left w:w="0" w:type="dxa"/>
                          <w:bottom w:w="0" w:type="dxa"/>
                          <w:right w:w="0" w:type="dxa"/>
                        </w:tcMar>
                        <w:vAlign w:val="center"/>
                      </w:tcPr>
                      <w:p w14:paraId="27870219">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装载机1</w:t>
                        </w:r>
                      </w:p>
                    </w:tc>
                    <w:tc>
                      <w:tcPr>
                        <w:tcW w:w="249" w:type="pct"/>
                        <w:shd w:val="clear" w:color="auto" w:fill="FFFFFF"/>
                        <w:tcMar>
                          <w:top w:w="0" w:type="dxa"/>
                          <w:left w:w="0" w:type="dxa"/>
                          <w:bottom w:w="0" w:type="dxa"/>
                          <w:right w:w="0" w:type="dxa"/>
                        </w:tcMar>
                        <w:vAlign w:val="center"/>
                      </w:tcPr>
                      <w:p w14:paraId="4DDAF906">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85</w:t>
                        </w:r>
                      </w:p>
                    </w:tc>
                    <w:tc>
                      <w:tcPr>
                        <w:tcW w:w="217" w:type="pct"/>
                        <w:vMerge w:val="continue"/>
                        <w:shd w:val="clear" w:color="auto" w:fill="FFFFFF"/>
                        <w:tcMar>
                          <w:top w:w="0" w:type="dxa"/>
                          <w:left w:w="0" w:type="dxa"/>
                          <w:bottom w:w="0" w:type="dxa"/>
                          <w:right w:w="0" w:type="dxa"/>
                        </w:tcMar>
                        <w:vAlign w:val="center"/>
                      </w:tcPr>
                      <w:p w14:paraId="45B0A3BF">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p>
                    </w:tc>
                    <w:tc>
                      <w:tcPr>
                        <w:tcW w:w="186" w:type="pct"/>
                        <w:shd w:val="clear" w:color="auto" w:fill="FFFFFF"/>
                        <w:tcMar>
                          <w:top w:w="0" w:type="dxa"/>
                          <w:left w:w="0" w:type="dxa"/>
                          <w:bottom w:w="0" w:type="dxa"/>
                          <w:right w:w="0" w:type="dxa"/>
                        </w:tcMar>
                        <w:vAlign w:val="center"/>
                      </w:tcPr>
                      <w:p w14:paraId="5075FD78">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-70</w:t>
                        </w:r>
                      </w:p>
                    </w:tc>
                    <w:tc>
                      <w:tcPr>
                        <w:tcW w:w="176" w:type="pct"/>
                        <w:shd w:val="clear" w:color="auto" w:fill="FFFFFF"/>
                        <w:tcMar>
                          <w:top w:w="0" w:type="dxa"/>
                          <w:left w:w="0" w:type="dxa"/>
                          <w:bottom w:w="0" w:type="dxa"/>
                          <w:right w:w="0" w:type="dxa"/>
                        </w:tcMar>
                        <w:vAlign w:val="center"/>
                      </w:tcPr>
                      <w:p w14:paraId="6CE195FD">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-166</w:t>
                        </w:r>
                      </w:p>
                    </w:tc>
                    <w:tc>
                      <w:tcPr>
                        <w:tcW w:w="174" w:type="pct"/>
                        <w:shd w:val="clear" w:color="auto" w:fill="FFFFFF"/>
                        <w:tcMar>
                          <w:top w:w="0" w:type="dxa"/>
                          <w:left w:w="0" w:type="dxa"/>
                          <w:bottom w:w="0" w:type="dxa"/>
                          <w:right w:w="0" w:type="dxa"/>
                        </w:tcMar>
                        <w:vAlign w:val="center"/>
                      </w:tcPr>
                      <w:p w14:paraId="53225836">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1.2</w:t>
                        </w:r>
                      </w:p>
                    </w:tc>
                    <w:tc>
                      <w:tcPr>
                        <w:tcW w:w="155" w:type="pct"/>
                        <w:shd w:val="clear" w:color="auto" w:fill="FFFFFF"/>
                        <w:tcMar>
                          <w:top w:w="0" w:type="dxa"/>
                          <w:left w:w="0" w:type="dxa"/>
                          <w:bottom w:w="0" w:type="dxa"/>
                          <w:right w:w="0" w:type="dxa"/>
                        </w:tcMar>
                        <w:vAlign w:val="center"/>
                      </w:tcPr>
                      <w:p w14:paraId="3F7F0673">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25.3</w:t>
                        </w:r>
                      </w:p>
                    </w:tc>
                    <w:tc>
                      <w:tcPr>
                        <w:tcW w:w="172" w:type="pct"/>
                        <w:shd w:val="clear" w:color="auto" w:fill="FFFFFF"/>
                        <w:tcMar>
                          <w:top w:w="0" w:type="dxa"/>
                          <w:left w:w="0" w:type="dxa"/>
                          <w:bottom w:w="0" w:type="dxa"/>
                          <w:right w:w="0" w:type="dxa"/>
                        </w:tcMar>
                        <w:vAlign w:val="center"/>
                      </w:tcPr>
                      <w:p w14:paraId="2B0B36D8">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5</w:t>
                        </w:r>
                        <w:r>
                          <w:rPr>
                            <w:rFonts w:hint="eastAsia" w:ascii="Times New Roman" w:hAnsi="Times New Roman" w:cs="Times New Roman" w:eastAsiaTheme="minorEastAsia"/>
                            <w:b w:val="0"/>
                            <w:bCs/>
                            <w:color w:val="auto"/>
                            <w:sz w:val="21"/>
                            <w:szCs w:val="21"/>
                            <w:lang w:val="en-US" w:eastAsia="zh-CN"/>
                          </w:rPr>
                          <w:t>7.4</w:t>
                        </w:r>
                      </w:p>
                    </w:tc>
                    <w:tc>
                      <w:tcPr>
                        <w:tcW w:w="178" w:type="pct"/>
                        <w:shd w:val="clear" w:color="auto" w:fill="FFFFFF"/>
                        <w:tcMar>
                          <w:top w:w="0" w:type="dxa"/>
                          <w:left w:w="0" w:type="dxa"/>
                          <w:bottom w:w="0" w:type="dxa"/>
                          <w:right w:w="0" w:type="dxa"/>
                        </w:tcMar>
                        <w:vAlign w:val="center"/>
                      </w:tcPr>
                      <w:p w14:paraId="69D85E1C">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23.4</w:t>
                        </w:r>
                      </w:p>
                    </w:tc>
                    <w:tc>
                      <w:tcPr>
                        <w:tcW w:w="154" w:type="pct"/>
                        <w:shd w:val="clear" w:color="auto" w:fill="FFFFFF"/>
                        <w:tcMar>
                          <w:top w:w="0" w:type="dxa"/>
                          <w:left w:w="0" w:type="dxa"/>
                          <w:bottom w:w="0" w:type="dxa"/>
                          <w:right w:w="0" w:type="dxa"/>
                        </w:tcMar>
                        <w:vAlign w:val="center"/>
                      </w:tcPr>
                      <w:p w14:paraId="7163010D">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6</w:t>
                        </w:r>
                        <w:r>
                          <w:rPr>
                            <w:rFonts w:hint="eastAsia" w:ascii="Times New Roman" w:hAnsi="Times New Roman" w:cs="Times New Roman" w:eastAsiaTheme="minorEastAsia"/>
                            <w:b w:val="0"/>
                            <w:bCs/>
                            <w:color w:val="auto"/>
                            <w:sz w:val="21"/>
                            <w:szCs w:val="21"/>
                            <w:lang w:val="en-US" w:eastAsia="zh-CN"/>
                          </w:rPr>
                          <w:t>8.7</w:t>
                        </w:r>
                      </w:p>
                    </w:tc>
                    <w:tc>
                      <w:tcPr>
                        <w:tcW w:w="155" w:type="pct"/>
                        <w:shd w:val="clear" w:color="auto" w:fill="FFFFFF"/>
                        <w:tcMar>
                          <w:top w:w="0" w:type="dxa"/>
                          <w:left w:w="0" w:type="dxa"/>
                          <w:bottom w:w="0" w:type="dxa"/>
                          <w:right w:w="0" w:type="dxa"/>
                        </w:tcMar>
                        <w:vAlign w:val="center"/>
                      </w:tcPr>
                      <w:p w14:paraId="7FC78160">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6</w:t>
                        </w:r>
                        <w:r>
                          <w:rPr>
                            <w:rFonts w:hint="eastAsia" w:cs="Times New Roman" w:eastAsiaTheme="minorEastAsia"/>
                            <w:b w:val="0"/>
                            <w:bCs/>
                            <w:color w:val="auto"/>
                            <w:sz w:val="21"/>
                            <w:szCs w:val="21"/>
                            <w:lang w:val="en-US" w:eastAsia="zh-CN"/>
                          </w:rPr>
                          <w:t>3</w:t>
                        </w:r>
                        <w:r>
                          <w:rPr>
                            <w:rFonts w:hint="eastAsia" w:ascii="Times New Roman" w:hAnsi="Times New Roman" w:cs="Times New Roman" w:eastAsiaTheme="minorEastAsia"/>
                            <w:b w:val="0"/>
                            <w:bCs/>
                            <w:color w:val="auto"/>
                            <w:sz w:val="21"/>
                            <w:szCs w:val="21"/>
                            <w:lang w:val="en-US" w:eastAsia="zh-CN"/>
                          </w:rPr>
                          <w:t>.4</w:t>
                        </w:r>
                      </w:p>
                    </w:tc>
                    <w:tc>
                      <w:tcPr>
                        <w:tcW w:w="155" w:type="pct"/>
                        <w:shd w:val="clear" w:color="auto" w:fill="FFFFFF"/>
                        <w:tcMar>
                          <w:top w:w="0" w:type="dxa"/>
                          <w:left w:w="0" w:type="dxa"/>
                          <w:bottom w:w="0" w:type="dxa"/>
                          <w:right w:w="0" w:type="dxa"/>
                        </w:tcMar>
                        <w:vAlign w:val="center"/>
                      </w:tcPr>
                      <w:p w14:paraId="4E893949">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6</w:t>
                        </w:r>
                        <w:r>
                          <w:rPr>
                            <w:rFonts w:hint="eastAsia" w:cs="Times New Roman" w:eastAsiaTheme="minorEastAsia"/>
                            <w:b w:val="0"/>
                            <w:bCs/>
                            <w:color w:val="auto"/>
                            <w:sz w:val="21"/>
                            <w:szCs w:val="21"/>
                            <w:lang w:val="en-US" w:eastAsia="zh-CN"/>
                          </w:rPr>
                          <w:t>3</w:t>
                        </w:r>
                        <w:r>
                          <w:rPr>
                            <w:rFonts w:hint="eastAsia" w:ascii="Times New Roman" w:hAnsi="Times New Roman" w:cs="Times New Roman" w:eastAsiaTheme="minorEastAsia"/>
                            <w:b w:val="0"/>
                            <w:bCs/>
                            <w:color w:val="auto"/>
                            <w:sz w:val="21"/>
                            <w:szCs w:val="21"/>
                            <w:lang w:val="en-US" w:eastAsia="zh-CN"/>
                          </w:rPr>
                          <w:t>.4</w:t>
                        </w:r>
                      </w:p>
                    </w:tc>
                    <w:tc>
                      <w:tcPr>
                        <w:tcW w:w="166" w:type="pct"/>
                        <w:shd w:val="clear" w:color="auto" w:fill="FFFFFF"/>
                        <w:tcMar>
                          <w:top w:w="0" w:type="dxa"/>
                          <w:left w:w="0" w:type="dxa"/>
                          <w:bottom w:w="0" w:type="dxa"/>
                          <w:right w:w="0" w:type="dxa"/>
                        </w:tcMar>
                        <w:vAlign w:val="center"/>
                      </w:tcPr>
                      <w:p w14:paraId="75F97E11">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6</w:t>
                        </w:r>
                        <w:r>
                          <w:rPr>
                            <w:rFonts w:hint="eastAsia" w:cs="Times New Roman" w:eastAsiaTheme="minorEastAsia"/>
                            <w:b w:val="0"/>
                            <w:bCs/>
                            <w:color w:val="auto"/>
                            <w:sz w:val="21"/>
                            <w:szCs w:val="21"/>
                            <w:lang w:val="en-US" w:eastAsia="zh-CN"/>
                          </w:rPr>
                          <w:t>3</w:t>
                        </w:r>
                        <w:r>
                          <w:rPr>
                            <w:rFonts w:hint="eastAsia" w:ascii="Times New Roman" w:hAnsi="Times New Roman" w:cs="Times New Roman" w:eastAsiaTheme="minorEastAsia"/>
                            <w:b w:val="0"/>
                            <w:bCs/>
                            <w:color w:val="auto"/>
                            <w:sz w:val="21"/>
                            <w:szCs w:val="21"/>
                            <w:lang w:val="en-US" w:eastAsia="zh-CN"/>
                          </w:rPr>
                          <w:t>.4</w:t>
                        </w:r>
                      </w:p>
                    </w:tc>
                    <w:tc>
                      <w:tcPr>
                        <w:tcW w:w="171" w:type="pct"/>
                        <w:shd w:val="clear" w:color="auto" w:fill="FFFFFF"/>
                        <w:tcMar>
                          <w:top w:w="0" w:type="dxa"/>
                          <w:left w:w="0" w:type="dxa"/>
                          <w:bottom w:w="0" w:type="dxa"/>
                          <w:right w:w="0" w:type="dxa"/>
                        </w:tcMar>
                        <w:vAlign w:val="center"/>
                      </w:tcPr>
                      <w:p w14:paraId="3F693E40">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6</w:t>
                        </w:r>
                        <w:r>
                          <w:rPr>
                            <w:rFonts w:hint="eastAsia" w:cs="Times New Roman" w:eastAsiaTheme="minorEastAsia"/>
                            <w:b w:val="0"/>
                            <w:bCs/>
                            <w:color w:val="auto"/>
                            <w:sz w:val="21"/>
                            <w:szCs w:val="21"/>
                            <w:lang w:val="en-US" w:eastAsia="zh-CN"/>
                          </w:rPr>
                          <w:t>3</w:t>
                        </w:r>
                        <w:r>
                          <w:rPr>
                            <w:rFonts w:hint="eastAsia" w:ascii="Times New Roman" w:hAnsi="Times New Roman" w:cs="Times New Roman" w:eastAsiaTheme="minorEastAsia"/>
                            <w:b w:val="0"/>
                            <w:bCs/>
                            <w:color w:val="auto"/>
                            <w:sz w:val="21"/>
                            <w:szCs w:val="21"/>
                            <w:lang w:val="en-US" w:eastAsia="zh-CN"/>
                          </w:rPr>
                          <w:t>.4</w:t>
                        </w:r>
                      </w:p>
                    </w:tc>
                    <w:tc>
                      <w:tcPr>
                        <w:tcW w:w="178" w:type="pct"/>
                        <w:vMerge w:val="continue"/>
                        <w:shd w:val="clear" w:color="auto" w:fill="FFFFFF"/>
                        <w:tcMar>
                          <w:top w:w="0" w:type="dxa"/>
                          <w:left w:w="0" w:type="dxa"/>
                          <w:bottom w:w="0" w:type="dxa"/>
                          <w:right w:w="0" w:type="dxa"/>
                        </w:tcMar>
                        <w:vAlign w:val="center"/>
                      </w:tcPr>
                      <w:p w14:paraId="34D80EA9">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p>
                    </w:tc>
                    <w:tc>
                      <w:tcPr>
                        <w:tcW w:w="155" w:type="pct"/>
                        <w:shd w:val="clear" w:color="auto" w:fill="FFFFFF"/>
                        <w:tcMar>
                          <w:top w:w="0" w:type="dxa"/>
                          <w:left w:w="0" w:type="dxa"/>
                          <w:bottom w:w="0" w:type="dxa"/>
                          <w:right w:w="0" w:type="dxa"/>
                        </w:tcMar>
                        <w:vAlign w:val="center"/>
                      </w:tcPr>
                      <w:p w14:paraId="5E0AE027">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16.0</w:t>
                        </w:r>
                      </w:p>
                    </w:tc>
                    <w:tc>
                      <w:tcPr>
                        <w:tcW w:w="160" w:type="pct"/>
                        <w:shd w:val="clear" w:color="auto" w:fill="FFFFFF"/>
                        <w:tcMar>
                          <w:top w:w="0" w:type="dxa"/>
                          <w:left w:w="0" w:type="dxa"/>
                          <w:bottom w:w="0" w:type="dxa"/>
                          <w:right w:w="0" w:type="dxa"/>
                        </w:tcMar>
                        <w:vAlign w:val="center"/>
                      </w:tcPr>
                      <w:p w14:paraId="6E5A39FF">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16.0</w:t>
                        </w:r>
                      </w:p>
                    </w:tc>
                    <w:tc>
                      <w:tcPr>
                        <w:tcW w:w="155" w:type="pct"/>
                        <w:shd w:val="clear" w:color="auto" w:fill="FFFFFF"/>
                        <w:tcMar>
                          <w:top w:w="0" w:type="dxa"/>
                          <w:left w:w="0" w:type="dxa"/>
                          <w:bottom w:w="0" w:type="dxa"/>
                          <w:right w:w="0" w:type="dxa"/>
                        </w:tcMar>
                        <w:vAlign w:val="center"/>
                      </w:tcPr>
                      <w:p w14:paraId="52A4718E">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16.0</w:t>
                        </w:r>
                      </w:p>
                    </w:tc>
                    <w:tc>
                      <w:tcPr>
                        <w:tcW w:w="154" w:type="pct"/>
                        <w:shd w:val="clear" w:color="auto" w:fill="FFFFFF"/>
                        <w:tcMar>
                          <w:top w:w="0" w:type="dxa"/>
                          <w:left w:w="0" w:type="dxa"/>
                          <w:bottom w:w="0" w:type="dxa"/>
                          <w:right w:w="0" w:type="dxa"/>
                        </w:tcMar>
                        <w:vAlign w:val="center"/>
                      </w:tcPr>
                      <w:p w14:paraId="3EFC014F">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16.0</w:t>
                        </w:r>
                      </w:p>
                    </w:tc>
                    <w:tc>
                      <w:tcPr>
                        <w:tcW w:w="184" w:type="pct"/>
                        <w:shd w:val="clear" w:color="auto" w:fill="FFFFFF"/>
                        <w:tcMar>
                          <w:top w:w="0" w:type="dxa"/>
                          <w:left w:w="0" w:type="dxa"/>
                          <w:bottom w:w="0" w:type="dxa"/>
                          <w:right w:w="0" w:type="dxa"/>
                        </w:tcMar>
                        <w:vAlign w:val="center"/>
                      </w:tcPr>
                      <w:p w14:paraId="0D7EFAD8">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47.4</w:t>
                        </w:r>
                      </w:p>
                    </w:tc>
                    <w:tc>
                      <w:tcPr>
                        <w:tcW w:w="161" w:type="pct"/>
                        <w:shd w:val="clear" w:color="auto" w:fill="FFFFFF"/>
                        <w:tcMar>
                          <w:top w:w="0" w:type="dxa"/>
                          <w:left w:w="0" w:type="dxa"/>
                          <w:bottom w:w="0" w:type="dxa"/>
                          <w:right w:w="0" w:type="dxa"/>
                        </w:tcMar>
                        <w:vAlign w:val="center"/>
                      </w:tcPr>
                      <w:p w14:paraId="26E5D310">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47.4</w:t>
                        </w:r>
                      </w:p>
                    </w:tc>
                    <w:tc>
                      <w:tcPr>
                        <w:tcW w:w="184" w:type="pct"/>
                        <w:shd w:val="clear" w:color="auto" w:fill="FFFFFF"/>
                        <w:tcMar>
                          <w:top w:w="0" w:type="dxa"/>
                          <w:left w:w="0" w:type="dxa"/>
                          <w:bottom w:w="0" w:type="dxa"/>
                          <w:right w:w="0" w:type="dxa"/>
                        </w:tcMar>
                        <w:vAlign w:val="center"/>
                      </w:tcPr>
                      <w:p w14:paraId="1611B969">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47.4</w:t>
                        </w:r>
                      </w:p>
                    </w:tc>
                    <w:tc>
                      <w:tcPr>
                        <w:tcW w:w="174" w:type="pct"/>
                        <w:shd w:val="clear" w:color="auto" w:fill="FFFFFF"/>
                        <w:tcMar>
                          <w:top w:w="0" w:type="dxa"/>
                          <w:left w:w="0" w:type="dxa"/>
                          <w:bottom w:w="0" w:type="dxa"/>
                          <w:right w:w="0" w:type="dxa"/>
                        </w:tcMar>
                        <w:vAlign w:val="center"/>
                      </w:tcPr>
                      <w:p w14:paraId="1670AE85">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47.4</w:t>
                        </w:r>
                      </w:p>
                    </w:tc>
                    <w:tc>
                      <w:tcPr>
                        <w:tcW w:w="237" w:type="pct"/>
                        <w:shd w:val="clear" w:color="auto" w:fill="FFFFFF"/>
                        <w:tcMar>
                          <w:top w:w="0" w:type="dxa"/>
                          <w:left w:w="0" w:type="dxa"/>
                          <w:bottom w:w="0" w:type="dxa"/>
                          <w:right w:w="0" w:type="dxa"/>
                        </w:tcMar>
                        <w:vAlign w:val="center"/>
                      </w:tcPr>
                      <w:p w14:paraId="54BFFC73">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w:t>
                        </w:r>
                      </w:p>
                    </w:tc>
                  </w:tr>
                  <w:tr w14:paraId="039F9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72" w:type="pct"/>
                        <w:shd w:val="clear" w:color="auto" w:fill="FFFFFF"/>
                        <w:tcMar>
                          <w:top w:w="0" w:type="dxa"/>
                          <w:left w:w="0" w:type="dxa"/>
                          <w:bottom w:w="0" w:type="dxa"/>
                          <w:right w:w="0" w:type="dxa"/>
                        </w:tcMar>
                        <w:vAlign w:val="center"/>
                      </w:tcPr>
                      <w:p w14:paraId="5EBE4069">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w:t>
                        </w:r>
                      </w:p>
                    </w:tc>
                    <w:tc>
                      <w:tcPr>
                        <w:tcW w:w="305" w:type="pct"/>
                        <w:shd w:val="clear" w:color="auto" w:fill="FFFFFF"/>
                        <w:tcMar>
                          <w:top w:w="0" w:type="dxa"/>
                          <w:left w:w="0" w:type="dxa"/>
                          <w:bottom w:w="0" w:type="dxa"/>
                          <w:right w:w="0" w:type="dxa"/>
                        </w:tcMar>
                        <w:vAlign w:val="center"/>
                      </w:tcPr>
                      <w:p w14:paraId="2A755B39">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储煤仓库1</w:t>
                        </w:r>
                      </w:p>
                    </w:tc>
                    <w:tc>
                      <w:tcPr>
                        <w:tcW w:w="466" w:type="pct"/>
                        <w:shd w:val="clear" w:color="auto" w:fill="FFFFFF"/>
                        <w:tcMar>
                          <w:top w:w="0" w:type="dxa"/>
                          <w:left w:w="0" w:type="dxa"/>
                          <w:bottom w:w="0" w:type="dxa"/>
                          <w:right w:w="0" w:type="dxa"/>
                        </w:tcMar>
                        <w:vAlign w:val="center"/>
                      </w:tcPr>
                      <w:p w14:paraId="7D2FC358">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装载机2</w:t>
                        </w:r>
                      </w:p>
                    </w:tc>
                    <w:tc>
                      <w:tcPr>
                        <w:tcW w:w="249" w:type="pct"/>
                        <w:shd w:val="clear" w:color="auto" w:fill="FFFFFF"/>
                        <w:tcMar>
                          <w:top w:w="0" w:type="dxa"/>
                          <w:left w:w="0" w:type="dxa"/>
                          <w:bottom w:w="0" w:type="dxa"/>
                          <w:right w:w="0" w:type="dxa"/>
                        </w:tcMar>
                        <w:vAlign w:val="center"/>
                      </w:tcPr>
                      <w:p w14:paraId="07DD8797">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85</w:t>
                        </w:r>
                      </w:p>
                    </w:tc>
                    <w:tc>
                      <w:tcPr>
                        <w:tcW w:w="217" w:type="pct"/>
                        <w:vMerge w:val="continue"/>
                        <w:shd w:val="clear" w:color="auto" w:fill="FFFFFF"/>
                        <w:tcMar>
                          <w:top w:w="0" w:type="dxa"/>
                          <w:left w:w="0" w:type="dxa"/>
                          <w:bottom w:w="0" w:type="dxa"/>
                          <w:right w:w="0" w:type="dxa"/>
                        </w:tcMar>
                        <w:vAlign w:val="center"/>
                      </w:tcPr>
                      <w:p w14:paraId="57157503">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p>
                    </w:tc>
                    <w:tc>
                      <w:tcPr>
                        <w:tcW w:w="186" w:type="pct"/>
                        <w:shd w:val="clear" w:color="auto" w:fill="FFFFFF"/>
                        <w:tcMar>
                          <w:top w:w="0" w:type="dxa"/>
                          <w:left w:w="0" w:type="dxa"/>
                          <w:bottom w:w="0" w:type="dxa"/>
                          <w:right w:w="0" w:type="dxa"/>
                        </w:tcMar>
                        <w:vAlign w:val="center"/>
                      </w:tcPr>
                      <w:p w14:paraId="3BAF2E9B">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w:t>
                        </w:r>
                      </w:p>
                    </w:tc>
                    <w:tc>
                      <w:tcPr>
                        <w:tcW w:w="176" w:type="pct"/>
                        <w:shd w:val="clear" w:color="auto" w:fill="FFFFFF"/>
                        <w:tcMar>
                          <w:top w:w="0" w:type="dxa"/>
                          <w:left w:w="0" w:type="dxa"/>
                          <w:bottom w:w="0" w:type="dxa"/>
                          <w:right w:w="0" w:type="dxa"/>
                        </w:tcMar>
                        <w:vAlign w:val="center"/>
                      </w:tcPr>
                      <w:p w14:paraId="0652D1A6">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66</w:t>
                        </w:r>
                      </w:p>
                    </w:tc>
                    <w:tc>
                      <w:tcPr>
                        <w:tcW w:w="174" w:type="pct"/>
                        <w:shd w:val="clear" w:color="auto" w:fill="FFFFFF"/>
                        <w:tcMar>
                          <w:top w:w="0" w:type="dxa"/>
                          <w:left w:w="0" w:type="dxa"/>
                          <w:bottom w:w="0" w:type="dxa"/>
                          <w:right w:w="0" w:type="dxa"/>
                        </w:tcMar>
                        <w:vAlign w:val="center"/>
                      </w:tcPr>
                      <w:p w14:paraId="3861BA66">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1.2</w:t>
                        </w:r>
                      </w:p>
                    </w:tc>
                    <w:tc>
                      <w:tcPr>
                        <w:tcW w:w="155" w:type="pct"/>
                        <w:shd w:val="clear" w:color="auto" w:fill="FFFFFF"/>
                        <w:tcMar>
                          <w:top w:w="0" w:type="dxa"/>
                          <w:left w:w="0" w:type="dxa"/>
                          <w:bottom w:w="0" w:type="dxa"/>
                          <w:right w:w="0" w:type="dxa"/>
                        </w:tcMar>
                        <w:vAlign w:val="center"/>
                      </w:tcPr>
                      <w:p w14:paraId="3C9F1BA8">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1</w:t>
                        </w:r>
                        <w:r>
                          <w:rPr>
                            <w:rFonts w:hint="eastAsia" w:ascii="Times New Roman" w:hAnsi="Times New Roman" w:cs="Times New Roman" w:eastAsiaTheme="minorEastAsia"/>
                            <w:b w:val="0"/>
                            <w:bCs/>
                            <w:color w:val="auto"/>
                            <w:sz w:val="21"/>
                            <w:szCs w:val="21"/>
                            <w:lang w:val="en-US" w:eastAsia="zh-CN"/>
                          </w:rPr>
                          <w:t>2.8</w:t>
                        </w:r>
                      </w:p>
                    </w:tc>
                    <w:tc>
                      <w:tcPr>
                        <w:tcW w:w="172" w:type="pct"/>
                        <w:shd w:val="clear" w:color="auto" w:fill="FFFFFF"/>
                        <w:tcMar>
                          <w:top w:w="0" w:type="dxa"/>
                          <w:left w:w="0" w:type="dxa"/>
                          <w:bottom w:w="0" w:type="dxa"/>
                          <w:right w:w="0" w:type="dxa"/>
                        </w:tcMar>
                        <w:vAlign w:val="center"/>
                      </w:tcPr>
                      <w:p w14:paraId="2E86D99C">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2</w:t>
                        </w:r>
                        <w:r>
                          <w:rPr>
                            <w:rFonts w:hint="eastAsia" w:ascii="Times New Roman" w:hAnsi="Times New Roman" w:cs="Times New Roman" w:eastAsiaTheme="minorEastAsia"/>
                            <w:b w:val="0"/>
                            <w:bCs/>
                            <w:color w:val="auto"/>
                            <w:sz w:val="21"/>
                            <w:szCs w:val="21"/>
                            <w:lang w:val="en-US" w:eastAsia="zh-CN"/>
                          </w:rPr>
                          <w:t>9.9</w:t>
                        </w:r>
                      </w:p>
                    </w:tc>
                    <w:tc>
                      <w:tcPr>
                        <w:tcW w:w="178" w:type="pct"/>
                        <w:shd w:val="clear" w:color="auto" w:fill="FFFFFF"/>
                        <w:tcMar>
                          <w:top w:w="0" w:type="dxa"/>
                          <w:left w:w="0" w:type="dxa"/>
                          <w:bottom w:w="0" w:type="dxa"/>
                          <w:right w:w="0" w:type="dxa"/>
                        </w:tcMar>
                        <w:vAlign w:val="center"/>
                      </w:tcPr>
                      <w:p w14:paraId="77AE7650">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1</w:t>
                        </w:r>
                        <w:r>
                          <w:rPr>
                            <w:rFonts w:hint="eastAsia" w:ascii="Times New Roman" w:hAnsi="Times New Roman" w:cs="Times New Roman" w:eastAsiaTheme="minorEastAsia"/>
                            <w:b w:val="0"/>
                            <w:bCs/>
                            <w:color w:val="auto"/>
                            <w:sz w:val="21"/>
                            <w:szCs w:val="21"/>
                            <w:lang w:val="en-US" w:eastAsia="zh-CN"/>
                          </w:rPr>
                          <w:t>6.1</w:t>
                        </w:r>
                      </w:p>
                    </w:tc>
                    <w:tc>
                      <w:tcPr>
                        <w:tcW w:w="154" w:type="pct"/>
                        <w:shd w:val="clear" w:color="auto" w:fill="FFFFFF"/>
                        <w:tcMar>
                          <w:top w:w="0" w:type="dxa"/>
                          <w:left w:w="0" w:type="dxa"/>
                          <w:bottom w:w="0" w:type="dxa"/>
                          <w:right w:w="0" w:type="dxa"/>
                        </w:tcMar>
                        <w:vAlign w:val="center"/>
                      </w:tcPr>
                      <w:p w14:paraId="5BA034F4">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2</w:t>
                        </w:r>
                        <w:r>
                          <w:rPr>
                            <w:rFonts w:hint="eastAsia" w:ascii="Times New Roman" w:hAnsi="Times New Roman" w:cs="Times New Roman" w:eastAsiaTheme="minorEastAsia"/>
                            <w:b w:val="0"/>
                            <w:bCs/>
                            <w:color w:val="auto"/>
                            <w:sz w:val="21"/>
                            <w:szCs w:val="21"/>
                            <w:lang w:val="en-US" w:eastAsia="zh-CN"/>
                          </w:rPr>
                          <w:t>0.4</w:t>
                        </w:r>
                      </w:p>
                    </w:tc>
                    <w:tc>
                      <w:tcPr>
                        <w:tcW w:w="155" w:type="pct"/>
                        <w:shd w:val="clear" w:color="auto" w:fill="FFFFFF"/>
                        <w:tcMar>
                          <w:top w:w="0" w:type="dxa"/>
                          <w:left w:w="0" w:type="dxa"/>
                          <w:bottom w:w="0" w:type="dxa"/>
                          <w:right w:w="0" w:type="dxa"/>
                        </w:tcMar>
                        <w:vAlign w:val="center"/>
                      </w:tcPr>
                      <w:p w14:paraId="1AFC6673">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58</w:t>
                        </w:r>
                        <w:r>
                          <w:rPr>
                            <w:rFonts w:hint="eastAsia" w:ascii="Times New Roman" w:hAnsi="Times New Roman" w:cs="Times New Roman" w:eastAsiaTheme="minorEastAsia"/>
                            <w:b w:val="0"/>
                            <w:bCs/>
                            <w:color w:val="auto"/>
                            <w:sz w:val="21"/>
                            <w:szCs w:val="21"/>
                            <w:lang w:val="en-US" w:eastAsia="zh-CN"/>
                          </w:rPr>
                          <w:t>.4</w:t>
                        </w:r>
                      </w:p>
                    </w:tc>
                    <w:tc>
                      <w:tcPr>
                        <w:tcW w:w="155" w:type="pct"/>
                        <w:shd w:val="clear" w:color="auto" w:fill="FFFFFF"/>
                        <w:tcMar>
                          <w:top w:w="0" w:type="dxa"/>
                          <w:left w:w="0" w:type="dxa"/>
                          <w:bottom w:w="0" w:type="dxa"/>
                          <w:right w:w="0" w:type="dxa"/>
                        </w:tcMar>
                        <w:vAlign w:val="center"/>
                      </w:tcPr>
                      <w:p w14:paraId="13C4846B">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58</w:t>
                        </w:r>
                        <w:r>
                          <w:rPr>
                            <w:rFonts w:hint="eastAsia" w:ascii="Times New Roman" w:hAnsi="Times New Roman" w:cs="Times New Roman" w:eastAsiaTheme="minorEastAsia"/>
                            <w:b w:val="0"/>
                            <w:bCs/>
                            <w:color w:val="auto"/>
                            <w:sz w:val="21"/>
                            <w:szCs w:val="21"/>
                            <w:lang w:val="en-US" w:eastAsia="zh-CN"/>
                          </w:rPr>
                          <w:t>.6</w:t>
                        </w:r>
                      </w:p>
                    </w:tc>
                    <w:tc>
                      <w:tcPr>
                        <w:tcW w:w="166" w:type="pct"/>
                        <w:shd w:val="clear" w:color="auto" w:fill="FFFFFF"/>
                        <w:tcMar>
                          <w:top w:w="0" w:type="dxa"/>
                          <w:left w:w="0" w:type="dxa"/>
                          <w:bottom w:w="0" w:type="dxa"/>
                          <w:right w:w="0" w:type="dxa"/>
                        </w:tcMar>
                        <w:vAlign w:val="center"/>
                      </w:tcPr>
                      <w:p w14:paraId="0674F4D1">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58</w:t>
                        </w:r>
                        <w:r>
                          <w:rPr>
                            <w:rFonts w:hint="eastAsia" w:ascii="Times New Roman" w:hAnsi="Times New Roman" w:cs="Times New Roman" w:eastAsiaTheme="minorEastAsia"/>
                            <w:b w:val="0"/>
                            <w:bCs/>
                            <w:color w:val="auto"/>
                            <w:sz w:val="21"/>
                            <w:szCs w:val="21"/>
                            <w:lang w:val="en-US" w:eastAsia="zh-CN"/>
                          </w:rPr>
                          <w:t>.9</w:t>
                        </w:r>
                      </w:p>
                    </w:tc>
                    <w:tc>
                      <w:tcPr>
                        <w:tcW w:w="171" w:type="pct"/>
                        <w:shd w:val="clear" w:color="auto" w:fill="FFFFFF"/>
                        <w:tcMar>
                          <w:top w:w="0" w:type="dxa"/>
                          <w:left w:w="0" w:type="dxa"/>
                          <w:bottom w:w="0" w:type="dxa"/>
                          <w:right w:w="0" w:type="dxa"/>
                        </w:tcMar>
                        <w:vAlign w:val="center"/>
                      </w:tcPr>
                      <w:p w14:paraId="7C5E67C7">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58</w:t>
                        </w:r>
                        <w:r>
                          <w:rPr>
                            <w:rFonts w:hint="eastAsia" w:ascii="Times New Roman" w:hAnsi="Times New Roman" w:cs="Times New Roman" w:eastAsiaTheme="minorEastAsia"/>
                            <w:b w:val="0"/>
                            <w:bCs/>
                            <w:color w:val="auto"/>
                            <w:sz w:val="21"/>
                            <w:szCs w:val="21"/>
                            <w:lang w:val="en-US" w:eastAsia="zh-CN"/>
                          </w:rPr>
                          <w:t>.4</w:t>
                        </w:r>
                      </w:p>
                    </w:tc>
                    <w:tc>
                      <w:tcPr>
                        <w:tcW w:w="178" w:type="pct"/>
                        <w:vMerge w:val="continue"/>
                        <w:shd w:val="clear" w:color="auto" w:fill="FFFFFF"/>
                        <w:tcMar>
                          <w:top w:w="0" w:type="dxa"/>
                          <w:left w:w="0" w:type="dxa"/>
                          <w:bottom w:w="0" w:type="dxa"/>
                          <w:right w:w="0" w:type="dxa"/>
                        </w:tcMar>
                        <w:vAlign w:val="center"/>
                      </w:tcPr>
                      <w:p w14:paraId="3342111F">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p>
                    </w:tc>
                    <w:tc>
                      <w:tcPr>
                        <w:tcW w:w="155" w:type="pct"/>
                        <w:shd w:val="clear" w:color="auto" w:fill="FFFFFF"/>
                        <w:tcMar>
                          <w:top w:w="0" w:type="dxa"/>
                          <w:left w:w="0" w:type="dxa"/>
                          <w:bottom w:w="0" w:type="dxa"/>
                          <w:right w:w="0" w:type="dxa"/>
                        </w:tcMar>
                        <w:vAlign w:val="center"/>
                      </w:tcPr>
                      <w:p w14:paraId="2920BA86">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16.0</w:t>
                        </w:r>
                      </w:p>
                    </w:tc>
                    <w:tc>
                      <w:tcPr>
                        <w:tcW w:w="160" w:type="pct"/>
                        <w:shd w:val="clear" w:color="auto" w:fill="FFFFFF"/>
                        <w:tcMar>
                          <w:top w:w="0" w:type="dxa"/>
                          <w:left w:w="0" w:type="dxa"/>
                          <w:bottom w:w="0" w:type="dxa"/>
                          <w:right w:w="0" w:type="dxa"/>
                        </w:tcMar>
                        <w:vAlign w:val="center"/>
                      </w:tcPr>
                      <w:p w14:paraId="1F0FB782">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16.0</w:t>
                        </w:r>
                      </w:p>
                    </w:tc>
                    <w:tc>
                      <w:tcPr>
                        <w:tcW w:w="155" w:type="pct"/>
                        <w:shd w:val="clear" w:color="auto" w:fill="FFFFFF"/>
                        <w:tcMar>
                          <w:top w:w="0" w:type="dxa"/>
                          <w:left w:w="0" w:type="dxa"/>
                          <w:bottom w:w="0" w:type="dxa"/>
                          <w:right w:w="0" w:type="dxa"/>
                        </w:tcMar>
                        <w:vAlign w:val="center"/>
                      </w:tcPr>
                      <w:p w14:paraId="074D9572">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16.0</w:t>
                        </w:r>
                      </w:p>
                    </w:tc>
                    <w:tc>
                      <w:tcPr>
                        <w:tcW w:w="154" w:type="pct"/>
                        <w:shd w:val="clear" w:color="auto" w:fill="FFFFFF"/>
                        <w:tcMar>
                          <w:top w:w="0" w:type="dxa"/>
                          <w:left w:w="0" w:type="dxa"/>
                          <w:bottom w:w="0" w:type="dxa"/>
                          <w:right w:w="0" w:type="dxa"/>
                        </w:tcMar>
                        <w:vAlign w:val="center"/>
                      </w:tcPr>
                      <w:p w14:paraId="15EDFBCF">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16.0</w:t>
                        </w:r>
                      </w:p>
                    </w:tc>
                    <w:tc>
                      <w:tcPr>
                        <w:tcW w:w="184" w:type="pct"/>
                        <w:shd w:val="clear" w:color="auto" w:fill="FFFFFF"/>
                        <w:tcMar>
                          <w:top w:w="0" w:type="dxa"/>
                          <w:left w:w="0" w:type="dxa"/>
                          <w:bottom w:w="0" w:type="dxa"/>
                          <w:right w:w="0" w:type="dxa"/>
                        </w:tcMar>
                        <w:vAlign w:val="center"/>
                      </w:tcPr>
                      <w:p w14:paraId="7D4DF0CD">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42.4</w:t>
                        </w:r>
                      </w:p>
                    </w:tc>
                    <w:tc>
                      <w:tcPr>
                        <w:tcW w:w="161" w:type="pct"/>
                        <w:shd w:val="clear" w:color="auto" w:fill="FFFFFF"/>
                        <w:tcMar>
                          <w:top w:w="0" w:type="dxa"/>
                          <w:left w:w="0" w:type="dxa"/>
                          <w:bottom w:w="0" w:type="dxa"/>
                          <w:right w:w="0" w:type="dxa"/>
                        </w:tcMar>
                        <w:vAlign w:val="center"/>
                      </w:tcPr>
                      <w:p w14:paraId="4CA7688C">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42.6</w:t>
                        </w:r>
                      </w:p>
                    </w:tc>
                    <w:tc>
                      <w:tcPr>
                        <w:tcW w:w="184" w:type="pct"/>
                        <w:shd w:val="clear" w:color="auto" w:fill="FFFFFF"/>
                        <w:tcMar>
                          <w:top w:w="0" w:type="dxa"/>
                          <w:left w:w="0" w:type="dxa"/>
                          <w:bottom w:w="0" w:type="dxa"/>
                          <w:right w:w="0" w:type="dxa"/>
                        </w:tcMar>
                        <w:vAlign w:val="center"/>
                      </w:tcPr>
                      <w:p w14:paraId="11EF52B2">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42.9</w:t>
                        </w:r>
                      </w:p>
                    </w:tc>
                    <w:tc>
                      <w:tcPr>
                        <w:tcW w:w="174" w:type="pct"/>
                        <w:shd w:val="clear" w:color="auto" w:fill="FFFFFF"/>
                        <w:tcMar>
                          <w:top w:w="0" w:type="dxa"/>
                          <w:left w:w="0" w:type="dxa"/>
                          <w:bottom w:w="0" w:type="dxa"/>
                          <w:right w:w="0" w:type="dxa"/>
                        </w:tcMar>
                        <w:vAlign w:val="center"/>
                      </w:tcPr>
                      <w:p w14:paraId="43D56DA8">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42.4</w:t>
                        </w:r>
                      </w:p>
                    </w:tc>
                    <w:tc>
                      <w:tcPr>
                        <w:tcW w:w="237" w:type="pct"/>
                        <w:shd w:val="clear" w:color="auto" w:fill="FFFFFF"/>
                        <w:tcMar>
                          <w:top w:w="0" w:type="dxa"/>
                          <w:left w:w="0" w:type="dxa"/>
                          <w:bottom w:w="0" w:type="dxa"/>
                          <w:right w:w="0" w:type="dxa"/>
                        </w:tcMar>
                        <w:vAlign w:val="center"/>
                      </w:tcPr>
                      <w:p w14:paraId="6D2F401F">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w:t>
                        </w:r>
                      </w:p>
                    </w:tc>
                  </w:tr>
                  <w:bookmarkEnd w:id="9"/>
                </w:tbl>
                <w:p w14:paraId="5B75E2E6">
                  <w:pPr>
                    <w:spacing w:line="240" w:lineRule="auto"/>
                    <w:ind w:firstLine="0" w:firstLineChars="0"/>
                    <w:jc w:val="center"/>
                    <w:rPr>
                      <w:rFonts w:hint="eastAsia" w:ascii="Times New Roman" w:hAnsi="Times New Roman" w:cs="Times New Roman" w:eastAsiaTheme="minorEastAsia"/>
                      <w:b/>
                      <w:color w:val="auto"/>
                      <w:sz w:val="21"/>
                      <w:szCs w:val="21"/>
                      <w:lang w:val="en-US" w:eastAsia="zh-CN"/>
                    </w:rPr>
                  </w:pPr>
                  <w:r>
                    <w:rPr>
                      <w:rFonts w:hint="eastAsia"/>
                      <w:color w:val="auto"/>
                    </w:rPr>
                    <w:t>注：表中坐标以厂界中心</w:t>
                  </w:r>
                  <w:r>
                    <w:rPr>
                      <w:rFonts w:hint="eastAsia" w:ascii="Times New Roman" w:hAnsi="Times New Roman"/>
                      <w:color w:val="auto"/>
                      <w:lang w:val="zh-CN" w:bidi="ar"/>
                    </w:rPr>
                    <w:t>（</w:t>
                  </w:r>
                  <w:r>
                    <w:rPr>
                      <w:rFonts w:ascii="Times New Roman" w:hAnsi="Times New Roman"/>
                      <w:color w:val="auto"/>
                      <w:spacing w:val="7"/>
                      <w:sz w:val="24"/>
                      <w:szCs w:val="24"/>
                      <w:highlight w:val="none"/>
                    </w:rPr>
                    <w:t>103°</w:t>
                  </w:r>
                  <w:r>
                    <w:rPr>
                      <w:rFonts w:hint="eastAsia" w:ascii="Times New Roman" w:hAnsi="Times New Roman"/>
                      <w:color w:val="auto"/>
                      <w:spacing w:val="7"/>
                      <w:sz w:val="24"/>
                      <w:szCs w:val="24"/>
                      <w:highlight w:val="none"/>
                      <w:lang w:val="en-US" w:eastAsia="zh-CN"/>
                    </w:rPr>
                    <w:t>13</w:t>
                  </w:r>
                  <w:r>
                    <w:rPr>
                      <w:rFonts w:ascii="Times New Roman" w:hAnsi="Times New Roman"/>
                      <w:color w:val="auto"/>
                      <w:spacing w:val="7"/>
                      <w:sz w:val="24"/>
                      <w:szCs w:val="24"/>
                      <w:highlight w:val="none"/>
                    </w:rPr>
                    <w:t>′</w:t>
                  </w:r>
                  <w:r>
                    <w:rPr>
                      <w:rFonts w:hint="eastAsia" w:ascii="Times New Roman" w:hAnsi="Times New Roman"/>
                      <w:color w:val="auto"/>
                      <w:spacing w:val="7"/>
                      <w:sz w:val="24"/>
                      <w:szCs w:val="24"/>
                      <w:highlight w:val="none"/>
                      <w:lang w:val="en-US" w:eastAsia="zh-CN"/>
                    </w:rPr>
                    <w:t>16.662</w:t>
                  </w:r>
                  <w:r>
                    <w:rPr>
                      <w:rFonts w:hint="eastAsia" w:ascii="Times New Roman" w:hAnsi="Times New Roman"/>
                      <w:color w:val="auto"/>
                      <w:spacing w:val="7"/>
                      <w:sz w:val="24"/>
                      <w:szCs w:val="24"/>
                      <w:highlight w:val="none"/>
                      <w:lang w:eastAsia="zh-CN"/>
                    </w:rPr>
                    <w:t>，</w:t>
                  </w:r>
                  <w:r>
                    <w:rPr>
                      <w:rFonts w:ascii="Times New Roman" w:hAnsi="Times New Roman"/>
                      <w:color w:val="auto"/>
                      <w:spacing w:val="7"/>
                      <w:sz w:val="24"/>
                      <w:szCs w:val="24"/>
                      <w:highlight w:val="none"/>
                    </w:rPr>
                    <w:t>25°</w:t>
                  </w:r>
                  <w:r>
                    <w:rPr>
                      <w:rFonts w:hint="eastAsia" w:ascii="Times New Roman" w:hAnsi="Times New Roman"/>
                      <w:color w:val="auto"/>
                      <w:spacing w:val="7"/>
                      <w:sz w:val="24"/>
                      <w:szCs w:val="24"/>
                      <w:highlight w:val="none"/>
                      <w:lang w:val="en-US" w:eastAsia="zh-CN"/>
                    </w:rPr>
                    <w:t>32</w:t>
                  </w:r>
                  <w:r>
                    <w:rPr>
                      <w:rFonts w:ascii="Times New Roman" w:hAnsi="Times New Roman"/>
                      <w:color w:val="auto"/>
                      <w:spacing w:val="7"/>
                      <w:sz w:val="24"/>
                      <w:szCs w:val="24"/>
                      <w:highlight w:val="none"/>
                    </w:rPr>
                    <w:t>′</w:t>
                  </w:r>
                  <w:r>
                    <w:rPr>
                      <w:rFonts w:hint="eastAsia" w:ascii="Times New Roman" w:hAnsi="Times New Roman"/>
                      <w:color w:val="auto"/>
                      <w:spacing w:val="7"/>
                      <w:sz w:val="24"/>
                      <w:szCs w:val="24"/>
                      <w:highlight w:val="none"/>
                      <w:lang w:val="en-US" w:eastAsia="zh-CN"/>
                    </w:rPr>
                    <w:t>39.689</w:t>
                  </w:r>
                  <w:r>
                    <w:rPr>
                      <w:rFonts w:hint="eastAsia" w:ascii="Times New Roman" w:hAnsi="Times New Roman"/>
                      <w:color w:val="auto"/>
                      <w:lang w:val="zh-CN" w:bidi="ar"/>
                    </w:rPr>
                    <w:t>）</w:t>
                  </w:r>
                  <w:r>
                    <w:rPr>
                      <w:rFonts w:hint="eastAsia"/>
                      <w:color w:val="auto"/>
                    </w:rPr>
                    <w:t>为坐标原点，正东向为X轴正方向，正北向为Y轴正方向。</w:t>
                  </w:r>
                </w:p>
                <w:p w14:paraId="0223A9BA">
                  <w:pPr>
                    <w:spacing w:line="240" w:lineRule="auto"/>
                    <w:ind w:firstLine="0" w:firstLineChars="0"/>
                    <w:jc w:val="center"/>
                    <w:rPr>
                      <w:rFonts w:hint="eastAsia" w:ascii="Times New Roman" w:hAnsi="Times New Roman" w:cs="Times New Roman" w:eastAsiaTheme="minorEastAsia"/>
                      <w:b/>
                      <w:color w:val="auto"/>
                      <w:sz w:val="21"/>
                      <w:szCs w:val="21"/>
                      <w:lang w:val="en-US" w:eastAsia="zh-CN"/>
                    </w:rPr>
                  </w:pPr>
                </w:p>
                <w:p w14:paraId="588B9021">
                  <w:pPr>
                    <w:spacing w:line="240" w:lineRule="auto"/>
                    <w:ind w:firstLine="0" w:firstLineChars="0"/>
                    <w:jc w:val="center"/>
                    <w:rPr>
                      <w:rFonts w:hint="eastAsia" w:ascii="Times New Roman" w:hAnsi="Times New Roman" w:cs="Times New Roman" w:eastAsiaTheme="minorEastAsia"/>
                      <w:b/>
                      <w:color w:val="auto"/>
                      <w:sz w:val="21"/>
                      <w:szCs w:val="21"/>
                      <w:lang w:val="en-US" w:eastAsia="zh-CN"/>
                    </w:rPr>
                  </w:pPr>
                </w:p>
              </w:tc>
            </w:tr>
          </w:tbl>
          <w:p w14:paraId="4A58EC30">
            <w:pPr>
              <w:ind w:left="0" w:leftChars="0" w:firstLine="0" w:firstLineChars="0"/>
              <w:rPr>
                <w:rFonts w:hint="eastAsia"/>
              </w:rPr>
            </w:pPr>
          </w:p>
        </w:tc>
      </w:tr>
    </w:tbl>
    <w:p w14:paraId="4691D657">
      <w:pPr>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
        <w:gridCol w:w="8300"/>
      </w:tblGrid>
      <w:tr w14:paraId="14AA6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 w:type="dxa"/>
          </w:tcPr>
          <w:p w14:paraId="7A087508">
            <w:pPr>
              <w:keepNext w:val="0"/>
              <w:pageBreakBefore w:val="0"/>
              <w:kinsoku/>
              <w:wordWrap w:val="0"/>
              <w:overflowPunct/>
              <w:topLinePunct w:val="0"/>
              <w:bidi w:val="0"/>
              <w:textAlignment w:val="auto"/>
              <w:rPr>
                <w:rFonts w:hint="default" w:ascii="Times New Roman" w:hAnsi="Times New Roman" w:cs="Times New Roman"/>
                <w:vertAlign w:val="baseline"/>
              </w:rPr>
            </w:pPr>
          </w:p>
        </w:tc>
        <w:tc>
          <w:tcPr>
            <w:tcW w:w="8300" w:type="dxa"/>
          </w:tcPr>
          <w:p w14:paraId="28CD8DBA">
            <w:pPr>
              <w:keepNext w:val="0"/>
              <w:keepLines/>
              <w:pageBreakBefore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（2）噪声预测</w:t>
            </w:r>
          </w:p>
          <w:p w14:paraId="48D8D75B">
            <w:pPr>
              <w:keepNext w:val="0"/>
              <w:keepLines/>
              <w:pageBreakBefore w:val="0"/>
              <w:kinsoku/>
              <w:wordWrap w:val="0"/>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lang w:val="zh-CN" w:bidi="ar"/>
              </w:rPr>
            </w:pPr>
            <w:r>
              <w:rPr>
                <w:rFonts w:hint="default" w:ascii="Times New Roman" w:hAnsi="Times New Roman" w:cs="Times New Roman"/>
                <w:color w:val="auto"/>
                <w:sz w:val="24"/>
                <w:lang w:val="zh-CN" w:bidi="ar"/>
              </w:rPr>
              <w:t>A、预测模式</w:t>
            </w:r>
          </w:p>
          <w:p w14:paraId="7086AB4C">
            <w:pPr>
              <w:keepNext w:val="0"/>
              <w:keepLines/>
              <w:pageBreakBefore w:val="0"/>
              <w:kinsoku/>
              <w:wordWrap w:val="0"/>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lang w:val="zh-CN" w:bidi="ar"/>
              </w:rPr>
            </w:pPr>
            <w:r>
              <w:rPr>
                <w:rFonts w:hint="default" w:ascii="Times New Roman" w:hAnsi="Times New Roman" w:cs="Times New Roman"/>
                <w:color w:val="auto"/>
                <w:sz w:val="24"/>
                <w:lang w:val="zh-CN" w:bidi="ar"/>
              </w:rPr>
              <w:t>根据《环境影响评价技术导则声环境》（HJ2.4-2021）的要求，项目声环境预测采用的模型为《环境影响评价技术导则声环境》（HJ2.4-2021）附录B（规范性附录）中“B.1工业噪声预测计算模型”。</w:t>
            </w:r>
          </w:p>
          <w:p w14:paraId="7C8E6A4B">
            <w:pPr>
              <w:keepNext w:val="0"/>
              <w:keepLines/>
              <w:pageBreakBefore w:val="0"/>
              <w:kinsoku/>
              <w:wordWrap w:val="0"/>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lang w:val="zh-CN" w:bidi="ar"/>
              </w:rPr>
            </w:pPr>
            <w:r>
              <w:rPr>
                <w:rFonts w:hint="default" w:ascii="Times New Roman" w:hAnsi="Times New Roman" w:cs="Times New Roman"/>
                <w:color w:val="auto"/>
                <w:sz w:val="24"/>
                <w:lang w:val="zh-CN" w:bidi="ar"/>
              </w:rPr>
              <w:t>B、声源数据</w:t>
            </w:r>
          </w:p>
          <w:p w14:paraId="731CC3E3">
            <w:pPr>
              <w:keepNext w:val="0"/>
              <w:pageBreakBefore w:val="0"/>
              <w:kinsoku/>
              <w:wordWrap w:val="0"/>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根据《环境影响评价技术导则-声环境》（HJ2.4-2021）对室内声源进行预测。声源位于室内，室内声源可采用等效室外声源声功率级法进行计算。</w:t>
            </w:r>
          </w:p>
          <w:p w14:paraId="0FAFC293">
            <w:pPr>
              <w:keepNext w:val="0"/>
              <w:pageBreakBefore w:val="0"/>
              <w:kinsoku/>
              <w:wordWrap w:val="0"/>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 w:val="24"/>
                <w:highlight w:val="none"/>
              </w:rPr>
              <w:t>①在室内近似为扩散声场地，按下式计算出靠近室外围护结构处的声压级：</w:t>
            </w:r>
          </w:p>
          <w:p w14:paraId="1D82A925">
            <w:pPr>
              <w:keepNext w:val="0"/>
              <w:pageBreakBefore w:val="0"/>
              <w:kinsoku/>
              <w:wordWrap w:val="0"/>
              <w:overflowPunct/>
              <w:topLinePunct w:val="0"/>
              <w:bidi w:val="0"/>
              <w:adjustRightInd w:val="0"/>
              <w:snapToGrid w:val="0"/>
              <w:spacing w:line="360" w:lineRule="auto"/>
              <w:ind w:firstLine="480" w:firstLineChars="200"/>
              <w:jc w:val="center"/>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color w:val="auto"/>
                <w:highlight w:val="none"/>
              </w:rPr>
              <w:drawing>
                <wp:inline distT="0" distB="0" distL="114300" distR="114300">
                  <wp:extent cx="2378075" cy="365760"/>
                  <wp:effectExtent l="0" t="0" r="3175" b="15240"/>
                  <wp:docPr id="81" name="IM 76"/>
                  <wp:cNvGraphicFramePr/>
                  <a:graphic xmlns:a="http://schemas.openxmlformats.org/drawingml/2006/main">
                    <a:graphicData uri="http://schemas.openxmlformats.org/drawingml/2006/picture">
                      <pic:pic xmlns:pic="http://schemas.openxmlformats.org/drawingml/2006/picture">
                        <pic:nvPicPr>
                          <pic:cNvPr id="81" name="IM 76"/>
                          <pic:cNvPicPr/>
                        </pic:nvPicPr>
                        <pic:blipFill>
                          <a:blip r:embed="rId18"/>
                          <a:stretch>
                            <a:fillRect/>
                          </a:stretch>
                        </pic:blipFill>
                        <pic:spPr>
                          <a:xfrm>
                            <a:off x="0" y="0"/>
                            <a:ext cx="2378075" cy="365760"/>
                          </a:xfrm>
                          <a:prstGeom prst="rect">
                            <a:avLst/>
                          </a:prstGeom>
                          <a:noFill/>
                          <a:ln>
                            <a:noFill/>
                          </a:ln>
                        </pic:spPr>
                      </pic:pic>
                    </a:graphicData>
                  </a:graphic>
                </wp:inline>
              </w:drawing>
            </w:r>
          </w:p>
          <w:p w14:paraId="5E78A0CE">
            <w:pPr>
              <w:keepNext w:val="0"/>
              <w:pageBreakBefore w:val="0"/>
              <w:kinsoku/>
              <w:wordWrap w:val="0"/>
              <w:overflowPunct/>
              <w:topLinePunct w:val="0"/>
              <w:bidi w:val="0"/>
              <w:adjustRightInd w:val="0"/>
              <w:snapToGrid w:val="0"/>
              <w:spacing w:line="360" w:lineRule="auto"/>
              <w:ind w:firstLine="400" w:firstLineChars="200"/>
              <w:jc w:val="distribute"/>
              <w:textAlignment w:val="auto"/>
              <w:rPr>
                <w:rFonts w:hint="default" w:ascii="Times New Roman" w:hAnsi="Times New Roman" w:cs="Times New Roman"/>
                <w:bCs/>
                <w:color w:val="auto"/>
                <w:spacing w:val="-20"/>
                <w:kern w:val="0"/>
                <w:sz w:val="24"/>
                <w:highlight w:val="none"/>
              </w:rPr>
            </w:pPr>
            <w:r>
              <w:rPr>
                <w:rFonts w:hint="default" w:ascii="Times New Roman" w:hAnsi="Times New Roman" w:cs="Times New Roman"/>
                <w:bCs/>
                <w:color w:val="auto"/>
                <w:spacing w:val="-20"/>
                <w:kern w:val="0"/>
                <w:sz w:val="24"/>
                <w:highlight w:val="none"/>
              </w:rPr>
              <w:t>式中：Lp</w:t>
            </w:r>
            <w:r>
              <w:rPr>
                <w:rFonts w:hint="default" w:ascii="Times New Roman" w:hAnsi="Times New Roman" w:cs="Times New Roman"/>
                <w:bCs/>
                <w:color w:val="auto"/>
                <w:spacing w:val="-20"/>
                <w:kern w:val="0"/>
                <w:sz w:val="24"/>
                <w:highlight w:val="none"/>
                <w:vertAlign w:val="subscript"/>
              </w:rPr>
              <w:t>2i</w:t>
            </w:r>
            <w:r>
              <w:rPr>
                <w:rFonts w:hint="default" w:ascii="Times New Roman" w:hAnsi="Times New Roman" w:cs="Times New Roman"/>
                <w:bCs/>
                <w:color w:val="auto"/>
                <w:spacing w:val="-20"/>
                <w:kern w:val="0"/>
                <w:sz w:val="24"/>
                <w:highlight w:val="none"/>
              </w:rPr>
              <w:t>（T）—靠近围护结构处室外N个声源i倍频带的叠加声压级，dB；</w:t>
            </w:r>
          </w:p>
          <w:p w14:paraId="3C8384EC">
            <w:pPr>
              <w:keepNext w:val="0"/>
              <w:pageBreakBefore w:val="0"/>
              <w:kinsoku/>
              <w:wordWrap w:val="0"/>
              <w:overflowPunct/>
              <w:topLinePunct w:val="0"/>
              <w:bidi w:val="0"/>
              <w:adjustRightInd w:val="0"/>
              <w:snapToGrid w:val="0"/>
              <w:spacing w:line="360" w:lineRule="auto"/>
              <w:ind w:firstLine="1200" w:firstLineChars="500"/>
              <w:textAlignment w:val="auto"/>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TLi—围护结构i倍频带的隔声量，dB；</w:t>
            </w:r>
          </w:p>
          <w:p w14:paraId="6FBF61C4">
            <w:pPr>
              <w:keepNext w:val="0"/>
              <w:pageBreakBefore w:val="0"/>
              <w:kinsoku/>
              <w:wordWrap w:val="0"/>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②计算出所有室内声源在围护结构处产生的i倍频带叠加声压级：</w:t>
            </w:r>
          </w:p>
          <w:p w14:paraId="2C86A1C7">
            <w:pPr>
              <w:keepNext w:val="0"/>
              <w:pageBreakBefore w:val="0"/>
              <w:kinsoku/>
              <w:wordWrap w:val="0"/>
              <w:overflowPunct/>
              <w:topLinePunct w:val="0"/>
              <w:bidi w:val="0"/>
              <w:adjustRightInd w:val="0"/>
              <w:snapToGrid w:val="0"/>
              <w:spacing w:line="360" w:lineRule="auto"/>
              <w:ind w:firstLine="480" w:firstLineChars="200"/>
              <w:jc w:val="center"/>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color w:val="auto"/>
                <w:position w:val="-17"/>
                <w:highlight w:val="none"/>
              </w:rPr>
              <w:drawing>
                <wp:inline distT="0" distB="0" distL="114300" distR="114300">
                  <wp:extent cx="1995170" cy="486410"/>
                  <wp:effectExtent l="0" t="0" r="5080" b="8890"/>
                  <wp:docPr id="82" name="IM 77"/>
                  <wp:cNvGraphicFramePr/>
                  <a:graphic xmlns:a="http://schemas.openxmlformats.org/drawingml/2006/main">
                    <a:graphicData uri="http://schemas.openxmlformats.org/drawingml/2006/picture">
                      <pic:pic xmlns:pic="http://schemas.openxmlformats.org/drawingml/2006/picture">
                        <pic:nvPicPr>
                          <pic:cNvPr id="82" name="IM 77"/>
                          <pic:cNvPicPr/>
                        </pic:nvPicPr>
                        <pic:blipFill>
                          <a:blip r:embed="rId19"/>
                          <a:stretch>
                            <a:fillRect/>
                          </a:stretch>
                        </pic:blipFill>
                        <pic:spPr>
                          <a:xfrm>
                            <a:off x="0" y="0"/>
                            <a:ext cx="1995170" cy="486410"/>
                          </a:xfrm>
                          <a:prstGeom prst="rect">
                            <a:avLst/>
                          </a:prstGeom>
                          <a:noFill/>
                          <a:ln>
                            <a:noFill/>
                          </a:ln>
                        </pic:spPr>
                      </pic:pic>
                    </a:graphicData>
                  </a:graphic>
                </wp:inline>
              </w:drawing>
            </w:r>
          </w:p>
          <w:p w14:paraId="0CBA9844">
            <w:pPr>
              <w:keepNext w:val="0"/>
              <w:pageBreakBefore w:val="0"/>
              <w:kinsoku/>
              <w:wordWrap w:val="0"/>
              <w:overflowPunct/>
              <w:topLinePunct w:val="0"/>
              <w:bidi w:val="0"/>
              <w:adjustRightInd w:val="0"/>
              <w:snapToGrid w:val="0"/>
              <w:spacing w:line="360" w:lineRule="auto"/>
              <w:ind w:firstLine="400" w:firstLineChars="200"/>
              <w:jc w:val="distribute"/>
              <w:textAlignment w:val="auto"/>
              <w:rPr>
                <w:rFonts w:hint="default" w:ascii="Times New Roman" w:hAnsi="Times New Roman" w:cs="Times New Roman"/>
                <w:bCs/>
                <w:color w:val="auto"/>
                <w:spacing w:val="-20"/>
                <w:kern w:val="0"/>
                <w:sz w:val="24"/>
                <w:highlight w:val="none"/>
              </w:rPr>
            </w:pPr>
            <w:r>
              <w:rPr>
                <w:rFonts w:hint="default" w:ascii="Times New Roman" w:hAnsi="Times New Roman" w:cs="Times New Roman"/>
                <w:bCs/>
                <w:color w:val="auto"/>
                <w:spacing w:val="-20"/>
                <w:kern w:val="0"/>
                <w:sz w:val="24"/>
                <w:highlight w:val="none"/>
              </w:rPr>
              <w:t>式中：L</w:t>
            </w:r>
            <w:r>
              <w:rPr>
                <w:rFonts w:hint="default" w:ascii="Times New Roman" w:hAnsi="Times New Roman" w:cs="Times New Roman"/>
                <w:bCs/>
                <w:color w:val="auto"/>
                <w:spacing w:val="-20"/>
                <w:kern w:val="0"/>
                <w:sz w:val="24"/>
                <w:highlight w:val="none"/>
                <w:vertAlign w:val="subscript"/>
              </w:rPr>
              <w:t>p1</w:t>
            </w:r>
            <w:r>
              <w:rPr>
                <w:rFonts w:hint="default" w:ascii="Times New Roman" w:hAnsi="Times New Roman" w:cs="Times New Roman"/>
                <w:bCs/>
                <w:color w:val="auto"/>
                <w:spacing w:val="-20"/>
                <w:kern w:val="0"/>
                <w:sz w:val="24"/>
                <w:highlight w:val="none"/>
              </w:rPr>
              <w:t>（T）—靠近围护结构处室内N个声源i倍频带的叠加声压级，dB；</w:t>
            </w:r>
          </w:p>
          <w:p w14:paraId="2C5164EB">
            <w:pPr>
              <w:keepNext w:val="0"/>
              <w:pageBreakBefore w:val="0"/>
              <w:kinsoku/>
              <w:wordWrap w:val="0"/>
              <w:overflowPunct/>
              <w:topLinePunct w:val="0"/>
              <w:bidi w:val="0"/>
              <w:adjustRightInd w:val="0"/>
              <w:snapToGrid w:val="0"/>
              <w:spacing w:line="360" w:lineRule="auto"/>
              <w:ind w:firstLine="1200" w:firstLineChars="500"/>
              <w:textAlignment w:val="auto"/>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L</w:t>
            </w:r>
            <w:r>
              <w:rPr>
                <w:rFonts w:hint="default" w:ascii="Times New Roman" w:hAnsi="Times New Roman" w:cs="Times New Roman"/>
                <w:bCs/>
                <w:color w:val="auto"/>
                <w:kern w:val="0"/>
                <w:sz w:val="24"/>
                <w:highlight w:val="none"/>
                <w:vertAlign w:val="subscript"/>
              </w:rPr>
              <w:t>p1ij</w:t>
            </w:r>
            <w:r>
              <w:rPr>
                <w:rFonts w:hint="default" w:ascii="Times New Roman" w:hAnsi="Times New Roman" w:cs="Times New Roman"/>
                <w:bCs/>
                <w:color w:val="auto"/>
                <w:kern w:val="0"/>
                <w:sz w:val="24"/>
                <w:highlight w:val="none"/>
              </w:rPr>
              <w:t>—室内j声源i倍频带的声压级，dB；</w:t>
            </w:r>
          </w:p>
          <w:p w14:paraId="69B446EA">
            <w:pPr>
              <w:keepNext w:val="0"/>
              <w:pageBreakBefore w:val="0"/>
              <w:kinsoku/>
              <w:wordWrap w:val="0"/>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③对室外噪声声源主要考虑噪声的几何发散衰减及环境因素衰减：</w:t>
            </w:r>
          </w:p>
          <w:p w14:paraId="3D03C002">
            <w:pPr>
              <w:keepNext w:val="0"/>
              <w:pageBreakBefore w:val="0"/>
              <w:kinsoku/>
              <w:wordWrap w:val="0"/>
              <w:overflowPunct/>
              <w:topLinePunct w:val="0"/>
              <w:bidi w:val="0"/>
              <w:adjustRightInd w:val="0"/>
              <w:snapToGrid w:val="0"/>
              <w:spacing w:line="360" w:lineRule="auto"/>
              <w:ind w:firstLine="480" w:firstLineChars="200"/>
              <w:jc w:val="center"/>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color w:val="auto"/>
                <w:position w:val="-20"/>
                <w:highlight w:val="none"/>
              </w:rPr>
              <w:drawing>
                <wp:inline distT="0" distB="0" distL="114300" distR="114300">
                  <wp:extent cx="1917065" cy="537210"/>
                  <wp:effectExtent l="0" t="0" r="6985" b="15240"/>
                  <wp:docPr id="83" name="IM 78"/>
                  <wp:cNvGraphicFramePr/>
                  <a:graphic xmlns:a="http://schemas.openxmlformats.org/drawingml/2006/main">
                    <a:graphicData uri="http://schemas.openxmlformats.org/drawingml/2006/picture">
                      <pic:pic xmlns:pic="http://schemas.openxmlformats.org/drawingml/2006/picture">
                        <pic:nvPicPr>
                          <pic:cNvPr id="83" name="IM 78"/>
                          <pic:cNvPicPr/>
                        </pic:nvPicPr>
                        <pic:blipFill>
                          <a:blip r:embed="rId20"/>
                          <a:stretch>
                            <a:fillRect/>
                          </a:stretch>
                        </pic:blipFill>
                        <pic:spPr>
                          <a:xfrm>
                            <a:off x="0" y="0"/>
                            <a:ext cx="1917065" cy="537210"/>
                          </a:xfrm>
                          <a:prstGeom prst="rect">
                            <a:avLst/>
                          </a:prstGeom>
                          <a:noFill/>
                          <a:ln>
                            <a:noFill/>
                          </a:ln>
                        </pic:spPr>
                      </pic:pic>
                    </a:graphicData>
                  </a:graphic>
                </wp:inline>
              </w:drawing>
            </w:r>
          </w:p>
          <w:p w14:paraId="4F1DE948">
            <w:pPr>
              <w:keepNext w:val="0"/>
              <w:pageBreakBefore w:val="0"/>
              <w:kinsoku/>
              <w:wordWrap w:val="0"/>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式中：L2——点声源在预测点产生的声压级，dB（A）；</w:t>
            </w:r>
          </w:p>
          <w:p w14:paraId="13CC41FC">
            <w:pPr>
              <w:keepNext w:val="0"/>
              <w:pageBreakBefore w:val="0"/>
              <w:kinsoku/>
              <w:wordWrap w:val="0"/>
              <w:overflowPunct/>
              <w:topLinePunct w:val="0"/>
              <w:bidi w:val="0"/>
              <w:adjustRightInd w:val="0"/>
              <w:snapToGrid w:val="0"/>
              <w:spacing w:line="360" w:lineRule="auto"/>
              <w:ind w:firstLine="1200" w:firstLineChars="500"/>
              <w:textAlignment w:val="auto"/>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L1—点声源在参考点产生的声压级，dB（A）；</w:t>
            </w:r>
          </w:p>
          <w:p w14:paraId="23516700">
            <w:pPr>
              <w:keepNext w:val="0"/>
              <w:pageBreakBefore w:val="0"/>
              <w:kinsoku/>
              <w:wordWrap w:val="0"/>
              <w:overflowPunct/>
              <w:topLinePunct w:val="0"/>
              <w:bidi w:val="0"/>
              <w:adjustRightInd w:val="0"/>
              <w:snapToGrid w:val="0"/>
              <w:spacing w:line="360" w:lineRule="auto"/>
              <w:ind w:firstLine="1200" w:firstLineChars="500"/>
              <w:textAlignment w:val="auto"/>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r2—预测点距声源的距离，（m）；</w:t>
            </w:r>
          </w:p>
          <w:p w14:paraId="7233639F">
            <w:pPr>
              <w:keepNext w:val="0"/>
              <w:pageBreakBefore w:val="0"/>
              <w:kinsoku/>
              <w:wordWrap w:val="0"/>
              <w:overflowPunct/>
              <w:topLinePunct w:val="0"/>
              <w:bidi w:val="0"/>
              <w:adjustRightInd w:val="0"/>
              <w:snapToGrid w:val="0"/>
              <w:spacing w:line="360" w:lineRule="auto"/>
              <w:ind w:firstLine="1200" w:firstLineChars="500"/>
              <w:textAlignment w:val="auto"/>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r1—参考点距声源的距离，（m）；</w:t>
            </w:r>
          </w:p>
          <w:p w14:paraId="496E2580">
            <w:pPr>
              <w:keepNext w:val="0"/>
              <w:pageBreakBefore w:val="0"/>
              <w:kinsoku/>
              <w:wordWrap w:val="0"/>
              <w:overflowPunct/>
              <w:topLinePunct w:val="0"/>
              <w:bidi w:val="0"/>
              <w:adjustRightInd w:val="0"/>
              <w:snapToGrid w:val="0"/>
              <w:spacing w:line="360" w:lineRule="auto"/>
              <w:ind w:firstLine="1000" w:firstLineChars="500"/>
              <w:jc w:val="distribute"/>
              <w:textAlignment w:val="auto"/>
              <w:rPr>
                <w:rFonts w:hint="default" w:ascii="Times New Roman" w:hAnsi="Times New Roman" w:cs="Times New Roman"/>
                <w:bCs/>
                <w:color w:val="auto"/>
                <w:spacing w:val="-20"/>
                <w:kern w:val="0"/>
                <w:sz w:val="24"/>
                <w:highlight w:val="none"/>
              </w:rPr>
            </w:pPr>
            <w:r>
              <w:rPr>
                <w:rFonts w:hint="default" w:ascii="Times New Roman" w:hAnsi="Times New Roman" w:cs="Times New Roman"/>
                <w:bCs/>
                <w:color w:val="auto"/>
                <w:spacing w:val="-20"/>
                <w:kern w:val="0"/>
                <w:sz w:val="24"/>
                <w:highlight w:val="none"/>
              </w:rPr>
              <w:t>△L—各种因素引起的衰减量(包括声屏障、空气吸收等引起的衰减量)。</w:t>
            </w:r>
          </w:p>
          <w:p w14:paraId="3C9E90DC">
            <w:pPr>
              <w:keepNext w:val="0"/>
              <w:keepLines/>
              <w:pageBreakBefore w:val="0"/>
              <w:kinsoku/>
              <w:wordWrap w:val="0"/>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本次评价采用EIAProN2021软件进行噪声预测，</w:t>
            </w:r>
            <w:r>
              <w:rPr>
                <w:rFonts w:hint="default" w:ascii="Times New Roman" w:hAnsi="Times New Roman" w:cs="Times New Roman"/>
                <w:color w:val="auto"/>
                <w:sz w:val="24"/>
                <w:highlight w:val="none"/>
                <w:lang w:val="zh-CN" w:bidi="ar"/>
              </w:rPr>
              <w:t>以厂界中心（</w:t>
            </w:r>
            <w:r>
              <w:rPr>
                <w:rFonts w:hint="default" w:ascii="Times New Roman" w:hAnsi="Times New Roman" w:cs="Times New Roman"/>
                <w:color w:val="auto"/>
                <w:spacing w:val="7"/>
                <w:sz w:val="24"/>
                <w:szCs w:val="24"/>
                <w:highlight w:val="none"/>
              </w:rPr>
              <w:t>103°</w:t>
            </w:r>
            <w:r>
              <w:rPr>
                <w:rFonts w:hint="default" w:ascii="Times New Roman" w:hAnsi="Times New Roman" w:cs="Times New Roman"/>
                <w:color w:val="auto"/>
                <w:spacing w:val="7"/>
                <w:sz w:val="24"/>
                <w:szCs w:val="24"/>
                <w:highlight w:val="none"/>
                <w:lang w:val="en-US" w:eastAsia="zh-CN"/>
              </w:rPr>
              <w:t>13</w:t>
            </w:r>
            <w:r>
              <w:rPr>
                <w:rFonts w:hint="default" w:ascii="Times New Roman" w:hAnsi="Times New Roman" w:cs="Times New Roman"/>
                <w:color w:val="auto"/>
                <w:spacing w:val="7"/>
                <w:sz w:val="24"/>
                <w:szCs w:val="24"/>
                <w:highlight w:val="none"/>
              </w:rPr>
              <w:t>′</w:t>
            </w:r>
            <w:r>
              <w:rPr>
                <w:rFonts w:hint="default" w:ascii="Times New Roman" w:hAnsi="Times New Roman" w:cs="Times New Roman"/>
                <w:color w:val="auto"/>
                <w:spacing w:val="7"/>
                <w:sz w:val="24"/>
                <w:szCs w:val="24"/>
                <w:highlight w:val="none"/>
                <w:lang w:val="en-US" w:eastAsia="zh-CN"/>
              </w:rPr>
              <w:t>16.662</w:t>
            </w:r>
            <w:r>
              <w:rPr>
                <w:rFonts w:hint="default" w:ascii="Times New Roman" w:hAnsi="Times New Roman" w:cs="Times New Roman"/>
                <w:color w:val="auto"/>
                <w:spacing w:val="7"/>
                <w:sz w:val="24"/>
                <w:szCs w:val="24"/>
                <w:highlight w:val="none"/>
                <w:lang w:eastAsia="zh-CN"/>
              </w:rPr>
              <w:t>，</w:t>
            </w:r>
            <w:r>
              <w:rPr>
                <w:rFonts w:hint="default" w:ascii="Times New Roman" w:hAnsi="Times New Roman" w:cs="Times New Roman"/>
                <w:color w:val="auto"/>
                <w:spacing w:val="7"/>
                <w:sz w:val="24"/>
                <w:szCs w:val="24"/>
                <w:highlight w:val="none"/>
              </w:rPr>
              <w:t>25°</w:t>
            </w:r>
            <w:r>
              <w:rPr>
                <w:rFonts w:hint="default" w:ascii="Times New Roman" w:hAnsi="Times New Roman" w:cs="Times New Roman"/>
                <w:color w:val="auto"/>
                <w:spacing w:val="7"/>
                <w:sz w:val="24"/>
                <w:szCs w:val="24"/>
                <w:highlight w:val="none"/>
                <w:lang w:val="en-US" w:eastAsia="zh-CN"/>
              </w:rPr>
              <w:t>32</w:t>
            </w:r>
            <w:r>
              <w:rPr>
                <w:rFonts w:hint="default" w:ascii="Times New Roman" w:hAnsi="Times New Roman" w:cs="Times New Roman"/>
                <w:color w:val="auto"/>
                <w:spacing w:val="7"/>
                <w:sz w:val="24"/>
                <w:szCs w:val="24"/>
                <w:highlight w:val="none"/>
              </w:rPr>
              <w:t>′</w:t>
            </w:r>
            <w:r>
              <w:rPr>
                <w:rFonts w:hint="default" w:ascii="Times New Roman" w:hAnsi="Times New Roman" w:cs="Times New Roman"/>
                <w:color w:val="auto"/>
                <w:spacing w:val="7"/>
                <w:sz w:val="24"/>
                <w:szCs w:val="24"/>
                <w:highlight w:val="none"/>
                <w:lang w:val="en-US" w:eastAsia="zh-CN"/>
              </w:rPr>
              <w:t>39.689</w:t>
            </w:r>
            <w:r>
              <w:rPr>
                <w:rFonts w:hint="default" w:ascii="Times New Roman" w:hAnsi="Times New Roman" w:cs="Times New Roman"/>
                <w:color w:val="auto"/>
                <w:spacing w:val="7"/>
                <w:sz w:val="24"/>
                <w:szCs w:val="24"/>
                <w:highlight w:val="none"/>
              </w:rPr>
              <w:t>”</w:t>
            </w:r>
            <w:r>
              <w:rPr>
                <w:rFonts w:hint="default" w:ascii="Times New Roman" w:hAnsi="Times New Roman" w:cs="Times New Roman"/>
                <w:color w:val="auto"/>
                <w:sz w:val="24"/>
                <w:highlight w:val="none"/>
                <w:lang w:val="zh-CN" w:bidi="ar"/>
              </w:rPr>
              <w:t>）为坐标原点，以原点以东方向为X轴正方向，原点以北方向为Y轴正方向</w:t>
            </w:r>
            <w:r>
              <w:rPr>
                <w:rFonts w:hint="default" w:ascii="Times New Roman" w:hAnsi="Times New Roman" w:cs="Times New Roman"/>
                <w:bCs/>
                <w:color w:val="auto"/>
                <w:kern w:val="0"/>
                <w:sz w:val="24"/>
                <w:highlight w:val="none"/>
              </w:rPr>
              <w:t>建立坐标系，设置（x，y）为（-</w:t>
            </w:r>
            <w:r>
              <w:rPr>
                <w:rFonts w:hint="default" w:ascii="Times New Roman" w:hAnsi="Times New Roman" w:cs="Times New Roman"/>
                <w:bCs/>
                <w:color w:val="auto"/>
                <w:kern w:val="0"/>
                <w:sz w:val="24"/>
                <w:highlight w:val="none"/>
                <w:lang w:val="en-US" w:eastAsia="zh-CN"/>
              </w:rPr>
              <w:t>300</w:t>
            </w:r>
            <w:r>
              <w:rPr>
                <w:rFonts w:hint="default" w:ascii="Times New Roman" w:hAnsi="Times New Roman" w:cs="Times New Roman"/>
                <w:bCs/>
                <w:color w:val="auto"/>
                <w:kern w:val="0"/>
                <w:sz w:val="24"/>
                <w:highlight w:val="none"/>
              </w:rPr>
              <w:t>,-</w:t>
            </w:r>
            <w:r>
              <w:rPr>
                <w:rFonts w:hint="default" w:ascii="Times New Roman" w:hAnsi="Times New Roman" w:cs="Times New Roman"/>
                <w:bCs/>
                <w:color w:val="auto"/>
                <w:kern w:val="0"/>
                <w:sz w:val="24"/>
                <w:highlight w:val="none"/>
                <w:lang w:val="en-US" w:eastAsia="zh-CN"/>
              </w:rPr>
              <w:t>300</w:t>
            </w:r>
            <w:r>
              <w:rPr>
                <w:rFonts w:hint="default" w:ascii="Times New Roman" w:hAnsi="Times New Roman" w:cs="Times New Roman"/>
                <w:bCs/>
                <w:color w:val="auto"/>
                <w:kern w:val="0"/>
                <w:sz w:val="24"/>
                <w:highlight w:val="none"/>
              </w:rPr>
              <w:t>）至（</w:t>
            </w:r>
            <w:r>
              <w:rPr>
                <w:rFonts w:hint="default" w:ascii="Times New Roman" w:hAnsi="Times New Roman" w:cs="Times New Roman"/>
                <w:bCs/>
                <w:color w:val="auto"/>
                <w:kern w:val="0"/>
                <w:sz w:val="24"/>
                <w:highlight w:val="none"/>
                <w:lang w:val="en-US" w:eastAsia="zh-CN"/>
              </w:rPr>
              <w:t>300</w:t>
            </w:r>
            <w:r>
              <w:rPr>
                <w:rFonts w:hint="default" w:ascii="Times New Roman" w:hAnsi="Times New Roman" w:cs="Times New Roman"/>
                <w:bCs/>
                <w:color w:val="auto"/>
                <w:kern w:val="0"/>
                <w:sz w:val="24"/>
                <w:highlight w:val="none"/>
              </w:rPr>
              <w:t>,</w:t>
            </w:r>
            <w:r>
              <w:rPr>
                <w:rFonts w:hint="default" w:ascii="Times New Roman" w:hAnsi="Times New Roman" w:cs="Times New Roman"/>
                <w:bCs/>
                <w:color w:val="auto"/>
                <w:kern w:val="0"/>
                <w:sz w:val="24"/>
                <w:highlight w:val="none"/>
                <w:lang w:val="en-US" w:eastAsia="zh-CN"/>
              </w:rPr>
              <w:t>300</w:t>
            </w:r>
            <w:r>
              <w:rPr>
                <w:rFonts w:hint="default" w:ascii="Times New Roman" w:hAnsi="Times New Roman" w:cs="Times New Roman"/>
                <w:bCs/>
                <w:color w:val="auto"/>
                <w:kern w:val="0"/>
                <w:sz w:val="24"/>
                <w:highlight w:val="none"/>
              </w:rPr>
              <w:t>）的计算网格及以厂界线为曲线、10m的曲线点进行项目厂界贡献值</w:t>
            </w:r>
            <w:r>
              <w:rPr>
                <w:rFonts w:hint="default" w:ascii="Times New Roman" w:hAnsi="Times New Roman" w:cs="Times New Roman"/>
                <w:bCs/>
                <w:color w:val="auto"/>
                <w:kern w:val="0"/>
                <w:sz w:val="24"/>
                <w:highlight w:val="none"/>
                <w:lang w:val="en-US" w:eastAsia="zh-CN"/>
              </w:rPr>
              <w:t>预测</w:t>
            </w:r>
            <w:r>
              <w:rPr>
                <w:rFonts w:hint="default" w:ascii="Times New Roman" w:hAnsi="Times New Roman" w:cs="Times New Roman"/>
                <w:bCs/>
                <w:color w:val="auto"/>
                <w:kern w:val="0"/>
                <w:sz w:val="24"/>
                <w:highlight w:val="none"/>
              </w:rPr>
              <w:t>。EIAProN2021软件内嵌《环境影响评价技术导则 声环境》（HJ2.4-2021）推荐计算模型，计算结果可靠</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rPr>
              <w:t>本项目周边无噪声敏感点，故本次仅对项目边界作预测。项目厂界各噪声受声点的噪声预测结果详见下表：</w:t>
            </w:r>
          </w:p>
          <w:p w14:paraId="45D0A2F8">
            <w:pPr>
              <w:keepNext w:val="0"/>
              <w:keepLines/>
              <w:pageBreakBefore w:val="0"/>
              <w:kinsoku/>
              <w:wordWrap w:val="0"/>
              <w:overflowPunct/>
              <w:topLinePunct w:val="0"/>
              <w:bidi w:val="0"/>
              <w:adjustRightInd w:val="0"/>
              <w:snapToGrid w:val="0"/>
              <w:spacing w:line="360" w:lineRule="auto"/>
              <w:ind w:firstLine="482" w:firstLineChars="200"/>
              <w:jc w:val="center"/>
              <w:textAlignment w:val="auto"/>
              <w:rPr>
                <w:rFonts w:hint="default" w:ascii="Times New Roman" w:hAnsi="Times New Roman" w:eastAsia="宋体" w:cs="Times New Roman"/>
                <w:b/>
                <w:bCs w:val="0"/>
                <w:color w:val="auto"/>
                <w:kern w:val="0"/>
                <w:sz w:val="24"/>
                <w:highlight w:val="none"/>
                <w:lang w:val="en-US" w:eastAsia="zh-CN"/>
              </w:rPr>
            </w:pPr>
            <w:r>
              <w:rPr>
                <w:rFonts w:hint="default" w:ascii="Times New Roman" w:hAnsi="Times New Roman" w:eastAsia="宋体" w:cs="Times New Roman"/>
                <w:b/>
                <w:bCs w:val="0"/>
                <w:color w:val="auto"/>
                <w:kern w:val="0"/>
                <w:sz w:val="24"/>
                <w:highlight w:val="none"/>
                <w:lang w:val="en-US" w:eastAsia="zh-CN"/>
              </w:rPr>
              <w:t>表4-7 厂界噪声预测结果  单位：dB（A）</w:t>
            </w:r>
          </w:p>
          <w:tbl>
            <w:tblPr>
              <w:tblStyle w:val="23"/>
              <w:tblW w:w="8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787"/>
              <w:gridCol w:w="786"/>
              <w:gridCol w:w="965"/>
              <w:gridCol w:w="775"/>
              <w:gridCol w:w="1388"/>
              <w:gridCol w:w="1205"/>
              <w:gridCol w:w="1108"/>
            </w:tblGrid>
            <w:tr w14:paraId="38345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1062" w:type="dxa"/>
                  <w:vMerge w:val="restart"/>
                  <w:vAlign w:val="center"/>
                </w:tcPr>
                <w:p w14:paraId="0CC29AA5">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预测方位</w:t>
                  </w:r>
                </w:p>
              </w:tc>
              <w:tc>
                <w:tcPr>
                  <w:tcW w:w="2538" w:type="dxa"/>
                  <w:gridSpan w:val="3"/>
                  <w:vAlign w:val="center"/>
                </w:tcPr>
                <w:p w14:paraId="34530912">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最大值点空间相对位置/m</w:t>
                  </w:r>
                </w:p>
              </w:tc>
              <w:tc>
                <w:tcPr>
                  <w:tcW w:w="775" w:type="dxa"/>
                  <w:vMerge w:val="restart"/>
                  <w:vAlign w:val="center"/>
                </w:tcPr>
                <w:p w14:paraId="275149F1">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时段</w:t>
                  </w:r>
                </w:p>
              </w:tc>
              <w:tc>
                <w:tcPr>
                  <w:tcW w:w="1388" w:type="dxa"/>
                  <w:vMerge w:val="restart"/>
                  <w:vAlign w:val="center"/>
                </w:tcPr>
                <w:p w14:paraId="1A102653">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贡献值（dB(A)）</w:t>
                  </w:r>
                </w:p>
              </w:tc>
              <w:tc>
                <w:tcPr>
                  <w:tcW w:w="1205" w:type="dxa"/>
                  <w:vMerge w:val="restart"/>
                  <w:vAlign w:val="center"/>
                </w:tcPr>
                <w:p w14:paraId="4F07CA3B">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标准限值（dB(A)）</w:t>
                  </w:r>
                </w:p>
              </w:tc>
              <w:tc>
                <w:tcPr>
                  <w:tcW w:w="1108" w:type="dxa"/>
                  <w:vMerge w:val="restart"/>
                  <w:vAlign w:val="center"/>
                </w:tcPr>
                <w:p w14:paraId="56AFA27D">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达标情况</w:t>
                  </w:r>
                </w:p>
              </w:tc>
            </w:tr>
            <w:tr w14:paraId="42816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062" w:type="dxa"/>
                  <w:vMerge w:val="continue"/>
                  <w:shd w:val="clear" w:color="auto" w:fill="FFFFFF"/>
                  <w:vAlign w:val="center"/>
                </w:tcPr>
                <w:p w14:paraId="6BA5D1D1">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p>
              </w:tc>
              <w:tc>
                <w:tcPr>
                  <w:tcW w:w="787" w:type="dxa"/>
                  <w:shd w:val="clear" w:color="auto" w:fill="FFFFFF"/>
                  <w:vAlign w:val="center"/>
                </w:tcPr>
                <w:p w14:paraId="3A6D7C59">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X</w:t>
                  </w:r>
                </w:p>
              </w:tc>
              <w:tc>
                <w:tcPr>
                  <w:tcW w:w="786" w:type="dxa"/>
                  <w:shd w:val="clear" w:color="auto" w:fill="FFFFFF"/>
                  <w:vAlign w:val="center"/>
                </w:tcPr>
                <w:p w14:paraId="0D0623C6">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Y</w:t>
                  </w:r>
                </w:p>
              </w:tc>
              <w:tc>
                <w:tcPr>
                  <w:tcW w:w="965" w:type="dxa"/>
                  <w:shd w:val="clear" w:color="auto" w:fill="FFFFFF"/>
                  <w:vAlign w:val="center"/>
                </w:tcPr>
                <w:p w14:paraId="46CCB4AE">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Z</w:t>
                  </w:r>
                </w:p>
              </w:tc>
              <w:tc>
                <w:tcPr>
                  <w:tcW w:w="775" w:type="dxa"/>
                  <w:vMerge w:val="continue"/>
                  <w:shd w:val="clear" w:color="auto" w:fill="FFFFFF"/>
                  <w:vAlign w:val="center"/>
                </w:tcPr>
                <w:p w14:paraId="6A1ED0E9">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p>
              </w:tc>
              <w:tc>
                <w:tcPr>
                  <w:tcW w:w="1388" w:type="dxa"/>
                  <w:vMerge w:val="continue"/>
                  <w:shd w:val="clear" w:color="auto" w:fill="FFFFFF"/>
                  <w:vAlign w:val="center"/>
                </w:tcPr>
                <w:p w14:paraId="0DF527E6">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p>
              </w:tc>
              <w:tc>
                <w:tcPr>
                  <w:tcW w:w="1205" w:type="dxa"/>
                  <w:vMerge w:val="continue"/>
                  <w:shd w:val="clear" w:color="auto" w:fill="FFFFFF"/>
                  <w:vAlign w:val="center"/>
                </w:tcPr>
                <w:p w14:paraId="155C6B08">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p>
              </w:tc>
              <w:tc>
                <w:tcPr>
                  <w:tcW w:w="1108" w:type="dxa"/>
                  <w:vMerge w:val="continue"/>
                  <w:shd w:val="clear" w:color="auto" w:fill="FFFFFF"/>
                  <w:vAlign w:val="center"/>
                </w:tcPr>
                <w:p w14:paraId="798F3F5C">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p>
              </w:tc>
            </w:tr>
            <w:tr w14:paraId="30F06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6" w:hRule="exact"/>
                <w:jc w:val="center"/>
              </w:trPr>
              <w:tc>
                <w:tcPr>
                  <w:tcW w:w="1062" w:type="dxa"/>
                  <w:shd w:val="clear" w:color="auto" w:fill="FFFFFF"/>
                  <w:vAlign w:val="center"/>
                </w:tcPr>
                <w:p w14:paraId="6DD02EF2">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东侧</w:t>
                  </w:r>
                </w:p>
              </w:tc>
              <w:tc>
                <w:tcPr>
                  <w:tcW w:w="787" w:type="dxa"/>
                  <w:shd w:val="clear" w:color="auto" w:fill="FFFFFF"/>
                  <w:vAlign w:val="center"/>
                </w:tcPr>
                <w:p w14:paraId="5D6F92F9">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61.3</w:t>
                  </w:r>
                </w:p>
              </w:tc>
              <w:tc>
                <w:tcPr>
                  <w:tcW w:w="786" w:type="dxa"/>
                  <w:shd w:val="clear" w:color="auto" w:fill="FFFFFF"/>
                  <w:vAlign w:val="center"/>
                </w:tcPr>
                <w:p w14:paraId="00D90E3D">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-44.7</w:t>
                  </w:r>
                </w:p>
              </w:tc>
              <w:tc>
                <w:tcPr>
                  <w:tcW w:w="965" w:type="dxa"/>
                  <w:shd w:val="clear" w:color="auto" w:fill="FFFFFF"/>
                  <w:vAlign w:val="center"/>
                </w:tcPr>
                <w:p w14:paraId="1626BB2C">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1.2</w:t>
                  </w:r>
                </w:p>
              </w:tc>
              <w:tc>
                <w:tcPr>
                  <w:tcW w:w="775" w:type="dxa"/>
                  <w:shd w:val="clear" w:color="auto" w:fill="FFFFFF"/>
                  <w:vAlign w:val="center"/>
                </w:tcPr>
                <w:p w14:paraId="497B5149">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昼间</w:t>
                  </w:r>
                </w:p>
              </w:tc>
              <w:tc>
                <w:tcPr>
                  <w:tcW w:w="1388" w:type="dxa"/>
                  <w:shd w:val="clear" w:color="auto" w:fill="FFFFFF"/>
                  <w:vAlign w:val="center"/>
                </w:tcPr>
                <w:p w14:paraId="40A0D9C6">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47</w:t>
                  </w:r>
                </w:p>
              </w:tc>
              <w:tc>
                <w:tcPr>
                  <w:tcW w:w="1205" w:type="dxa"/>
                  <w:shd w:val="clear" w:color="auto" w:fill="FFFFFF"/>
                  <w:vAlign w:val="center"/>
                </w:tcPr>
                <w:p w14:paraId="2482DEE4">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60</w:t>
                  </w:r>
                </w:p>
              </w:tc>
              <w:tc>
                <w:tcPr>
                  <w:tcW w:w="1108" w:type="dxa"/>
                  <w:shd w:val="clear" w:color="auto" w:fill="FFFFFF"/>
                  <w:vAlign w:val="center"/>
                </w:tcPr>
                <w:p w14:paraId="54A4DD67">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达标</w:t>
                  </w:r>
                </w:p>
              </w:tc>
            </w:tr>
            <w:tr w14:paraId="2FA5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6" w:hRule="exact"/>
                <w:jc w:val="center"/>
              </w:trPr>
              <w:tc>
                <w:tcPr>
                  <w:tcW w:w="1062" w:type="dxa"/>
                  <w:shd w:val="clear" w:color="auto" w:fill="FFFFFF"/>
                  <w:vAlign w:val="center"/>
                </w:tcPr>
                <w:p w14:paraId="662CDFC5">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南侧</w:t>
                  </w:r>
                </w:p>
              </w:tc>
              <w:tc>
                <w:tcPr>
                  <w:tcW w:w="787" w:type="dxa"/>
                  <w:shd w:val="clear" w:color="auto" w:fill="FFFFFF"/>
                  <w:vAlign w:val="center"/>
                </w:tcPr>
                <w:p w14:paraId="5BB6ED62">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-365.7</w:t>
                  </w:r>
                </w:p>
              </w:tc>
              <w:tc>
                <w:tcPr>
                  <w:tcW w:w="786" w:type="dxa"/>
                  <w:shd w:val="clear" w:color="auto" w:fill="FFFFFF"/>
                  <w:vAlign w:val="center"/>
                </w:tcPr>
                <w:p w14:paraId="381FB07F">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-45.4</w:t>
                  </w:r>
                </w:p>
              </w:tc>
              <w:tc>
                <w:tcPr>
                  <w:tcW w:w="965" w:type="dxa"/>
                  <w:shd w:val="clear" w:color="auto" w:fill="FFFFFF"/>
                  <w:vAlign w:val="center"/>
                </w:tcPr>
                <w:p w14:paraId="7655671F">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1.2</w:t>
                  </w:r>
                </w:p>
              </w:tc>
              <w:tc>
                <w:tcPr>
                  <w:tcW w:w="775" w:type="dxa"/>
                  <w:shd w:val="clear" w:color="auto" w:fill="FFFFFF"/>
                  <w:vAlign w:val="center"/>
                </w:tcPr>
                <w:p w14:paraId="3EB8D2CC">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昼间</w:t>
                  </w:r>
                </w:p>
              </w:tc>
              <w:tc>
                <w:tcPr>
                  <w:tcW w:w="1388" w:type="dxa"/>
                  <w:shd w:val="clear" w:color="auto" w:fill="FFFFFF"/>
                  <w:vAlign w:val="center"/>
                </w:tcPr>
                <w:p w14:paraId="10B4136E">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46</w:t>
                  </w:r>
                </w:p>
              </w:tc>
              <w:tc>
                <w:tcPr>
                  <w:tcW w:w="1205" w:type="dxa"/>
                  <w:shd w:val="clear" w:color="auto" w:fill="FFFFFF"/>
                  <w:vAlign w:val="center"/>
                </w:tcPr>
                <w:p w14:paraId="22A9A7C8">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60</w:t>
                  </w:r>
                </w:p>
              </w:tc>
              <w:tc>
                <w:tcPr>
                  <w:tcW w:w="1108" w:type="dxa"/>
                  <w:shd w:val="clear" w:color="auto" w:fill="FFFFFF"/>
                  <w:vAlign w:val="center"/>
                </w:tcPr>
                <w:p w14:paraId="75F3B60D">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达标</w:t>
                  </w:r>
                </w:p>
              </w:tc>
            </w:tr>
            <w:tr w14:paraId="62493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6" w:hRule="exact"/>
                <w:jc w:val="center"/>
              </w:trPr>
              <w:tc>
                <w:tcPr>
                  <w:tcW w:w="1062" w:type="dxa"/>
                  <w:shd w:val="clear" w:color="auto" w:fill="FFFFFF"/>
                  <w:vAlign w:val="center"/>
                </w:tcPr>
                <w:p w14:paraId="2BE69B9C">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西侧</w:t>
                  </w:r>
                </w:p>
              </w:tc>
              <w:tc>
                <w:tcPr>
                  <w:tcW w:w="787" w:type="dxa"/>
                  <w:shd w:val="clear" w:color="auto" w:fill="FFFFFF"/>
                  <w:vAlign w:val="center"/>
                </w:tcPr>
                <w:p w14:paraId="5427FA86">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-107.9</w:t>
                  </w:r>
                </w:p>
              </w:tc>
              <w:tc>
                <w:tcPr>
                  <w:tcW w:w="786" w:type="dxa"/>
                  <w:shd w:val="clear" w:color="auto" w:fill="FFFFFF"/>
                  <w:vAlign w:val="center"/>
                </w:tcPr>
                <w:p w14:paraId="05639EDA">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47.1</w:t>
                  </w:r>
                </w:p>
              </w:tc>
              <w:tc>
                <w:tcPr>
                  <w:tcW w:w="965" w:type="dxa"/>
                  <w:shd w:val="clear" w:color="auto" w:fill="FFFFFF"/>
                  <w:vAlign w:val="center"/>
                </w:tcPr>
                <w:p w14:paraId="04D1D600">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1.2</w:t>
                  </w:r>
                </w:p>
              </w:tc>
              <w:tc>
                <w:tcPr>
                  <w:tcW w:w="775" w:type="dxa"/>
                  <w:shd w:val="clear" w:color="auto" w:fill="FFFFFF"/>
                  <w:vAlign w:val="center"/>
                </w:tcPr>
                <w:p w14:paraId="2A8C8961">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昼间</w:t>
                  </w:r>
                </w:p>
              </w:tc>
              <w:tc>
                <w:tcPr>
                  <w:tcW w:w="1388" w:type="dxa"/>
                  <w:shd w:val="clear" w:color="auto" w:fill="FFFFFF"/>
                  <w:vAlign w:val="center"/>
                </w:tcPr>
                <w:p w14:paraId="4C980F21">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45</w:t>
                  </w:r>
                </w:p>
              </w:tc>
              <w:tc>
                <w:tcPr>
                  <w:tcW w:w="1205" w:type="dxa"/>
                  <w:shd w:val="clear" w:color="auto" w:fill="FFFFFF"/>
                  <w:vAlign w:val="center"/>
                </w:tcPr>
                <w:p w14:paraId="72C11370">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60</w:t>
                  </w:r>
                </w:p>
              </w:tc>
              <w:tc>
                <w:tcPr>
                  <w:tcW w:w="1108" w:type="dxa"/>
                  <w:shd w:val="clear" w:color="auto" w:fill="FFFFFF"/>
                  <w:vAlign w:val="center"/>
                </w:tcPr>
                <w:p w14:paraId="65B9A528">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达标</w:t>
                  </w:r>
                </w:p>
              </w:tc>
            </w:tr>
            <w:tr w14:paraId="33DF4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6" w:hRule="exact"/>
                <w:jc w:val="center"/>
              </w:trPr>
              <w:tc>
                <w:tcPr>
                  <w:tcW w:w="1062" w:type="dxa"/>
                  <w:shd w:val="clear" w:color="auto" w:fill="FFFFFF"/>
                  <w:vAlign w:val="center"/>
                </w:tcPr>
                <w:p w14:paraId="265D880E">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北侧</w:t>
                  </w:r>
                </w:p>
              </w:tc>
              <w:tc>
                <w:tcPr>
                  <w:tcW w:w="787" w:type="dxa"/>
                  <w:shd w:val="clear" w:color="auto" w:fill="FFFFFF"/>
                  <w:vAlign w:val="center"/>
                </w:tcPr>
                <w:p w14:paraId="739289CE">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247.5</w:t>
                  </w:r>
                </w:p>
              </w:tc>
              <w:tc>
                <w:tcPr>
                  <w:tcW w:w="786" w:type="dxa"/>
                  <w:shd w:val="clear" w:color="auto" w:fill="FFFFFF"/>
                  <w:vAlign w:val="center"/>
                </w:tcPr>
                <w:p w14:paraId="18D7881A">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12.7</w:t>
                  </w:r>
                </w:p>
              </w:tc>
              <w:tc>
                <w:tcPr>
                  <w:tcW w:w="965" w:type="dxa"/>
                  <w:shd w:val="clear" w:color="auto" w:fill="FFFFFF"/>
                  <w:vAlign w:val="center"/>
                </w:tcPr>
                <w:p w14:paraId="440E0F2E">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1.2</w:t>
                  </w:r>
                </w:p>
              </w:tc>
              <w:tc>
                <w:tcPr>
                  <w:tcW w:w="775" w:type="dxa"/>
                  <w:shd w:val="clear" w:color="auto" w:fill="FFFFFF"/>
                  <w:vAlign w:val="center"/>
                </w:tcPr>
                <w:p w14:paraId="559CE8EB">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昼间</w:t>
                  </w:r>
                </w:p>
              </w:tc>
              <w:tc>
                <w:tcPr>
                  <w:tcW w:w="1388" w:type="dxa"/>
                  <w:shd w:val="clear" w:color="auto" w:fill="FFFFFF"/>
                  <w:vAlign w:val="center"/>
                </w:tcPr>
                <w:p w14:paraId="72E506A1">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47</w:t>
                  </w:r>
                </w:p>
              </w:tc>
              <w:tc>
                <w:tcPr>
                  <w:tcW w:w="1205" w:type="dxa"/>
                  <w:shd w:val="clear" w:color="auto" w:fill="FFFFFF"/>
                  <w:vAlign w:val="center"/>
                </w:tcPr>
                <w:p w14:paraId="3713C794">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75</w:t>
                  </w:r>
                </w:p>
              </w:tc>
              <w:tc>
                <w:tcPr>
                  <w:tcW w:w="1108" w:type="dxa"/>
                  <w:shd w:val="clear" w:color="auto" w:fill="FFFFFF"/>
                  <w:vAlign w:val="center"/>
                </w:tcPr>
                <w:p w14:paraId="71F9A99B">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达标</w:t>
                  </w:r>
                </w:p>
              </w:tc>
            </w:tr>
            <w:tr w14:paraId="7D524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35" w:hRule="exact"/>
                <w:jc w:val="center"/>
              </w:trPr>
              <w:tc>
                <w:tcPr>
                  <w:tcW w:w="1062" w:type="dxa"/>
                  <w:shd w:val="clear" w:color="auto" w:fill="FFFFFF"/>
                  <w:vAlign w:val="center"/>
                </w:tcPr>
                <w:p w14:paraId="7F1A8963">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厂界</w:t>
                  </w:r>
                  <w:r>
                    <w:rPr>
                      <w:rFonts w:hint="eastAsia" w:cs="Times New Roman" w:eastAsiaTheme="minorEastAsia"/>
                      <w:color w:val="auto"/>
                      <w:sz w:val="21"/>
                      <w:szCs w:val="21"/>
                      <w:lang w:val="en-US" w:eastAsia="zh-CN"/>
                    </w:rPr>
                    <w:t>外环境最大值</w:t>
                  </w:r>
                </w:p>
              </w:tc>
              <w:tc>
                <w:tcPr>
                  <w:tcW w:w="787" w:type="dxa"/>
                  <w:shd w:val="clear" w:color="auto" w:fill="FFFFFF"/>
                  <w:vAlign w:val="center"/>
                </w:tcPr>
                <w:p w14:paraId="72993E70">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-176.9</w:t>
                  </w:r>
                </w:p>
              </w:tc>
              <w:tc>
                <w:tcPr>
                  <w:tcW w:w="786" w:type="dxa"/>
                  <w:shd w:val="clear" w:color="auto" w:fill="FFFFFF"/>
                  <w:vAlign w:val="center"/>
                </w:tcPr>
                <w:p w14:paraId="17AA7834">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-220.7</w:t>
                  </w:r>
                </w:p>
              </w:tc>
              <w:tc>
                <w:tcPr>
                  <w:tcW w:w="965" w:type="dxa"/>
                  <w:shd w:val="clear" w:color="auto" w:fill="FFFFFF"/>
                  <w:vAlign w:val="center"/>
                </w:tcPr>
                <w:p w14:paraId="3261EC16">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1.2</w:t>
                  </w:r>
                </w:p>
              </w:tc>
              <w:tc>
                <w:tcPr>
                  <w:tcW w:w="775" w:type="dxa"/>
                  <w:shd w:val="clear" w:color="auto" w:fill="FFFFFF"/>
                  <w:vAlign w:val="center"/>
                </w:tcPr>
                <w:p w14:paraId="1F0EDA13">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昼间</w:t>
                  </w:r>
                </w:p>
              </w:tc>
              <w:tc>
                <w:tcPr>
                  <w:tcW w:w="1388" w:type="dxa"/>
                  <w:shd w:val="clear" w:color="auto" w:fill="FFFFFF"/>
                  <w:vAlign w:val="center"/>
                </w:tcPr>
                <w:p w14:paraId="149692CC">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52</w:t>
                  </w:r>
                </w:p>
              </w:tc>
              <w:tc>
                <w:tcPr>
                  <w:tcW w:w="1205" w:type="dxa"/>
                  <w:shd w:val="clear" w:color="auto" w:fill="FFFFFF"/>
                  <w:vAlign w:val="center"/>
                </w:tcPr>
                <w:p w14:paraId="1775E2DE">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60</w:t>
                  </w:r>
                </w:p>
              </w:tc>
              <w:tc>
                <w:tcPr>
                  <w:tcW w:w="1108" w:type="dxa"/>
                  <w:shd w:val="clear" w:color="auto" w:fill="FFFFFF"/>
                  <w:vAlign w:val="center"/>
                </w:tcPr>
                <w:p w14:paraId="5BE29D5F">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达标</w:t>
                  </w:r>
                </w:p>
              </w:tc>
            </w:tr>
          </w:tbl>
          <w:p w14:paraId="4ACECFD6">
            <w:pPr>
              <w:keepNext w:val="0"/>
              <w:keepLines/>
              <w:pageBreakBefore w:val="0"/>
              <w:kinsoku/>
              <w:wordWrap w:val="0"/>
              <w:overflowPunct/>
              <w:topLinePunct w:val="0"/>
              <w:bidi w:val="0"/>
              <w:adjustRightInd w:val="0"/>
              <w:snapToGrid w:val="0"/>
              <w:spacing w:line="360" w:lineRule="auto"/>
              <w:ind w:firstLine="482" w:firstLineChars="200"/>
              <w:jc w:val="center"/>
              <w:textAlignment w:val="auto"/>
              <w:rPr>
                <w:rFonts w:hint="default" w:ascii="Times New Roman" w:hAnsi="Times New Roman" w:eastAsia="宋体" w:cs="Times New Roman"/>
                <w:b/>
                <w:bCs w:val="0"/>
                <w:color w:val="auto"/>
                <w:kern w:val="0"/>
                <w:sz w:val="24"/>
                <w:highlight w:val="none"/>
                <w:lang w:eastAsia="zh-CN"/>
              </w:rPr>
            </w:pPr>
            <w:r>
              <w:rPr>
                <w:rFonts w:hint="default" w:ascii="Times New Roman" w:hAnsi="Times New Roman" w:eastAsia="宋体" w:cs="Times New Roman"/>
                <w:b/>
                <w:bCs w:val="0"/>
                <w:color w:val="auto"/>
                <w:kern w:val="0"/>
                <w:sz w:val="24"/>
                <w:highlight w:val="none"/>
                <w:lang w:eastAsia="zh-CN"/>
              </w:rPr>
              <w:drawing>
                <wp:anchor distT="0" distB="0" distL="114300" distR="114300" simplePos="0" relativeHeight="251663360" behindDoc="1" locked="0" layoutInCell="1" allowOverlap="1">
                  <wp:simplePos x="0" y="0"/>
                  <wp:positionH relativeFrom="column">
                    <wp:posOffset>0</wp:posOffset>
                  </wp:positionH>
                  <wp:positionV relativeFrom="paragraph">
                    <wp:posOffset>114300</wp:posOffset>
                  </wp:positionV>
                  <wp:extent cx="5126990" cy="3500755"/>
                  <wp:effectExtent l="0" t="0" r="16510" b="4445"/>
                  <wp:wrapNone/>
                  <wp:docPr id="1" name="图片 1" descr="d2a035c1bdb1c6ea980c8e45e615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2a035c1bdb1c6ea980c8e45e615ecf"/>
                          <pic:cNvPicPr>
                            <a:picLocks noChangeAspect="1"/>
                          </pic:cNvPicPr>
                        </pic:nvPicPr>
                        <pic:blipFill>
                          <a:blip r:embed="rId21"/>
                          <a:stretch>
                            <a:fillRect/>
                          </a:stretch>
                        </pic:blipFill>
                        <pic:spPr>
                          <a:xfrm>
                            <a:off x="0" y="0"/>
                            <a:ext cx="5126990" cy="3500755"/>
                          </a:xfrm>
                          <a:prstGeom prst="rect">
                            <a:avLst/>
                          </a:prstGeom>
                        </pic:spPr>
                      </pic:pic>
                    </a:graphicData>
                  </a:graphic>
                </wp:anchor>
              </w:drawing>
            </w:r>
          </w:p>
          <w:p w14:paraId="4879D044">
            <w:pPr>
              <w:keepNext w:val="0"/>
              <w:keepLines/>
              <w:pageBreakBefore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kern w:val="0"/>
                <w:sz w:val="24"/>
                <w:highlight w:val="none"/>
                <w:lang w:eastAsia="zh-CN"/>
              </w:rPr>
            </w:pPr>
          </w:p>
          <w:p w14:paraId="0BCAE203">
            <w:pPr>
              <w:keepNext w:val="0"/>
              <w:keepLines/>
              <w:pageBreakBefore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kern w:val="0"/>
                <w:sz w:val="24"/>
                <w:highlight w:val="none"/>
                <w:lang w:eastAsia="zh-CN"/>
              </w:rPr>
            </w:pPr>
          </w:p>
          <w:p w14:paraId="41913F9F">
            <w:pPr>
              <w:keepNext w:val="0"/>
              <w:keepLines/>
              <w:pageBreakBefore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kern w:val="0"/>
                <w:sz w:val="24"/>
                <w:highlight w:val="none"/>
                <w:lang w:eastAsia="zh-CN"/>
              </w:rPr>
            </w:pPr>
          </w:p>
          <w:p w14:paraId="1476F9FC">
            <w:pPr>
              <w:keepNext w:val="0"/>
              <w:keepLines/>
              <w:pageBreakBefore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kern w:val="0"/>
                <w:sz w:val="24"/>
                <w:highlight w:val="none"/>
                <w:lang w:eastAsia="zh-CN"/>
              </w:rPr>
            </w:pPr>
          </w:p>
          <w:p w14:paraId="433857C8">
            <w:pPr>
              <w:keepNext w:val="0"/>
              <w:keepLines/>
              <w:pageBreakBefore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kern w:val="0"/>
                <w:sz w:val="24"/>
                <w:highlight w:val="none"/>
                <w:lang w:eastAsia="zh-CN"/>
              </w:rPr>
            </w:pPr>
          </w:p>
          <w:p w14:paraId="7E1A50B2">
            <w:pPr>
              <w:keepNext w:val="0"/>
              <w:keepLines/>
              <w:pageBreakBefore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kern w:val="0"/>
                <w:sz w:val="24"/>
                <w:highlight w:val="none"/>
                <w:lang w:eastAsia="zh-CN"/>
              </w:rPr>
            </w:pPr>
          </w:p>
          <w:p w14:paraId="65721CF3">
            <w:pPr>
              <w:keepNext w:val="0"/>
              <w:keepLines/>
              <w:pageBreakBefore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kern w:val="0"/>
                <w:sz w:val="24"/>
                <w:highlight w:val="none"/>
                <w:lang w:eastAsia="zh-CN"/>
              </w:rPr>
            </w:pPr>
          </w:p>
          <w:p w14:paraId="57169790">
            <w:pPr>
              <w:keepNext w:val="0"/>
              <w:keepLines/>
              <w:pageBreakBefore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kern w:val="0"/>
                <w:sz w:val="24"/>
                <w:highlight w:val="none"/>
                <w:lang w:eastAsia="zh-CN"/>
              </w:rPr>
            </w:pPr>
          </w:p>
          <w:p w14:paraId="3DAB7679">
            <w:pPr>
              <w:keepNext w:val="0"/>
              <w:keepLines/>
              <w:pageBreakBefore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kern w:val="0"/>
                <w:sz w:val="24"/>
                <w:highlight w:val="none"/>
                <w:lang w:eastAsia="zh-CN"/>
              </w:rPr>
            </w:pPr>
          </w:p>
          <w:p w14:paraId="421E5075">
            <w:pPr>
              <w:keepNext w:val="0"/>
              <w:keepLines/>
              <w:pageBreakBefore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kern w:val="0"/>
                <w:sz w:val="24"/>
                <w:highlight w:val="none"/>
                <w:lang w:eastAsia="zh-CN"/>
              </w:rPr>
            </w:pPr>
          </w:p>
          <w:p w14:paraId="124B0CDF">
            <w:pPr>
              <w:keepNext w:val="0"/>
              <w:keepLines/>
              <w:pageBreakBefore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kern w:val="0"/>
                <w:sz w:val="24"/>
                <w:highlight w:val="none"/>
                <w:lang w:eastAsia="zh-CN"/>
              </w:rPr>
            </w:pPr>
          </w:p>
          <w:p w14:paraId="0E0290D0">
            <w:pPr>
              <w:keepNext w:val="0"/>
              <w:keepLines/>
              <w:pageBreakBefore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kern w:val="0"/>
                <w:sz w:val="24"/>
                <w:highlight w:val="none"/>
                <w:lang w:eastAsia="zh-CN"/>
              </w:rPr>
            </w:pPr>
          </w:p>
          <w:p w14:paraId="6B692935">
            <w:pPr>
              <w:keepNext w:val="0"/>
              <w:keepLines/>
              <w:pageBreakBefore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kern w:val="0"/>
                <w:sz w:val="24"/>
                <w:highlight w:val="none"/>
                <w:lang w:eastAsia="zh-CN"/>
              </w:rPr>
            </w:pPr>
          </w:p>
          <w:p w14:paraId="7F73361E">
            <w:pPr>
              <w:keepNext w:val="0"/>
              <w:keepLines/>
              <w:pageBreakBefore w:val="0"/>
              <w:kinsoku/>
              <w:wordWrap w:val="0"/>
              <w:overflowPunct/>
              <w:topLinePunct w:val="0"/>
              <w:bidi w:val="0"/>
              <w:adjustRightInd w:val="0"/>
              <w:snapToGrid w:val="0"/>
              <w:spacing w:line="360" w:lineRule="auto"/>
              <w:ind w:firstLine="482" w:firstLineChars="200"/>
              <w:jc w:val="center"/>
              <w:textAlignment w:val="auto"/>
              <w:rPr>
                <w:rFonts w:hint="default" w:ascii="Times New Roman" w:hAnsi="Times New Roman" w:eastAsia="宋体" w:cs="Times New Roman"/>
                <w:b/>
                <w:bCs w:val="0"/>
                <w:color w:val="auto"/>
                <w:kern w:val="0"/>
                <w:sz w:val="24"/>
                <w:highlight w:val="none"/>
                <w:lang w:eastAsia="zh-CN"/>
              </w:rPr>
            </w:pPr>
            <w:r>
              <w:rPr>
                <w:rFonts w:hint="default" w:ascii="Times New Roman" w:hAnsi="Times New Roman" w:cs="Times New Roman"/>
                <w:b/>
                <w:bCs w:val="0"/>
                <w:color w:val="auto"/>
                <w:kern w:val="0"/>
                <w:sz w:val="24"/>
                <w:highlight w:val="none"/>
                <w:lang w:val="en-US" w:eastAsia="zh-CN"/>
              </w:rPr>
              <w:t xml:space="preserve">图4-1 </w:t>
            </w:r>
            <w:r>
              <w:rPr>
                <w:rFonts w:hint="default" w:ascii="Times New Roman" w:hAnsi="Times New Roman" w:eastAsia="宋体" w:cs="Times New Roman"/>
                <w:b/>
                <w:bCs w:val="0"/>
                <w:color w:val="auto"/>
                <w:kern w:val="0"/>
                <w:sz w:val="24"/>
                <w:highlight w:val="none"/>
                <w:lang w:val="en-US" w:eastAsia="zh-CN"/>
              </w:rPr>
              <w:t>厂界噪声预测</w:t>
            </w:r>
            <w:r>
              <w:rPr>
                <w:rFonts w:hint="default" w:ascii="Times New Roman" w:hAnsi="Times New Roman" w:cs="Times New Roman"/>
                <w:b/>
                <w:bCs w:val="0"/>
                <w:color w:val="auto"/>
                <w:kern w:val="0"/>
                <w:sz w:val="24"/>
                <w:highlight w:val="none"/>
                <w:lang w:val="en-US" w:eastAsia="zh-CN"/>
              </w:rPr>
              <w:t>等声值线图</w:t>
            </w:r>
          </w:p>
          <w:p w14:paraId="1818D3D1">
            <w:pPr>
              <w:keepNext w:val="0"/>
              <w:keepLines/>
              <w:pageBreakBefore w:val="0"/>
              <w:kinsoku/>
              <w:wordWrap w:val="0"/>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 w:val="0"/>
                <w:bCs/>
                <w:color w:val="0000FF"/>
                <w:kern w:val="0"/>
                <w:sz w:val="24"/>
                <w:highlight w:val="none"/>
                <w:lang w:val="en-US" w:eastAsia="zh-CN"/>
              </w:rPr>
            </w:pPr>
            <w:r>
              <w:rPr>
                <w:rFonts w:hint="default" w:ascii="Times New Roman" w:hAnsi="Times New Roman" w:cs="Times New Roman"/>
                <w:b w:val="0"/>
                <w:bCs/>
                <w:color w:val="0000FF"/>
                <w:kern w:val="0"/>
                <w:sz w:val="24"/>
                <w:highlight w:val="none"/>
                <w:lang w:val="en-US" w:eastAsia="zh-CN"/>
              </w:rPr>
              <w:t>根据以上预测数据可知，项目运营期厂界</w:t>
            </w:r>
            <w:r>
              <w:rPr>
                <w:rFonts w:hint="eastAsia" w:cs="Times New Roman"/>
                <w:b w:val="0"/>
                <w:bCs/>
                <w:color w:val="0000FF"/>
                <w:kern w:val="0"/>
                <w:sz w:val="24"/>
                <w:highlight w:val="none"/>
                <w:lang w:val="en-US" w:eastAsia="zh-CN"/>
              </w:rPr>
              <w:t>外环境</w:t>
            </w:r>
            <w:r>
              <w:rPr>
                <w:rFonts w:hint="default" w:ascii="Times New Roman" w:hAnsi="Times New Roman" w:cs="Times New Roman"/>
                <w:b w:val="0"/>
                <w:bCs/>
                <w:color w:val="0000FF"/>
                <w:kern w:val="0"/>
                <w:sz w:val="24"/>
                <w:highlight w:val="none"/>
                <w:lang w:val="en-US" w:eastAsia="zh-CN"/>
              </w:rPr>
              <w:t>最大噪声贡献值为5</w:t>
            </w:r>
            <w:r>
              <w:rPr>
                <w:rFonts w:hint="eastAsia" w:cs="Times New Roman"/>
                <w:b w:val="0"/>
                <w:bCs/>
                <w:color w:val="0000FF"/>
                <w:kern w:val="0"/>
                <w:sz w:val="24"/>
                <w:highlight w:val="none"/>
                <w:lang w:val="en-US" w:eastAsia="zh-CN"/>
              </w:rPr>
              <w:t>2</w:t>
            </w:r>
            <w:r>
              <w:rPr>
                <w:rFonts w:hint="default" w:ascii="Times New Roman" w:hAnsi="Times New Roman" w:cs="Times New Roman"/>
                <w:b w:val="0"/>
                <w:bCs/>
                <w:color w:val="0000FF"/>
                <w:kern w:val="0"/>
                <w:sz w:val="24"/>
                <w:highlight w:val="none"/>
                <w:lang w:val="en-US" w:eastAsia="zh-CN"/>
              </w:rPr>
              <w:t>dB，</w:t>
            </w:r>
            <w:r>
              <w:rPr>
                <w:rFonts w:hint="eastAsia" w:cs="Times New Roman"/>
                <w:b w:val="0"/>
                <w:bCs/>
                <w:color w:val="0000FF"/>
                <w:kern w:val="0"/>
                <w:sz w:val="24"/>
                <w:highlight w:val="none"/>
                <w:lang w:val="en-US" w:eastAsia="zh-CN"/>
              </w:rPr>
              <w:t>项目北侧厂界能</w:t>
            </w:r>
            <w:r>
              <w:rPr>
                <w:rFonts w:hint="default" w:ascii="Times New Roman" w:hAnsi="Times New Roman" w:cs="Times New Roman"/>
                <w:b w:val="0"/>
                <w:bCs/>
                <w:color w:val="0000FF"/>
                <w:kern w:val="0"/>
                <w:sz w:val="24"/>
                <w:highlight w:val="none"/>
                <w:lang w:val="en-US" w:eastAsia="zh-CN"/>
              </w:rPr>
              <w:t>满足</w:t>
            </w:r>
            <w:r>
              <w:rPr>
                <w:rFonts w:hint="default" w:ascii="Times New Roman" w:hAnsi="Times New Roman" w:cs="Times New Roman"/>
                <w:snapToGrid w:val="0"/>
                <w:color w:val="0000FF"/>
                <w:kern w:val="0"/>
                <w:sz w:val="24"/>
              </w:rPr>
              <w:t>《工业企业厂界环境噪声排放标准》（GB12348-2008）</w:t>
            </w:r>
            <w:r>
              <w:rPr>
                <w:rFonts w:hint="eastAsia" w:cs="Times New Roman"/>
                <w:snapToGrid w:val="0"/>
                <w:color w:val="0000FF"/>
                <w:kern w:val="0"/>
                <w:sz w:val="24"/>
                <w:lang w:val="en-US" w:eastAsia="zh-CN"/>
              </w:rPr>
              <w:t>中4类标准，其余厂界满足</w:t>
            </w:r>
            <w:r>
              <w:rPr>
                <w:rFonts w:hint="default" w:ascii="Times New Roman" w:hAnsi="Times New Roman" w:cs="Times New Roman"/>
                <w:snapToGrid w:val="0"/>
                <w:color w:val="0000FF"/>
                <w:kern w:val="0"/>
                <w:sz w:val="24"/>
              </w:rPr>
              <w:t>2类标准</w:t>
            </w:r>
            <w:r>
              <w:rPr>
                <w:rFonts w:hint="default" w:ascii="Times New Roman" w:hAnsi="Times New Roman" w:cs="Times New Roman"/>
                <w:bCs/>
                <w:color w:val="0000FF"/>
                <w:kern w:val="0"/>
                <w:sz w:val="24"/>
              </w:rPr>
              <w:t>。项目对周边声环境影响较小。</w:t>
            </w:r>
          </w:p>
          <w:p w14:paraId="2CDE9C7A">
            <w:pPr>
              <w:keepNext w:val="0"/>
              <w:keepLines/>
              <w:pageBreakBefore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kern w:val="0"/>
                <w:sz w:val="24"/>
                <w:highlight w:val="none"/>
              </w:rPr>
            </w:pPr>
            <w:r>
              <w:rPr>
                <w:rFonts w:hint="default" w:ascii="Times New Roman" w:hAnsi="Times New Roman" w:eastAsia="宋体" w:cs="Times New Roman"/>
                <w:b/>
                <w:bCs w:val="0"/>
                <w:color w:val="auto"/>
                <w:kern w:val="0"/>
                <w:sz w:val="24"/>
                <w:highlight w:val="none"/>
                <w:lang w:eastAsia="zh-CN"/>
              </w:rPr>
              <w:t>（</w:t>
            </w:r>
            <w:r>
              <w:rPr>
                <w:rFonts w:hint="default" w:ascii="Times New Roman" w:hAnsi="Times New Roman" w:eastAsia="宋体" w:cs="Times New Roman"/>
                <w:b/>
                <w:bCs w:val="0"/>
                <w:color w:val="auto"/>
                <w:kern w:val="0"/>
                <w:sz w:val="24"/>
                <w:highlight w:val="none"/>
                <w:lang w:val="en-US" w:eastAsia="zh-CN"/>
              </w:rPr>
              <w:t>3</w:t>
            </w:r>
            <w:r>
              <w:rPr>
                <w:rFonts w:hint="default" w:ascii="Times New Roman" w:hAnsi="Times New Roman" w:eastAsia="宋体" w:cs="Times New Roman"/>
                <w:b/>
                <w:bCs w:val="0"/>
                <w:color w:val="auto"/>
                <w:kern w:val="0"/>
                <w:sz w:val="24"/>
                <w:highlight w:val="none"/>
                <w:lang w:eastAsia="zh-CN"/>
              </w:rPr>
              <w:t>）</w:t>
            </w:r>
            <w:r>
              <w:rPr>
                <w:rFonts w:hint="default" w:ascii="Times New Roman" w:hAnsi="Times New Roman" w:eastAsia="宋体" w:cs="Times New Roman"/>
                <w:b/>
                <w:bCs w:val="0"/>
                <w:color w:val="auto"/>
                <w:kern w:val="0"/>
                <w:sz w:val="24"/>
                <w:highlight w:val="none"/>
              </w:rPr>
              <w:t>噪声污染防治措施</w:t>
            </w:r>
          </w:p>
          <w:p w14:paraId="3C788210">
            <w:pPr>
              <w:keepNext w:val="0"/>
              <w:keepLines/>
              <w:pageBreakBefore w:val="0"/>
              <w:kinsoku/>
              <w:wordWrap w:val="0"/>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Cs/>
                <w:color w:val="auto"/>
                <w:kern w:val="0"/>
                <w:sz w:val="24"/>
                <w:highlight w:val="none"/>
                <w:lang w:val="en-US" w:eastAsia="zh-CN"/>
              </w:rPr>
            </w:pPr>
            <w:r>
              <w:rPr>
                <w:rFonts w:hint="default" w:ascii="Times New Roman" w:hAnsi="Times New Roman" w:eastAsia="宋体" w:cs="Times New Roman"/>
                <w:bCs/>
                <w:color w:val="auto"/>
                <w:kern w:val="0"/>
                <w:sz w:val="24"/>
                <w:highlight w:val="none"/>
                <w:lang w:val="zh-CN"/>
              </w:rPr>
              <w:t>为减小运营期噪声对周边环境的影响，本环评提出如下措施：</w:t>
            </w:r>
          </w:p>
          <w:p w14:paraId="3D1EB2B1">
            <w:pPr>
              <w:keepNext w:val="0"/>
              <w:keepLines/>
              <w:pageBreakBefore w:val="0"/>
              <w:kinsoku/>
              <w:wordWrap w:val="0"/>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Cs/>
                <w:color w:val="auto"/>
                <w:kern w:val="0"/>
                <w:sz w:val="24"/>
                <w:highlight w:val="none"/>
                <w:lang w:val="en-US" w:eastAsia="zh-CN"/>
              </w:rPr>
            </w:pPr>
            <w:r>
              <w:rPr>
                <w:rFonts w:hint="default" w:ascii="Times New Roman" w:hAnsi="Times New Roman" w:eastAsia="宋体" w:cs="Times New Roman"/>
                <w:bCs/>
                <w:color w:val="auto"/>
                <w:kern w:val="0"/>
                <w:sz w:val="24"/>
                <w:highlight w:val="none"/>
                <w:lang w:val="en-US" w:eastAsia="zh-CN"/>
              </w:rPr>
              <w:t>①加强运输车辆管理，禁止鸣笛；</w:t>
            </w:r>
          </w:p>
          <w:p w14:paraId="1D0A30FE">
            <w:pPr>
              <w:keepNext w:val="0"/>
              <w:keepLines/>
              <w:pageBreakBefore w:val="0"/>
              <w:kinsoku/>
              <w:wordWrap w:val="0"/>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②加强</w:t>
            </w:r>
            <w:r>
              <w:rPr>
                <w:rFonts w:hint="default" w:ascii="Times New Roman" w:hAnsi="Times New Roman" w:cs="Times New Roman"/>
                <w:color w:val="auto"/>
                <w:kern w:val="0"/>
                <w:sz w:val="24"/>
                <w:highlight w:val="none"/>
                <w:lang w:val="en-US" w:eastAsia="zh-CN"/>
              </w:rPr>
              <w:t>对</w:t>
            </w:r>
            <w:r>
              <w:rPr>
                <w:rFonts w:hint="default" w:ascii="Times New Roman" w:hAnsi="Times New Roman" w:eastAsia="宋体" w:cs="Times New Roman"/>
                <w:color w:val="auto"/>
                <w:kern w:val="0"/>
                <w:sz w:val="24"/>
                <w:highlight w:val="none"/>
                <w:lang w:val="en-US" w:eastAsia="zh-CN"/>
              </w:rPr>
              <w:t>运输车辆及机械的保养、检修，保证车辆处于良好的运转状态，减少机械振动和摩擦产生的噪声，防止共振；</w:t>
            </w:r>
          </w:p>
          <w:p w14:paraId="53486163">
            <w:pPr>
              <w:keepNext w:val="0"/>
              <w:keepLines/>
              <w:pageBreakBefore w:val="0"/>
              <w:kinsoku/>
              <w:wordWrap w:val="0"/>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③合理安排作业时间，12时至14时，晚22时至早07时禁止作业。</w:t>
            </w:r>
          </w:p>
          <w:p w14:paraId="3CF40DA3">
            <w:pPr>
              <w:keepNext w:val="0"/>
              <w:keepLines/>
              <w:pageBreakBefore w:val="0"/>
              <w:kinsoku/>
              <w:wordWrap w:val="0"/>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cs="Times New Roman"/>
                <w:bCs/>
                <w:color w:val="auto"/>
                <w:kern w:val="0"/>
                <w:sz w:val="24"/>
              </w:rPr>
              <w:t>项目周边50m范围内无声环境敏感目标，因此，在采取本次评价提出措施后，项目厂界噪声达标排放，对周围环境影响是可以接受的。</w:t>
            </w:r>
          </w:p>
          <w:p w14:paraId="166D7A3A">
            <w:pPr>
              <w:keepNext w:val="0"/>
              <w:keepLines/>
              <w:pageBreakBefore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eastAsia="宋体" w:cs="Times New Roman"/>
                <w:b/>
                <w:bCs/>
                <w:color w:val="auto"/>
                <w:kern w:val="0"/>
                <w:sz w:val="24"/>
                <w:highlight w:val="none"/>
                <w:lang w:val="en-US" w:eastAsia="zh-CN"/>
              </w:rPr>
              <w:t>（4）监测计划</w:t>
            </w:r>
          </w:p>
          <w:p w14:paraId="4DAA2275">
            <w:pPr>
              <w:keepNext w:val="0"/>
              <w:keepLines/>
              <w:pageBreakBefore w:val="0"/>
              <w:kinsoku/>
              <w:wordWrap w:val="0"/>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根据《排污单位自行监测技术指南 总则》（HJ819-2017），结合项目实际，列出项目运营期具体监测计划如下：</w:t>
            </w:r>
          </w:p>
          <w:p w14:paraId="195007A5">
            <w:pPr>
              <w:keepNext w:val="0"/>
              <w:keepLines/>
              <w:pageBreakBefore w:val="0"/>
              <w:kinsoku/>
              <w:wordWrap w:val="0"/>
              <w:overflowPunct/>
              <w:topLinePunct w:val="0"/>
              <w:bidi w:val="0"/>
              <w:adjustRightInd w:val="0"/>
              <w:snapToGrid w:val="0"/>
              <w:spacing w:line="360" w:lineRule="auto"/>
              <w:ind w:firstLine="482" w:firstLineChars="200"/>
              <w:jc w:val="center"/>
              <w:textAlignment w:val="auto"/>
              <w:rPr>
                <w:rFonts w:hint="default" w:ascii="Times New Roman" w:hAnsi="Times New Roman" w:eastAsia="宋体" w:cs="Times New Roman"/>
                <w:b/>
                <w:bCs w:val="0"/>
                <w:color w:val="auto"/>
                <w:kern w:val="0"/>
                <w:sz w:val="24"/>
                <w:highlight w:val="none"/>
                <w:lang w:val="en-US" w:eastAsia="zh-CN"/>
              </w:rPr>
            </w:pPr>
            <w:r>
              <w:rPr>
                <w:rFonts w:hint="default" w:ascii="Times New Roman" w:hAnsi="Times New Roman" w:eastAsia="宋体" w:cs="Times New Roman"/>
                <w:b/>
                <w:bCs w:val="0"/>
                <w:color w:val="auto"/>
                <w:kern w:val="0"/>
                <w:sz w:val="24"/>
                <w:highlight w:val="none"/>
                <w:lang w:val="en-US" w:eastAsia="zh-CN"/>
              </w:rPr>
              <w:t>表4-8  项目运营期自行监测计划</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1824"/>
              <w:gridCol w:w="1123"/>
              <w:gridCol w:w="1740"/>
              <w:gridCol w:w="2904"/>
            </w:tblGrid>
            <w:tr w14:paraId="76C4A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 w:type="pct"/>
                  <w:tcBorders>
                    <w:tl2br w:val="nil"/>
                    <w:tr2bl w:val="nil"/>
                  </w:tcBorders>
                  <w:vAlign w:val="center"/>
                </w:tcPr>
                <w:p w14:paraId="5C19A51C">
                  <w:pPr>
                    <w:pStyle w:val="33"/>
                    <w:keepNext w:val="0"/>
                    <w:pageBreakBefore w:val="0"/>
                    <w:kinsoku/>
                    <w:wordWrap w:val="0"/>
                    <w:overflowPunct/>
                    <w:topLinePunct w:val="0"/>
                    <w:bidi w:val="0"/>
                    <w:jc w:val="center"/>
                    <w:textAlignment w:val="auto"/>
                    <w:rPr>
                      <w:rFonts w:hint="default" w:ascii="Times New Roman" w:hAnsi="Times New Roman" w:cs="Times New Roman"/>
                      <w:b/>
                      <w:bCs/>
                      <w:color w:val="0000FF"/>
                      <w:lang w:val="en-US" w:eastAsia="zh-CN"/>
                    </w:rPr>
                  </w:pPr>
                  <w:r>
                    <w:rPr>
                      <w:rFonts w:hint="default" w:ascii="Times New Roman" w:hAnsi="Times New Roman" w:cs="Times New Roman"/>
                      <w:b/>
                      <w:bCs/>
                      <w:color w:val="0000FF"/>
                      <w:lang w:val="en-US" w:eastAsia="zh-CN"/>
                    </w:rPr>
                    <w:t>分项</w:t>
                  </w:r>
                </w:p>
              </w:tc>
              <w:tc>
                <w:tcPr>
                  <w:tcW w:w="1129" w:type="pct"/>
                  <w:tcBorders>
                    <w:tl2br w:val="nil"/>
                    <w:tr2bl w:val="nil"/>
                  </w:tcBorders>
                  <w:vAlign w:val="center"/>
                </w:tcPr>
                <w:p w14:paraId="1D143E69">
                  <w:pPr>
                    <w:pStyle w:val="33"/>
                    <w:keepNext w:val="0"/>
                    <w:pageBreakBefore w:val="0"/>
                    <w:kinsoku/>
                    <w:wordWrap w:val="0"/>
                    <w:overflowPunct/>
                    <w:topLinePunct w:val="0"/>
                    <w:bidi w:val="0"/>
                    <w:jc w:val="center"/>
                    <w:textAlignment w:val="auto"/>
                    <w:rPr>
                      <w:rFonts w:hint="default" w:ascii="Times New Roman" w:hAnsi="Times New Roman" w:cs="Times New Roman"/>
                      <w:b/>
                      <w:bCs/>
                      <w:color w:val="0000FF"/>
                      <w:lang w:val="en-US" w:eastAsia="zh-CN"/>
                    </w:rPr>
                  </w:pPr>
                  <w:r>
                    <w:rPr>
                      <w:rFonts w:hint="default" w:ascii="Times New Roman" w:hAnsi="Times New Roman" w:cs="Times New Roman"/>
                      <w:b/>
                      <w:bCs/>
                      <w:color w:val="0000FF"/>
                      <w:lang w:val="en-US" w:eastAsia="zh-CN"/>
                    </w:rPr>
                    <w:t>监测因子</w:t>
                  </w:r>
                </w:p>
              </w:tc>
              <w:tc>
                <w:tcPr>
                  <w:tcW w:w="695" w:type="pct"/>
                  <w:tcBorders>
                    <w:tl2br w:val="nil"/>
                    <w:tr2bl w:val="nil"/>
                  </w:tcBorders>
                  <w:vAlign w:val="center"/>
                </w:tcPr>
                <w:p w14:paraId="619E72A5">
                  <w:pPr>
                    <w:pStyle w:val="33"/>
                    <w:keepNext w:val="0"/>
                    <w:pageBreakBefore w:val="0"/>
                    <w:kinsoku/>
                    <w:wordWrap w:val="0"/>
                    <w:overflowPunct/>
                    <w:topLinePunct w:val="0"/>
                    <w:bidi w:val="0"/>
                    <w:jc w:val="center"/>
                    <w:textAlignment w:val="auto"/>
                    <w:rPr>
                      <w:rFonts w:hint="default" w:ascii="Times New Roman" w:hAnsi="Times New Roman" w:cs="Times New Roman"/>
                      <w:b/>
                      <w:bCs/>
                      <w:color w:val="0000FF"/>
                      <w:lang w:val="en-US" w:eastAsia="zh-CN"/>
                    </w:rPr>
                  </w:pPr>
                  <w:r>
                    <w:rPr>
                      <w:rFonts w:hint="default" w:ascii="Times New Roman" w:hAnsi="Times New Roman" w:cs="Times New Roman"/>
                      <w:b/>
                      <w:bCs/>
                      <w:color w:val="0000FF"/>
                      <w:lang w:val="en-US" w:eastAsia="zh-CN"/>
                    </w:rPr>
                    <w:t>监测点位</w:t>
                  </w:r>
                </w:p>
              </w:tc>
              <w:tc>
                <w:tcPr>
                  <w:tcW w:w="1077" w:type="pct"/>
                  <w:tcBorders>
                    <w:tl2br w:val="nil"/>
                    <w:tr2bl w:val="nil"/>
                  </w:tcBorders>
                  <w:vAlign w:val="center"/>
                </w:tcPr>
                <w:p w14:paraId="1EF5641C">
                  <w:pPr>
                    <w:pStyle w:val="33"/>
                    <w:keepNext w:val="0"/>
                    <w:pageBreakBefore w:val="0"/>
                    <w:kinsoku/>
                    <w:wordWrap w:val="0"/>
                    <w:overflowPunct/>
                    <w:topLinePunct w:val="0"/>
                    <w:bidi w:val="0"/>
                    <w:jc w:val="center"/>
                    <w:textAlignment w:val="auto"/>
                    <w:rPr>
                      <w:rFonts w:hint="default" w:ascii="Times New Roman" w:hAnsi="Times New Roman" w:cs="Times New Roman"/>
                      <w:b/>
                      <w:bCs/>
                      <w:color w:val="0000FF"/>
                      <w:lang w:val="en-US" w:eastAsia="zh-CN"/>
                    </w:rPr>
                  </w:pPr>
                  <w:r>
                    <w:rPr>
                      <w:rFonts w:hint="eastAsia" w:cs="Times New Roman"/>
                      <w:b/>
                      <w:bCs/>
                      <w:color w:val="0000FF"/>
                      <w:lang w:val="en-US" w:eastAsia="zh-CN"/>
                    </w:rPr>
                    <w:t>监测频次</w:t>
                  </w:r>
                </w:p>
              </w:tc>
              <w:tc>
                <w:tcPr>
                  <w:tcW w:w="1798" w:type="pct"/>
                  <w:tcBorders>
                    <w:tl2br w:val="nil"/>
                    <w:tr2bl w:val="nil"/>
                  </w:tcBorders>
                  <w:vAlign w:val="center"/>
                </w:tcPr>
                <w:p w14:paraId="071D7933">
                  <w:pPr>
                    <w:pStyle w:val="33"/>
                    <w:keepNext w:val="0"/>
                    <w:pageBreakBefore w:val="0"/>
                    <w:kinsoku/>
                    <w:wordWrap w:val="0"/>
                    <w:overflowPunct/>
                    <w:topLinePunct w:val="0"/>
                    <w:bidi w:val="0"/>
                    <w:jc w:val="center"/>
                    <w:textAlignment w:val="auto"/>
                    <w:rPr>
                      <w:rFonts w:hint="default" w:ascii="Times New Roman" w:hAnsi="Times New Roman" w:cs="Times New Roman"/>
                      <w:b/>
                      <w:bCs/>
                      <w:color w:val="0000FF"/>
                      <w:lang w:val="en-US" w:eastAsia="zh-CN"/>
                    </w:rPr>
                  </w:pPr>
                  <w:r>
                    <w:rPr>
                      <w:rFonts w:hint="default" w:ascii="Times New Roman" w:hAnsi="Times New Roman" w:cs="Times New Roman"/>
                      <w:b/>
                      <w:bCs/>
                      <w:color w:val="0000FF"/>
                      <w:lang w:val="en-US" w:eastAsia="zh-CN"/>
                    </w:rPr>
                    <w:t>执行标准</w:t>
                  </w:r>
                </w:p>
              </w:tc>
            </w:tr>
            <w:tr w14:paraId="0CD84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 w:type="pct"/>
                  <w:tcBorders>
                    <w:tl2br w:val="nil"/>
                    <w:tr2bl w:val="nil"/>
                  </w:tcBorders>
                  <w:vAlign w:val="center"/>
                </w:tcPr>
                <w:p w14:paraId="3CC60EEF">
                  <w:pPr>
                    <w:pStyle w:val="33"/>
                    <w:keepNext w:val="0"/>
                    <w:pageBreakBefore w:val="0"/>
                    <w:kinsoku/>
                    <w:wordWrap w:val="0"/>
                    <w:overflowPunct/>
                    <w:topLinePunct w:val="0"/>
                    <w:bidi w:val="0"/>
                    <w:ind w:firstLine="0" w:firstLineChars="0"/>
                    <w:jc w:val="center"/>
                    <w:textAlignment w:val="auto"/>
                    <w:rPr>
                      <w:rFonts w:hint="default" w:ascii="Times New Roman" w:hAnsi="Times New Roman" w:eastAsia="宋体" w:cs="Times New Roman"/>
                      <w:color w:val="0000FF"/>
                      <w:kern w:val="2"/>
                      <w:sz w:val="21"/>
                      <w:szCs w:val="36"/>
                      <w:u w:val="none"/>
                      <w:lang w:val="en-US" w:eastAsia="zh-CN" w:bidi="ar-SA"/>
                    </w:rPr>
                  </w:pPr>
                  <w:r>
                    <w:rPr>
                      <w:rFonts w:hint="default" w:ascii="Times New Roman" w:hAnsi="Times New Roman" w:cs="Times New Roman"/>
                      <w:color w:val="0000FF"/>
                      <w:lang w:val="en-US" w:eastAsia="zh-CN"/>
                    </w:rPr>
                    <w:t>噪声</w:t>
                  </w:r>
                </w:p>
              </w:tc>
              <w:tc>
                <w:tcPr>
                  <w:tcW w:w="1129" w:type="pct"/>
                  <w:tcBorders>
                    <w:tl2br w:val="nil"/>
                    <w:tr2bl w:val="nil"/>
                  </w:tcBorders>
                  <w:vAlign w:val="center"/>
                </w:tcPr>
                <w:p w14:paraId="69999040">
                  <w:pPr>
                    <w:pStyle w:val="33"/>
                    <w:keepNext w:val="0"/>
                    <w:pageBreakBefore w:val="0"/>
                    <w:kinsoku/>
                    <w:wordWrap w:val="0"/>
                    <w:overflowPunct/>
                    <w:topLinePunct w:val="0"/>
                    <w:bidi w:val="0"/>
                    <w:ind w:firstLine="0" w:firstLineChars="0"/>
                    <w:jc w:val="center"/>
                    <w:textAlignment w:val="auto"/>
                    <w:rPr>
                      <w:rFonts w:hint="default" w:ascii="Times New Roman" w:hAnsi="Times New Roman" w:eastAsia="宋体" w:cs="Times New Roman"/>
                      <w:color w:val="0000FF"/>
                      <w:kern w:val="2"/>
                      <w:sz w:val="21"/>
                      <w:szCs w:val="36"/>
                      <w:u w:val="none"/>
                      <w:lang w:val="en-US" w:eastAsia="zh-CN" w:bidi="ar-SA"/>
                    </w:rPr>
                  </w:pPr>
                  <w:r>
                    <w:rPr>
                      <w:rFonts w:hint="default" w:ascii="Times New Roman" w:hAnsi="Times New Roman" w:cs="Times New Roman"/>
                      <w:color w:val="0000FF"/>
                      <w:lang w:val="en-US" w:eastAsia="zh-CN"/>
                    </w:rPr>
                    <w:t>昼间连续等效A声级</w:t>
                  </w:r>
                </w:p>
              </w:tc>
              <w:tc>
                <w:tcPr>
                  <w:tcW w:w="695" w:type="pct"/>
                  <w:tcBorders>
                    <w:tl2br w:val="nil"/>
                    <w:tr2bl w:val="nil"/>
                  </w:tcBorders>
                  <w:vAlign w:val="center"/>
                </w:tcPr>
                <w:p w14:paraId="219B9DC8">
                  <w:pPr>
                    <w:pStyle w:val="33"/>
                    <w:keepNext w:val="0"/>
                    <w:pageBreakBefore w:val="0"/>
                    <w:kinsoku/>
                    <w:wordWrap w:val="0"/>
                    <w:overflowPunct/>
                    <w:topLinePunct w:val="0"/>
                    <w:bidi w:val="0"/>
                    <w:ind w:firstLine="0" w:firstLineChars="0"/>
                    <w:jc w:val="center"/>
                    <w:textAlignment w:val="auto"/>
                    <w:rPr>
                      <w:rFonts w:hint="default" w:ascii="Times New Roman" w:hAnsi="Times New Roman" w:eastAsia="宋体" w:cs="Times New Roman"/>
                      <w:color w:val="0000FF"/>
                      <w:kern w:val="2"/>
                      <w:sz w:val="21"/>
                      <w:szCs w:val="36"/>
                      <w:u w:val="none"/>
                      <w:lang w:val="en-US" w:eastAsia="zh-CN" w:bidi="ar-SA"/>
                    </w:rPr>
                  </w:pPr>
                  <w:r>
                    <w:rPr>
                      <w:rFonts w:hint="default" w:ascii="Times New Roman" w:hAnsi="Times New Roman" w:cs="Times New Roman"/>
                      <w:color w:val="0000FF"/>
                      <w:lang w:val="en-US" w:eastAsia="zh-CN"/>
                    </w:rPr>
                    <w:t>厂界四周</w:t>
                  </w:r>
                </w:p>
              </w:tc>
              <w:tc>
                <w:tcPr>
                  <w:tcW w:w="1077" w:type="pct"/>
                  <w:tcBorders>
                    <w:tl2br w:val="nil"/>
                    <w:tr2bl w:val="nil"/>
                  </w:tcBorders>
                  <w:vAlign w:val="center"/>
                </w:tcPr>
                <w:p w14:paraId="6A1F772F">
                  <w:pPr>
                    <w:pStyle w:val="33"/>
                    <w:keepNext w:val="0"/>
                    <w:pageBreakBefore w:val="0"/>
                    <w:kinsoku/>
                    <w:wordWrap w:val="0"/>
                    <w:overflowPunct/>
                    <w:topLinePunct w:val="0"/>
                    <w:bidi w:val="0"/>
                    <w:ind w:firstLine="0" w:firstLineChars="0"/>
                    <w:jc w:val="center"/>
                    <w:textAlignment w:val="auto"/>
                    <w:rPr>
                      <w:rFonts w:hint="default" w:ascii="Times New Roman" w:hAnsi="Times New Roman" w:cs="Times New Roman"/>
                      <w:color w:val="0000FF"/>
                      <w:lang w:val="en-US" w:eastAsia="zh-CN"/>
                    </w:rPr>
                  </w:pPr>
                  <w:r>
                    <w:rPr>
                      <w:rFonts w:hint="eastAsia" w:cs="Times New Roman"/>
                      <w:color w:val="0000FF"/>
                      <w:lang w:val="en-US" w:eastAsia="zh-CN"/>
                    </w:rPr>
                    <w:t>1次/季</w:t>
                  </w:r>
                </w:p>
              </w:tc>
              <w:tc>
                <w:tcPr>
                  <w:tcW w:w="1798" w:type="pct"/>
                  <w:tcBorders>
                    <w:tl2br w:val="nil"/>
                    <w:tr2bl w:val="nil"/>
                  </w:tcBorders>
                  <w:vAlign w:val="center"/>
                </w:tcPr>
                <w:p w14:paraId="39ADAA45">
                  <w:pPr>
                    <w:pStyle w:val="33"/>
                    <w:keepNext w:val="0"/>
                    <w:pageBreakBefore w:val="0"/>
                    <w:kinsoku/>
                    <w:wordWrap w:val="0"/>
                    <w:overflowPunct/>
                    <w:topLinePunct w:val="0"/>
                    <w:bidi w:val="0"/>
                    <w:ind w:firstLine="0" w:firstLineChars="0"/>
                    <w:jc w:val="center"/>
                    <w:textAlignment w:val="auto"/>
                    <w:rPr>
                      <w:rFonts w:hint="default" w:ascii="Times New Roman" w:hAnsi="Times New Roman" w:eastAsia="宋体" w:cs="Times New Roman"/>
                      <w:color w:val="0000FF"/>
                      <w:kern w:val="2"/>
                      <w:sz w:val="21"/>
                      <w:szCs w:val="36"/>
                      <w:u w:val="none"/>
                      <w:lang w:val="en-US" w:eastAsia="zh-CN" w:bidi="ar-SA"/>
                    </w:rPr>
                  </w:pPr>
                  <w:r>
                    <w:rPr>
                      <w:rFonts w:hint="default" w:ascii="Times New Roman" w:hAnsi="Times New Roman" w:cs="Times New Roman"/>
                      <w:color w:val="0000FF"/>
                      <w:lang w:val="en-US" w:eastAsia="zh-CN"/>
                    </w:rPr>
                    <w:t>《工业企业厂界噪声环境噪声排放标准》（GB12348-2008）</w:t>
                  </w:r>
                </w:p>
              </w:tc>
            </w:tr>
          </w:tbl>
          <w:p w14:paraId="4D3D020A">
            <w:pPr>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eastAsia="宋体" w:cs="Times New Roman"/>
                <w:b/>
                <w:bCs/>
                <w:sz w:val="24"/>
                <w:highlight w:val="none"/>
                <w:lang w:val="en-US" w:eastAsia="zh-CN"/>
              </w:rPr>
            </w:pPr>
            <w:r>
              <w:rPr>
                <w:rFonts w:hint="default" w:ascii="Times New Roman" w:hAnsi="Times New Roman" w:eastAsia="宋体" w:cs="Times New Roman"/>
                <w:b/>
                <w:bCs/>
                <w:sz w:val="24"/>
                <w:highlight w:val="none"/>
                <w:lang w:val="en-US" w:eastAsia="zh-CN"/>
              </w:rPr>
              <w:t>4、固体废物</w:t>
            </w:r>
          </w:p>
          <w:p w14:paraId="3E2B0444">
            <w:pPr>
              <w:keepNext w:val="0"/>
              <w:keepLines w:val="0"/>
              <w:pageBreakBefore w:val="0"/>
              <w:widowControl w:val="0"/>
              <w:kinsoku/>
              <w:wordWrap w:val="0"/>
              <w:overflowPunct/>
              <w:topLinePunct w:val="0"/>
              <w:autoSpaceDE/>
              <w:autoSpaceDN/>
              <w:bidi w:val="0"/>
              <w:textAlignment w:val="auto"/>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eastAsia="zh-CN"/>
              </w:rPr>
              <w:t>（</w:t>
            </w:r>
            <w:r>
              <w:rPr>
                <w:rFonts w:hint="default" w:ascii="Times New Roman" w:hAnsi="Times New Roman" w:eastAsia="宋体" w:cs="Times New Roman"/>
                <w:b/>
                <w:bCs/>
                <w:sz w:val="24"/>
                <w:lang w:val="en-US" w:eastAsia="zh-CN"/>
              </w:rPr>
              <w:t>1</w:t>
            </w:r>
            <w:r>
              <w:rPr>
                <w:rFonts w:hint="default" w:ascii="Times New Roman" w:hAnsi="Times New Roman" w:eastAsia="宋体" w:cs="Times New Roman"/>
                <w:b/>
                <w:bCs/>
                <w:sz w:val="24"/>
                <w:lang w:eastAsia="zh-CN"/>
              </w:rPr>
              <w:t>）</w:t>
            </w:r>
            <w:r>
              <w:rPr>
                <w:rFonts w:hint="default" w:ascii="Times New Roman" w:hAnsi="Times New Roman" w:eastAsia="宋体" w:cs="Times New Roman"/>
                <w:b/>
                <w:bCs/>
                <w:sz w:val="24"/>
                <w:lang w:val="en-US" w:eastAsia="zh-CN"/>
              </w:rPr>
              <w:t>固体废物产生情况</w:t>
            </w:r>
          </w:p>
          <w:p w14:paraId="50A80B6B">
            <w:pPr>
              <w:keepNext w:val="0"/>
              <w:keepLines w:val="0"/>
              <w:pageBreakBefore w:val="0"/>
              <w:widowControl w:val="0"/>
              <w:kinsoku/>
              <w:wordWrap w:val="0"/>
              <w:overflowPunct/>
              <w:topLinePunct w:val="0"/>
              <w:autoSpaceDE/>
              <w:autoSpaceDN/>
              <w:bidi w:val="0"/>
              <w:textAlignment w:val="auto"/>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①生活垃圾</w:t>
            </w:r>
          </w:p>
          <w:p w14:paraId="2D32D6CC">
            <w:pPr>
              <w:keepNext w:val="0"/>
              <w:keepLines w:val="0"/>
              <w:pageBreakBefore w:val="0"/>
              <w:widowControl w:val="0"/>
              <w:kinsoku/>
              <w:wordWrap w:val="0"/>
              <w:overflowPunct/>
              <w:topLinePunct w:val="0"/>
              <w:autoSpaceDE/>
              <w:autoSpaceDN/>
              <w:bidi w:val="0"/>
              <w:textAlignment w:val="auto"/>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项目劳动定</w:t>
            </w:r>
            <w:r>
              <w:rPr>
                <w:rFonts w:hint="default" w:ascii="Times New Roman" w:hAnsi="Times New Roman" w:eastAsia="宋体" w:cs="Times New Roman"/>
                <w:sz w:val="24"/>
                <w:highlight w:val="none"/>
                <w:lang w:val="en-US" w:eastAsia="zh-CN"/>
              </w:rPr>
              <w:t>员</w:t>
            </w:r>
            <w:r>
              <w:rPr>
                <w:rFonts w:hint="default" w:ascii="Times New Roman" w:hAnsi="Times New Roman" w:cs="Times New Roman"/>
                <w:sz w:val="24"/>
                <w:highlight w:val="none"/>
                <w:lang w:val="en-US" w:eastAsia="zh-CN"/>
              </w:rPr>
              <w:t>5</w:t>
            </w:r>
            <w:r>
              <w:rPr>
                <w:rFonts w:hint="default" w:ascii="Times New Roman" w:hAnsi="Times New Roman" w:eastAsia="宋体" w:cs="Times New Roman"/>
                <w:sz w:val="24"/>
                <w:highlight w:val="none"/>
                <w:lang w:val="en-US" w:eastAsia="zh-CN"/>
              </w:rPr>
              <w:t>人，</w:t>
            </w:r>
            <w:r>
              <w:rPr>
                <w:rFonts w:hint="default" w:ascii="Times New Roman" w:hAnsi="Times New Roman" w:cs="Times New Roman"/>
                <w:sz w:val="24"/>
                <w:highlight w:val="none"/>
                <w:lang w:val="en-US" w:eastAsia="zh-CN"/>
              </w:rPr>
              <w:t>不</w:t>
            </w:r>
            <w:r>
              <w:rPr>
                <w:rFonts w:hint="default" w:ascii="Times New Roman" w:hAnsi="Times New Roman" w:eastAsia="宋体" w:cs="Times New Roman"/>
                <w:sz w:val="24"/>
                <w:lang w:val="en-US" w:eastAsia="zh-CN"/>
              </w:rPr>
              <w:t>在厂内食宿。项目员工生活垃圾产生量按0.5kg/（人·d）计，则生活垃圾产生量为</w:t>
            </w:r>
            <w:r>
              <w:rPr>
                <w:rFonts w:hint="default" w:ascii="Times New Roman" w:hAnsi="Times New Roman" w:cs="Times New Roman"/>
                <w:sz w:val="24"/>
                <w:lang w:val="en-US" w:eastAsia="zh-CN"/>
              </w:rPr>
              <w:t>2</w:t>
            </w:r>
            <w:r>
              <w:rPr>
                <w:rFonts w:hint="default" w:ascii="Times New Roman" w:hAnsi="Times New Roman" w:eastAsia="宋体" w:cs="Times New Roman"/>
                <w:sz w:val="24"/>
                <w:lang w:val="en-US" w:eastAsia="zh-CN"/>
              </w:rPr>
              <w:t>.5kg/d，0.</w:t>
            </w:r>
            <w:r>
              <w:rPr>
                <w:rFonts w:hint="default" w:ascii="Times New Roman" w:hAnsi="Times New Roman" w:cs="Times New Roman"/>
                <w:sz w:val="24"/>
                <w:lang w:val="en-US" w:eastAsia="zh-CN"/>
              </w:rPr>
              <w:t>7</w:t>
            </w:r>
            <w:r>
              <w:rPr>
                <w:rFonts w:hint="default" w:ascii="Times New Roman" w:hAnsi="Times New Roman" w:eastAsia="宋体" w:cs="Times New Roman"/>
                <w:sz w:val="24"/>
                <w:lang w:val="en-US" w:eastAsia="zh-CN"/>
              </w:rPr>
              <w:t>5t/a。生活垃圾收集</w:t>
            </w:r>
            <w:r>
              <w:rPr>
                <w:rFonts w:hint="default" w:ascii="Times New Roman" w:hAnsi="Times New Roman" w:cs="Times New Roman"/>
                <w:sz w:val="24"/>
                <w:lang w:val="en-US" w:eastAsia="zh-CN"/>
              </w:rPr>
              <w:t>于带盖生活垃圾桶</w:t>
            </w:r>
            <w:r>
              <w:rPr>
                <w:rFonts w:hint="default" w:ascii="Times New Roman" w:hAnsi="Times New Roman" w:eastAsia="宋体" w:cs="Times New Roman"/>
                <w:sz w:val="24"/>
                <w:lang w:val="en-US" w:eastAsia="zh-CN"/>
              </w:rPr>
              <w:t>后委托环卫部门定期清运。</w:t>
            </w:r>
          </w:p>
          <w:p w14:paraId="779BE20B">
            <w:pPr>
              <w:keepNext w:val="0"/>
              <w:keepLines w:val="0"/>
              <w:pageBreakBefore w:val="0"/>
              <w:widowControl w:val="0"/>
              <w:numPr>
                <w:ilvl w:val="0"/>
                <w:numId w:val="0"/>
              </w:numPr>
              <w:kinsoku/>
              <w:wordWrap w:val="0"/>
              <w:overflowPunct/>
              <w:topLinePunct w:val="0"/>
              <w:autoSpaceDE/>
              <w:autoSpaceDN/>
              <w:bidi w:val="0"/>
              <w:ind w:firstLine="482" w:firstLineChars="200"/>
              <w:textAlignment w:val="auto"/>
              <w:rPr>
                <w:rFonts w:hint="default" w:ascii="Times New Roman" w:hAnsi="Times New Roman" w:cs="Times New Roman"/>
                <w:b/>
                <w:bCs/>
                <w:color w:val="auto"/>
                <w:sz w:val="24"/>
                <w:highlight w:val="none"/>
                <w:u w:val="none"/>
                <w:lang w:val="en-US" w:eastAsia="zh-CN"/>
              </w:rPr>
            </w:pPr>
            <w:r>
              <w:rPr>
                <w:rFonts w:hint="default" w:ascii="Times New Roman" w:hAnsi="Times New Roman" w:eastAsia="宋体" w:cs="Times New Roman"/>
                <w:b/>
                <w:bCs/>
                <w:color w:val="auto"/>
                <w:kern w:val="2"/>
                <w:sz w:val="24"/>
                <w:szCs w:val="24"/>
                <w:u w:val="none"/>
                <w:lang w:val="en-US" w:eastAsia="zh-CN" w:bidi="ar-SA"/>
              </w:rPr>
              <w:t>②</w:t>
            </w:r>
            <w:r>
              <w:rPr>
                <w:rFonts w:hint="default" w:ascii="Times New Roman" w:hAnsi="Times New Roman" w:eastAsia="宋体" w:cs="Times New Roman"/>
                <w:b/>
                <w:bCs/>
                <w:color w:val="auto"/>
                <w:sz w:val="24"/>
                <w:u w:val="none"/>
                <w:lang w:val="en-US" w:eastAsia="zh-CN"/>
              </w:rPr>
              <w:t>沉淀池沉渣</w:t>
            </w:r>
            <w:r>
              <w:rPr>
                <w:rFonts w:hint="default" w:ascii="Times New Roman" w:hAnsi="Times New Roman" w:cs="Times New Roman"/>
                <w:b/>
                <w:bCs/>
                <w:color w:val="auto"/>
                <w:sz w:val="24"/>
                <w:u w:val="none"/>
                <w:lang w:val="en-US" w:eastAsia="zh-CN"/>
              </w:rPr>
              <w:t>及</w:t>
            </w:r>
            <w:r>
              <w:rPr>
                <w:rFonts w:hint="default" w:ascii="Times New Roman" w:hAnsi="Times New Roman" w:cs="Times New Roman"/>
                <w:b/>
                <w:bCs/>
                <w:color w:val="auto"/>
                <w:sz w:val="24"/>
                <w:highlight w:val="none"/>
                <w:u w:val="none"/>
                <w:lang w:val="en-US" w:eastAsia="zh-CN"/>
              </w:rPr>
              <w:t>初期雨水收集池沉渣</w:t>
            </w:r>
          </w:p>
          <w:p w14:paraId="372C9152">
            <w:pPr>
              <w:keepNext w:val="0"/>
              <w:keepLines w:val="0"/>
              <w:pageBreakBefore w:val="0"/>
              <w:widowControl w:val="0"/>
              <w:numPr>
                <w:ilvl w:val="0"/>
                <w:numId w:val="0"/>
              </w:numPr>
              <w:kinsoku/>
              <w:wordWrap w:val="0"/>
              <w:overflowPunct/>
              <w:topLinePunct w:val="0"/>
              <w:autoSpaceDE/>
              <w:autoSpaceDN/>
              <w:bidi w:val="0"/>
              <w:ind w:firstLine="480" w:firstLineChars="200"/>
              <w:textAlignment w:val="auto"/>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lang w:val="en-US" w:eastAsia="zh-CN"/>
              </w:rPr>
              <w:t>项目进出车辆需要冲洗，将附着的煤炭冲洗下来随着废水进入沉淀池形成沉渣。本次评价取每冲洗一辆车产生0.</w:t>
            </w:r>
            <w:r>
              <w:rPr>
                <w:rFonts w:hint="default" w:ascii="Times New Roman" w:hAnsi="Times New Roman" w:cs="Times New Roman"/>
                <w:color w:val="auto"/>
                <w:sz w:val="24"/>
                <w:u w:val="none"/>
                <w:lang w:val="en-US" w:eastAsia="zh-CN"/>
              </w:rPr>
              <w:t>2</w:t>
            </w:r>
            <w:r>
              <w:rPr>
                <w:rFonts w:hint="default" w:ascii="Times New Roman" w:hAnsi="Times New Roman" w:eastAsia="宋体" w:cs="Times New Roman"/>
                <w:color w:val="auto"/>
                <w:sz w:val="24"/>
                <w:u w:val="none"/>
                <w:lang w:val="en-US" w:eastAsia="zh-CN"/>
              </w:rPr>
              <w:t>kg沉渣，本项目年冲洗车辆约</w:t>
            </w:r>
            <w:r>
              <w:rPr>
                <w:rFonts w:hint="default" w:ascii="Times New Roman" w:hAnsi="Times New Roman" w:cs="Times New Roman"/>
                <w:color w:val="auto"/>
                <w:sz w:val="24"/>
                <w:u w:val="none"/>
                <w:lang w:val="en-US" w:eastAsia="zh-CN"/>
              </w:rPr>
              <w:t>3334</w:t>
            </w:r>
            <w:r>
              <w:rPr>
                <w:rFonts w:hint="default" w:ascii="Times New Roman" w:hAnsi="Times New Roman" w:eastAsia="宋体" w:cs="Times New Roman"/>
                <w:color w:val="auto"/>
                <w:sz w:val="24"/>
                <w:u w:val="none"/>
                <w:lang w:val="en-US" w:eastAsia="zh-CN"/>
              </w:rPr>
              <w:t>次（</w:t>
            </w:r>
            <w:r>
              <w:rPr>
                <w:rFonts w:hint="default" w:ascii="Times New Roman" w:hAnsi="Times New Roman" w:cs="Times New Roman"/>
                <w:b w:val="0"/>
                <w:bCs w:val="0"/>
                <w:spacing w:val="11"/>
                <w:sz w:val="24"/>
                <w:lang w:val="en-US" w:eastAsia="zh-CN"/>
              </w:rPr>
              <w:t>仅</w:t>
            </w:r>
            <w:r>
              <w:rPr>
                <w:rFonts w:hint="default" w:ascii="Times New Roman" w:hAnsi="Times New Roman" w:eastAsia="宋体" w:cs="Times New Roman"/>
                <w:b w:val="0"/>
                <w:bCs w:val="0"/>
                <w:spacing w:val="11"/>
                <w:sz w:val="24"/>
                <w:lang w:val="en-US" w:eastAsia="zh-CN"/>
              </w:rPr>
              <w:t>运出</w:t>
            </w:r>
            <w:r>
              <w:rPr>
                <w:rFonts w:hint="default" w:ascii="Times New Roman" w:hAnsi="Times New Roman" w:cs="Times New Roman"/>
                <w:b w:val="0"/>
                <w:bCs w:val="0"/>
                <w:spacing w:val="11"/>
                <w:sz w:val="24"/>
                <w:lang w:val="en-US" w:eastAsia="zh-CN"/>
              </w:rPr>
              <w:t>冲洗</w:t>
            </w:r>
            <w:r>
              <w:rPr>
                <w:rFonts w:hint="default" w:ascii="Times New Roman" w:hAnsi="Times New Roman" w:eastAsia="宋体" w:cs="Times New Roman"/>
                <w:color w:val="auto"/>
                <w:sz w:val="24"/>
                <w:u w:val="none"/>
                <w:lang w:val="en-US" w:eastAsia="zh-CN"/>
              </w:rPr>
              <w:t>），则产生的沉淀池沉渣为0.</w:t>
            </w:r>
            <w:r>
              <w:rPr>
                <w:rFonts w:hint="default" w:ascii="Times New Roman" w:hAnsi="Times New Roman" w:cs="Times New Roman"/>
                <w:color w:val="auto"/>
                <w:sz w:val="24"/>
                <w:u w:val="none"/>
                <w:lang w:val="en-US" w:eastAsia="zh-CN"/>
              </w:rPr>
              <w:t>667</w:t>
            </w:r>
            <w:r>
              <w:rPr>
                <w:rFonts w:hint="default" w:ascii="Times New Roman" w:hAnsi="Times New Roman" w:eastAsia="宋体" w:cs="Times New Roman"/>
                <w:color w:val="auto"/>
                <w:sz w:val="24"/>
                <w:highlight w:val="none"/>
                <w:u w:val="none"/>
                <w:lang w:val="en-US" w:eastAsia="zh-CN"/>
              </w:rPr>
              <w:t>t/a。</w:t>
            </w:r>
          </w:p>
          <w:p w14:paraId="3DF34F3D">
            <w:pPr>
              <w:keepNext w:val="0"/>
              <w:keepLines w:val="0"/>
              <w:pageBreakBefore w:val="0"/>
              <w:widowControl w:val="0"/>
              <w:kinsoku/>
              <w:wordWrap w:val="0"/>
              <w:overflowPunct/>
              <w:topLinePunct w:val="0"/>
              <w:autoSpaceDE/>
              <w:autoSpaceDN/>
              <w:bidi w:val="0"/>
              <w:textAlignment w:val="auto"/>
              <w:rPr>
                <w:rFonts w:hint="default" w:ascii="Times New Roman" w:hAnsi="Times New Roman" w:eastAsia="宋体" w:cs="Times New Roman"/>
                <w:color w:val="0000FF"/>
                <w:sz w:val="24"/>
                <w:highlight w:val="none"/>
                <w:u w:val="none"/>
                <w:lang w:val="en-US" w:eastAsia="zh-CN"/>
              </w:rPr>
            </w:pPr>
            <w:r>
              <w:rPr>
                <w:rFonts w:hint="default" w:ascii="Times New Roman" w:hAnsi="Times New Roman" w:cs="Times New Roman"/>
                <w:color w:val="0000FF"/>
                <w:sz w:val="24"/>
                <w:u w:val="none"/>
                <w:lang w:val="en-US" w:eastAsia="zh-CN"/>
              </w:rPr>
              <w:t>初期雨水中SS的浓度大约为40mg/L，项目每年收集初期雨水量为</w:t>
            </w:r>
            <w:r>
              <w:rPr>
                <w:rFonts w:hint="eastAsia" w:cs="Times New Roman"/>
                <w:color w:val="0000FF"/>
                <w:sz w:val="24"/>
                <w:u w:val="none"/>
                <w:lang w:val="en-US" w:eastAsia="zh-CN"/>
              </w:rPr>
              <w:t>111474.3</w:t>
            </w:r>
            <w:r>
              <w:rPr>
                <w:rFonts w:hint="default" w:ascii="Times New Roman" w:hAnsi="Times New Roman" w:eastAsia="宋体" w:cs="Times New Roman"/>
                <w:color w:val="0000FF"/>
                <w:sz w:val="24"/>
                <w:highlight w:val="none"/>
                <w:u w:val="none"/>
                <w:lang w:val="en-US" w:eastAsia="zh-CN"/>
              </w:rPr>
              <w:t>m³/a，</w:t>
            </w:r>
            <w:r>
              <w:rPr>
                <w:rFonts w:hint="default" w:ascii="Times New Roman" w:hAnsi="Times New Roman" w:cs="Times New Roman"/>
                <w:color w:val="0000FF"/>
                <w:sz w:val="24"/>
                <w:highlight w:val="none"/>
                <w:u w:val="none"/>
                <w:lang w:val="en-US" w:eastAsia="zh-CN"/>
              </w:rPr>
              <w:t>则初期雨水收集池中的沉渣量约为</w:t>
            </w:r>
            <w:r>
              <w:rPr>
                <w:rFonts w:hint="eastAsia" w:cs="Times New Roman"/>
                <w:color w:val="0000FF"/>
                <w:sz w:val="24"/>
                <w:highlight w:val="none"/>
                <w:u w:val="none"/>
                <w:lang w:val="en-US" w:eastAsia="zh-CN"/>
              </w:rPr>
              <w:t>4.459</w:t>
            </w:r>
            <w:r>
              <w:rPr>
                <w:rFonts w:hint="default" w:ascii="Times New Roman" w:hAnsi="Times New Roman" w:eastAsia="宋体" w:cs="Times New Roman"/>
                <w:color w:val="0000FF"/>
                <w:sz w:val="24"/>
                <w:highlight w:val="none"/>
                <w:u w:val="none"/>
                <w:lang w:val="en-US" w:eastAsia="zh-CN"/>
              </w:rPr>
              <w:t>t/a。</w:t>
            </w:r>
          </w:p>
          <w:p w14:paraId="0198E60B">
            <w:pPr>
              <w:keepNext w:val="0"/>
              <w:keepLines w:val="0"/>
              <w:pageBreakBefore w:val="0"/>
              <w:widowControl w:val="0"/>
              <w:kinsoku/>
              <w:wordWrap w:val="0"/>
              <w:overflowPunct/>
              <w:topLinePunct w:val="0"/>
              <w:autoSpaceDE/>
              <w:autoSpaceDN/>
              <w:bidi w:val="0"/>
              <w:textAlignment w:val="auto"/>
              <w:rPr>
                <w:rFonts w:hint="default" w:ascii="Times New Roman" w:hAnsi="Times New Roman" w:cs="Times New Roman"/>
                <w:color w:val="auto"/>
                <w:sz w:val="24"/>
                <w:u w:val="none"/>
                <w:lang w:val="en-US" w:eastAsia="zh-CN"/>
              </w:rPr>
            </w:pPr>
            <w:r>
              <w:rPr>
                <w:rFonts w:hint="default" w:ascii="Times New Roman" w:hAnsi="Times New Roman" w:cs="Times New Roman"/>
                <w:color w:val="auto"/>
                <w:sz w:val="24"/>
                <w:u w:val="none"/>
                <w:lang w:val="en-US" w:eastAsia="zh-CN"/>
              </w:rPr>
              <w:t>项目沉淀池和初期雨水收集池沉渣定期清掏，并运送至附近的一般工业固废消纳场进行处置。</w:t>
            </w:r>
          </w:p>
          <w:p w14:paraId="2A4CD333">
            <w:pPr>
              <w:keepNext w:val="0"/>
              <w:keepLines w:val="0"/>
              <w:pageBreakBefore w:val="0"/>
              <w:widowControl w:val="0"/>
              <w:numPr>
                <w:ilvl w:val="0"/>
                <w:numId w:val="0"/>
              </w:numPr>
              <w:kinsoku/>
              <w:wordWrap w:val="0"/>
              <w:overflowPunct/>
              <w:topLinePunct w:val="0"/>
              <w:autoSpaceDE/>
              <w:autoSpaceDN/>
              <w:bidi w:val="0"/>
              <w:ind w:firstLine="482" w:firstLineChars="200"/>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b/>
                <w:bCs/>
                <w:color w:val="auto"/>
                <w:kern w:val="2"/>
                <w:sz w:val="24"/>
                <w:szCs w:val="24"/>
                <w:u w:val="none"/>
                <w:lang w:val="en-US" w:eastAsia="zh-CN" w:bidi="ar-SA"/>
              </w:rPr>
              <w:t>④</w:t>
            </w:r>
            <w:r>
              <w:rPr>
                <w:rFonts w:hint="default" w:ascii="Times New Roman" w:hAnsi="Times New Roman" w:eastAsia="宋体" w:cs="Times New Roman"/>
                <w:b/>
                <w:bCs/>
                <w:color w:val="auto"/>
                <w:sz w:val="24"/>
                <w:u w:val="none"/>
                <w:lang w:val="en-US" w:eastAsia="zh-CN"/>
              </w:rPr>
              <w:t>化粪池污泥</w:t>
            </w:r>
          </w:p>
          <w:p w14:paraId="6B071FDF">
            <w:pPr>
              <w:keepNext w:val="0"/>
              <w:keepLines w:val="0"/>
              <w:pageBreakBefore w:val="0"/>
              <w:widowControl w:val="0"/>
              <w:kinsoku/>
              <w:wordWrap w:val="0"/>
              <w:overflowPunct/>
              <w:topLinePunct w:val="0"/>
              <w:autoSpaceDE/>
              <w:autoSpaceDN/>
              <w:bidi w:val="0"/>
              <w:textAlignment w:val="auto"/>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highlight w:val="none"/>
                <w:u w:val="none"/>
                <w:lang w:val="en-US" w:eastAsia="zh-CN"/>
              </w:rPr>
              <w:t>化粪池污泥按污水量的0.1%计，项目生活污水产生量为</w:t>
            </w:r>
            <w:r>
              <w:rPr>
                <w:rFonts w:hint="default" w:ascii="Times New Roman" w:hAnsi="Times New Roman" w:cs="Times New Roman"/>
                <w:color w:val="auto"/>
                <w:sz w:val="24"/>
                <w:highlight w:val="none"/>
                <w:u w:val="none"/>
                <w:lang w:val="en-US" w:eastAsia="zh-CN"/>
              </w:rPr>
              <w:t>120</w:t>
            </w:r>
            <w:r>
              <w:rPr>
                <w:rFonts w:hint="default" w:ascii="Times New Roman" w:hAnsi="Times New Roman" w:eastAsia="宋体" w:cs="Times New Roman"/>
                <w:color w:val="auto"/>
                <w:sz w:val="24"/>
                <w:highlight w:val="none"/>
                <w:u w:val="none"/>
                <w:lang w:val="en-US" w:eastAsia="zh-CN"/>
              </w:rPr>
              <w:t>m³/a，则污泥产生量为0.</w:t>
            </w:r>
            <w:r>
              <w:rPr>
                <w:rFonts w:hint="default" w:ascii="Times New Roman" w:hAnsi="Times New Roman" w:cs="Times New Roman"/>
                <w:color w:val="auto"/>
                <w:sz w:val="24"/>
                <w:highlight w:val="none"/>
                <w:u w:val="none"/>
                <w:lang w:val="en-US" w:eastAsia="zh-CN"/>
              </w:rPr>
              <w:t>12</w:t>
            </w:r>
            <w:r>
              <w:rPr>
                <w:rFonts w:hint="default" w:ascii="Times New Roman" w:hAnsi="Times New Roman" w:eastAsia="宋体" w:cs="Times New Roman"/>
                <w:color w:val="auto"/>
                <w:sz w:val="24"/>
                <w:highlight w:val="none"/>
                <w:u w:val="none"/>
                <w:lang w:val="en-US" w:eastAsia="zh-CN"/>
              </w:rPr>
              <w:t>t/a。</w:t>
            </w:r>
            <w:r>
              <w:rPr>
                <w:rFonts w:hint="default" w:ascii="Times New Roman" w:hAnsi="Times New Roman" w:eastAsia="宋体" w:cs="Times New Roman"/>
                <w:sz w:val="24"/>
                <w:lang w:val="en-US" w:eastAsia="zh-CN"/>
              </w:rPr>
              <w:t>委托</w:t>
            </w:r>
            <w:r>
              <w:rPr>
                <w:rFonts w:hint="default" w:ascii="Times New Roman" w:hAnsi="Times New Roman" w:cs="Times New Roman"/>
                <w:sz w:val="24"/>
                <w:lang w:val="en-US" w:eastAsia="zh-CN"/>
              </w:rPr>
              <w:t>当地</w:t>
            </w:r>
            <w:r>
              <w:rPr>
                <w:rFonts w:hint="default" w:ascii="Times New Roman" w:hAnsi="Times New Roman" w:eastAsia="宋体" w:cs="Times New Roman"/>
                <w:sz w:val="24"/>
                <w:lang w:val="en-US" w:eastAsia="zh-CN"/>
              </w:rPr>
              <w:t>环卫部门定期</w:t>
            </w:r>
            <w:r>
              <w:rPr>
                <w:rFonts w:hint="default" w:ascii="Times New Roman" w:hAnsi="Times New Roman" w:cs="Times New Roman"/>
                <w:sz w:val="24"/>
                <w:lang w:val="en-US" w:eastAsia="zh-CN"/>
              </w:rPr>
              <w:t>清掏处置。</w:t>
            </w:r>
          </w:p>
          <w:p w14:paraId="2167A167">
            <w:pPr>
              <w:keepNext w:val="0"/>
              <w:keepLines w:val="0"/>
              <w:pageBreakBefore w:val="0"/>
              <w:widowControl w:val="0"/>
              <w:numPr>
                <w:ilvl w:val="0"/>
                <w:numId w:val="0"/>
              </w:numPr>
              <w:kinsoku/>
              <w:wordWrap w:val="0"/>
              <w:overflowPunct/>
              <w:topLinePunct w:val="0"/>
              <w:autoSpaceDE/>
              <w:autoSpaceDN/>
              <w:bidi w:val="0"/>
              <w:ind w:firstLine="482" w:firstLineChars="200"/>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b/>
                <w:bCs/>
                <w:color w:val="auto"/>
                <w:kern w:val="2"/>
                <w:sz w:val="24"/>
                <w:szCs w:val="24"/>
                <w:u w:val="none"/>
                <w:lang w:val="en-US" w:eastAsia="zh-CN" w:bidi="ar-SA"/>
              </w:rPr>
              <w:t>⑤</w:t>
            </w:r>
            <w:r>
              <w:rPr>
                <w:rFonts w:hint="default" w:ascii="Times New Roman" w:hAnsi="Times New Roman" w:eastAsia="宋体" w:cs="Times New Roman"/>
                <w:b/>
                <w:bCs/>
                <w:color w:val="auto"/>
                <w:sz w:val="24"/>
                <w:u w:val="none"/>
                <w:lang w:val="en-US" w:eastAsia="zh-CN"/>
              </w:rPr>
              <w:t>废机油</w:t>
            </w:r>
          </w:p>
          <w:p w14:paraId="6EA85B5A">
            <w:pPr>
              <w:pStyle w:val="45"/>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kern w:val="0"/>
                <w:sz w:val="24"/>
                <w:szCs w:val="24"/>
                <w:highlight w:val="none"/>
                <w:lang w:val="en-US" w:eastAsia="zh-CN" w:bidi="ar"/>
              </w:rPr>
            </w:pPr>
            <w:r>
              <w:rPr>
                <w:rFonts w:hint="default" w:ascii="Times New Roman" w:hAnsi="Times New Roman" w:eastAsia="宋体" w:cs="Times New Roman"/>
                <w:color w:val="auto"/>
                <w:sz w:val="24"/>
                <w:u w:val="none"/>
                <w:lang w:val="en-US" w:eastAsia="zh-CN"/>
              </w:rPr>
              <w:t>项目机械设备在使用和检修过程中会产生少量的固体废弃物，主要为废机油。类别同类项目，废机油产生量为0.</w:t>
            </w:r>
            <w:r>
              <w:rPr>
                <w:rFonts w:hint="default" w:ascii="Times New Roman" w:hAnsi="Times New Roman" w:cs="Times New Roman"/>
                <w:color w:val="auto"/>
                <w:sz w:val="24"/>
                <w:u w:val="none"/>
                <w:lang w:val="en-US" w:eastAsia="zh-CN"/>
              </w:rPr>
              <w:t>2</w:t>
            </w:r>
            <w:r>
              <w:rPr>
                <w:rFonts w:hint="default" w:ascii="Times New Roman" w:hAnsi="Times New Roman" w:eastAsia="宋体" w:cs="Times New Roman"/>
                <w:color w:val="auto"/>
                <w:sz w:val="24"/>
                <w:highlight w:val="none"/>
                <w:u w:val="none"/>
                <w:lang w:val="en-US" w:eastAsia="zh-CN"/>
              </w:rPr>
              <w:t>t/a。</w:t>
            </w:r>
            <w:r>
              <w:rPr>
                <w:rFonts w:hint="default" w:ascii="Times New Roman" w:hAnsi="Times New Roman" w:eastAsia="宋体" w:cs="Times New Roman"/>
                <w:sz w:val="24"/>
              </w:rPr>
              <w:t>废机油属于《国家危险废物名录》（202</w:t>
            </w:r>
            <w:r>
              <w:rPr>
                <w:rFonts w:hint="default" w:ascii="Times New Roman" w:hAnsi="Times New Roman" w:cs="Times New Roman"/>
                <w:sz w:val="24"/>
                <w:lang w:val="en-US" w:eastAsia="zh-CN"/>
              </w:rPr>
              <w:t>5</w:t>
            </w:r>
            <w:r>
              <w:rPr>
                <w:rFonts w:hint="default" w:ascii="Times New Roman" w:hAnsi="Times New Roman" w:eastAsia="宋体" w:cs="Times New Roman"/>
                <w:sz w:val="24"/>
              </w:rPr>
              <w:t>年版）中的HW08废矿物油与含矿物油废物，废物代码：900-214-08，使用工业齿轮油进行机械设备润滑过程中产生的废润滑油”。</w:t>
            </w:r>
            <w:r>
              <w:rPr>
                <w:rFonts w:hint="default" w:ascii="Times New Roman" w:hAnsi="Times New Roman" w:eastAsia="宋体" w:cs="Times New Roman"/>
                <w:b w:val="0"/>
                <w:bCs/>
                <w:color w:val="auto"/>
                <w:kern w:val="0"/>
                <w:sz w:val="24"/>
                <w:szCs w:val="24"/>
                <w:highlight w:val="none"/>
                <w:lang w:val="en-US" w:eastAsia="zh-CN" w:bidi="ar"/>
              </w:rPr>
              <w:t>暂存于</w:t>
            </w:r>
            <w:r>
              <w:rPr>
                <w:rFonts w:hint="default" w:ascii="Times New Roman" w:hAnsi="Times New Roman" w:cs="Times New Roman"/>
                <w:b w:val="0"/>
                <w:bCs/>
                <w:color w:val="auto"/>
                <w:kern w:val="0"/>
                <w:sz w:val="24"/>
                <w:szCs w:val="24"/>
                <w:highlight w:val="none"/>
                <w:lang w:val="en-US" w:eastAsia="zh-CN" w:bidi="ar"/>
              </w:rPr>
              <w:t>5</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2</w:t>
            </w:r>
            <w:r>
              <w:rPr>
                <w:rFonts w:hint="default" w:ascii="Times New Roman" w:hAnsi="Times New Roman" w:eastAsia="宋体" w:cs="Times New Roman"/>
                <w:b w:val="0"/>
                <w:bCs/>
                <w:color w:val="auto"/>
                <w:kern w:val="0"/>
                <w:sz w:val="24"/>
                <w:szCs w:val="24"/>
                <w:highlight w:val="none"/>
                <w:lang w:val="en-US" w:eastAsia="zh-CN" w:bidi="ar"/>
              </w:rPr>
              <w:t>危险废物暂存间，定期委托有资质的单位清运处置。</w:t>
            </w:r>
          </w:p>
          <w:p w14:paraId="2BC2D283">
            <w:pPr>
              <w:keepNext w:val="0"/>
              <w:pageBreakBefore w:val="0"/>
              <w:kinsoku/>
              <w:wordWrap w:val="0"/>
              <w:overflowPunct/>
              <w:topLinePunct w:val="0"/>
              <w:bidi w:val="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本项目固体废物产生情况见下表。</w:t>
            </w:r>
          </w:p>
          <w:p w14:paraId="5B2FB297">
            <w:pPr>
              <w:pStyle w:val="29"/>
              <w:keepNext w:val="0"/>
              <w:pageBreakBefore w:val="0"/>
              <w:kinsoku/>
              <w:wordWrap w:val="0"/>
              <w:overflowPunct/>
              <w:topLinePunct w:val="0"/>
              <w:bidi w:val="0"/>
              <w:textAlignment w:val="auto"/>
              <w:rPr>
                <w:rFonts w:hint="default" w:ascii="Times New Roman" w:hAnsi="Times New Roman" w:eastAsia="宋体" w:cs="Times New Roman"/>
                <w:b/>
                <w:bCs w:val="0"/>
                <w:color w:val="auto"/>
                <w:kern w:val="0"/>
                <w:sz w:val="24"/>
                <w:szCs w:val="24"/>
                <w:highlight w:val="none"/>
                <w:u w:val="none"/>
                <w:lang w:val="en-US" w:eastAsia="zh-CN" w:bidi="ar-SA"/>
              </w:rPr>
            </w:pPr>
            <w:r>
              <w:rPr>
                <w:rFonts w:hint="default" w:ascii="Times New Roman" w:hAnsi="Times New Roman" w:eastAsia="宋体" w:cs="Times New Roman"/>
                <w:b/>
                <w:bCs w:val="0"/>
                <w:color w:val="auto"/>
                <w:kern w:val="0"/>
                <w:sz w:val="24"/>
                <w:szCs w:val="24"/>
                <w:highlight w:val="none"/>
                <w:u w:val="none"/>
                <w:lang w:val="en-US" w:eastAsia="zh-CN" w:bidi="ar-SA"/>
              </w:rPr>
              <w:t>表4-10 项目固体废物产生情况一览表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2"/>
              <w:gridCol w:w="1392"/>
              <w:gridCol w:w="1003"/>
              <w:gridCol w:w="1336"/>
              <w:gridCol w:w="2728"/>
            </w:tblGrid>
            <w:tr w14:paraId="6C5A0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tcBorders>
                    <w:tl2br w:val="nil"/>
                    <w:tr2bl w:val="nil"/>
                  </w:tcBorders>
                  <w:vAlign w:val="center"/>
                </w:tcPr>
                <w:p w14:paraId="14C90188">
                  <w:pPr>
                    <w:pStyle w:val="33"/>
                    <w:keepNext w:val="0"/>
                    <w:pageBreakBefore w:val="0"/>
                    <w:kinsoku/>
                    <w:wordWrap w:val="0"/>
                    <w:overflowPunct/>
                    <w:topLinePunct w:val="0"/>
                    <w:bidi w:val="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固废名称</w:t>
                  </w:r>
                </w:p>
              </w:tc>
              <w:tc>
                <w:tcPr>
                  <w:tcW w:w="862" w:type="pct"/>
                  <w:tcBorders>
                    <w:tl2br w:val="nil"/>
                    <w:tr2bl w:val="nil"/>
                  </w:tcBorders>
                  <w:vAlign w:val="center"/>
                </w:tcPr>
                <w:p w14:paraId="1996B799">
                  <w:pPr>
                    <w:pStyle w:val="33"/>
                    <w:keepNext w:val="0"/>
                    <w:pageBreakBefore w:val="0"/>
                    <w:kinsoku/>
                    <w:wordWrap w:val="0"/>
                    <w:overflowPunct/>
                    <w:topLinePunct w:val="0"/>
                    <w:bidi w:val="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产生环节</w:t>
                  </w:r>
                </w:p>
              </w:tc>
              <w:tc>
                <w:tcPr>
                  <w:tcW w:w="621" w:type="pct"/>
                  <w:tcBorders>
                    <w:tl2br w:val="nil"/>
                    <w:tr2bl w:val="nil"/>
                  </w:tcBorders>
                  <w:vAlign w:val="center"/>
                </w:tcPr>
                <w:p w14:paraId="222F97A0">
                  <w:pPr>
                    <w:pStyle w:val="33"/>
                    <w:keepNext w:val="0"/>
                    <w:pageBreakBefore w:val="0"/>
                    <w:kinsoku/>
                    <w:wordWrap w:val="0"/>
                    <w:overflowPunct/>
                    <w:topLinePunct w:val="0"/>
                    <w:bidi w:val="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属性</w:t>
                  </w:r>
                </w:p>
              </w:tc>
              <w:tc>
                <w:tcPr>
                  <w:tcW w:w="827" w:type="pct"/>
                  <w:tcBorders>
                    <w:tl2br w:val="nil"/>
                    <w:tr2bl w:val="nil"/>
                  </w:tcBorders>
                  <w:vAlign w:val="center"/>
                </w:tcPr>
                <w:p w14:paraId="44BF6F17">
                  <w:pPr>
                    <w:pStyle w:val="33"/>
                    <w:keepNext w:val="0"/>
                    <w:pageBreakBefore w:val="0"/>
                    <w:kinsoku/>
                    <w:wordWrap w:val="0"/>
                    <w:overflowPunct/>
                    <w:topLinePunct w:val="0"/>
                    <w:bidi w:val="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产生量（t/a）</w:t>
                  </w:r>
                </w:p>
              </w:tc>
              <w:tc>
                <w:tcPr>
                  <w:tcW w:w="1689" w:type="pct"/>
                  <w:tcBorders>
                    <w:tl2br w:val="nil"/>
                    <w:tr2bl w:val="nil"/>
                  </w:tcBorders>
                  <w:vAlign w:val="center"/>
                </w:tcPr>
                <w:p w14:paraId="7A688DB8">
                  <w:pPr>
                    <w:pStyle w:val="33"/>
                    <w:keepNext w:val="0"/>
                    <w:pageBreakBefore w:val="0"/>
                    <w:kinsoku/>
                    <w:wordWrap w:val="0"/>
                    <w:overflowPunct/>
                    <w:topLinePunct w:val="0"/>
                    <w:bidi w:val="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最终去向</w:t>
                  </w:r>
                </w:p>
              </w:tc>
            </w:tr>
            <w:tr w14:paraId="6BD91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tcBorders>
                    <w:tl2br w:val="nil"/>
                    <w:tr2bl w:val="nil"/>
                  </w:tcBorders>
                  <w:vAlign w:val="center"/>
                </w:tcPr>
                <w:p w14:paraId="4877AE48">
                  <w:pPr>
                    <w:pStyle w:val="33"/>
                    <w:keepNext w:val="0"/>
                    <w:pageBreakBefore w:val="0"/>
                    <w:kinsoku/>
                    <w:wordWrap w:val="0"/>
                    <w:overflowPunct/>
                    <w:topLinePunct w:val="0"/>
                    <w:bidi w:val="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生活垃圾</w:t>
                  </w:r>
                </w:p>
              </w:tc>
              <w:tc>
                <w:tcPr>
                  <w:tcW w:w="862" w:type="pct"/>
                  <w:tcBorders>
                    <w:tl2br w:val="nil"/>
                    <w:tr2bl w:val="nil"/>
                  </w:tcBorders>
                  <w:vAlign w:val="center"/>
                </w:tcPr>
                <w:p w14:paraId="0A444B1F">
                  <w:pPr>
                    <w:pStyle w:val="33"/>
                    <w:keepNext w:val="0"/>
                    <w:pageBreakBefore w:val="0"/>
                    <w:kinsoku/>
                    <w:wordWrap w:val="0"/>
                    <w:overflowPunct/>
                    <w:topLinePunct w:val="0"/>
                    <w:bidi w:val="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员工办公</w:t>
                  </w:r>
                </w:p>
              </w:tc>
              <w:tc>
                <w:tcPr>
                  <w:tcW w:w="621" w:type="pct"/>
                  <w:vMerge w:val="restart"/>
                  <w:tcBorders>
                    <w:tl2br w:val="nil"/>
                    <w:tr2bl w:val="nil"/>
                  </w:tcBorders>
                  <w:vAlign w:val="center"/>
                </w:tcPr>
                <w:p w14:paraId="4981161A">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lang w:val="en-US" w:eastAsia="zh-CN"/>
                    </w:rPr>
                    <w:t>一般工业固废</w:t>
                  </w:r>
                </w:p>
              </w:tc>
              <w:tc>
                <w:tcPr>
                  <w:tcW w:w="827" w:type="pct"/>
                  <w:tcBorders>
                    <w:tl2br w:val="nil"/>
                    <w:tr2bl w:val="nil"/>
                  </w:tcBorders>
                  <w:vAlign w:val="center"/>
                </w:tcPr>
                <w:p w14:paraId="2BA440E4">
                  <w:pPr>
                    <w:pStyle w:val="33"/>
                    <w:keepNext w:val="0"/>
                    <w:pageBreakBefore w:val="0"/>
                    <w:kinsoku/>
                    <w:wordWrap w:val="0"/>
                    <w:overflowPunct/>
                    <w:topLinePunct w:val="0"/>
                    <w:bidi w:val="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0.75</w:t>
                  </w:r>
                </w:p>
              </w:tc>
              <w:tc>
                <w:tcPr>
                  <w:tcW w:w="1689" w:type="pct"/>
                  <w:tcBorders>
                    <w:tl2br w:val="nil"/>
                    <w:tr2bl w:val="nil"/>
                  </w:tcBorders>
                  <w:vAlign w:val="center"/>
                </w:tcPr>
                <w:p w14:paraId="2EF6AFEC">
                  <w:pPr>
                    <w:pStyle w:val="33"/>
                    <w:keepNext w:val="0"/>
                    <w:pageBreakBefore w:val="0"/>
                    <w:kinsoku/>
                    <w:wordWrap w:val="0"/>
                    <w:overflowPunct/>
                    <w:topLinePunct w:val="0"/>
                    <w:bidi w:val="0"/>
                    <w:textAlignment w:val="auto"/>
                    <w:rPr>
                      <w:rFonts w:hint="default" w:ascii="Times New Roman" w:hAnsi="Times New Roman" w:cs="Times New Roman"/>
                      <w:color w:val="auto"/>
                      <w:lang w:val="en-US" w:eastAsia="zh-CN"/>
                    </w:rPr>
                  </w:pPr>
                  <w:r>
                    <w:rPr>
                      <w:rFonts w:hint="default" w:ascii="Times New Roman" w:hAnsi="Times New Roman" w:eastAsia="宋体" w:cs="Times New Roman"/>
                      <w:sz w:val="24"/>
                      <w:lang w:val="en-US" w:eastAsia="zh-CN"/>
                    </w:rPr>
                    <w:t>收集</w:t>
                  </w:r>
                  <w:r>
                    <w:rPr>
                      <w:rFonts w:hint="default" w:ascii="Times New Roman" w:hAnsi="Times New Roman" w:cs="Times New Roman"/>
                      <w:sz w:val="24"/>
                      <w:lang w:val="en-US" w:eastAsia="zh-CN"/>
                    </w:rPr>
                    <w:t>于带盖生活垃圾桶</w:t>
                  </w:r>
                  <w:r>
                    <w:rPr>
                      <w:rFonts w:hint="default" w:ascii="Times New Roman" w:hAnsi="Times New Roman" w:eastAsia="宋体" w:cs="Times New Roman"/>
                      <w:sz w:val="24"/>
                      <w:lang w:val="en-US" w:eastAsia="zh-CN"/>
                    </w:rPr>
                    <w:t>后委托环卫部门定期清运。</w:t>
                  </w:r>
                </w:p>
              </w:tc>
            </w:tr>
            <w:tr w14:paraId="2453B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tcBorders>
                    <w:tl2br w:val="nil"/>
                    <w:tr2bl w:val="nil"/>
                  </w:tcBorders>
                  <w:vAlign w:val="center"/>
                </w:tcPr>
                <w:p w14:paraId="7FEA29A3">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沉淀池、初期雨水收集池沉渣</w:t>
                  </w:r>
                </w:p>
              </w:tc>
              <w:tc>
                <w:tcPr>
                  <w:tcW w:w="862" w:type="pct"/>
                  <w:tcBorders>
                    <w:tl2br w:val="nil"/>
                    <w:tr2bl w:val="nil"/>
                  </w:tcBorders>
                  <w:vAlign w:val="center"/>
                </w:tcPr>
                <w:p w14:paraId="0E748F49">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废水处理</w:t>
                  </w:r>
                </w:p>
              </w:tc>
              <w:tc>
                <w:tcPr>
                  <w:tcW w:w="621" w:type="pct"/>
                  <w:vMerge w:val="continue"/>
                  <w:tcBorders>
                    <w:tl2br w:val="nil"/>
                    <w:tr2bl w:val="nil"/>
                  </w:tcBorders>
                  <w:vAlign w:val="center"/>
                </w:tcPr>
                <w:p w14:paraId="2D839F53">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lang w:val="en-US" w:eastAsia="zh-CN"/>
                    </w:rPr>
                  </w:pPr>
                </w:p>
              </w:tc>
              <w:tc>
                <w:tcPr>
                  <w:tcW w:w="827" w:type="pct"/>
                  <w:tcBorders>
                    <w:tl2br w:val="nil"/>
                    <w:tr2bl w:val="nil"/>
                  </w:tcBorders>
                  <w:vAlign w:val="center"/>
                </w:tcPr>
                <w:p w14:paraId="5D39B373">
                  <w:pPr>
                    <w:pStyle w:val="33"/>
                    <w:keepNext w:val="0"/>
                    <w:pageBreakBefore w:val="0"/>
                    <w:kinsoku/>
                    <w:wordWrap w:val="0"/>
                    <w:overflowPunct/>
                    <w:topLinePunct w:val="0"/>
                    <w:bidi w:val="0"/>
                    <w:textAlignment w:val="auto"/>
                    <w:rPr>
                      <w:rFonts w:hint="default" w:ascii="Times New Roman" w:hAnsi="Times New Roman" w:cs="Times New Roman"/>
                      <w:color w:val="auto"/>
                      <w:lang w:val="en-US" w:eastAsia="zh-CN"/>
                    </w:rPr>
                  </w:pPr>
                  <w:r>
                    <w:rPr>
                      <w:rFonts w:hint="eastAsia" w:cs="Times New Roman"/>
                      <w:color w:val="auto"/>
                      <w:lang w:val="en-US" w:eastAsia="zh-CN"/>
                    </w:rPr>
                    <w:t>5.126</w:t>
                  </w:r>
                </w:p>
              </w:tc>
              <w:tc>
                <w:tcPr>
                  <w:tcW w:w="1689" w:type="pct"/>
                  <w:tcBorders>
                    <w:tl2br w:val="nil"/>
                    <w:tr2bl w:val="nil"/>
                  </w:tcBorders>
                  <w:vAlign w:val="center"/>
                </w:tcPr>
                <w:p w14:paraId="6D9B9A11">
                  <w:pPr>
                    <w:pStyle w:val="33"/>
                    <w:keepNext w:val="0"/>
                    <w:pageBreakBefore w:val="0"/>
                    <w:kinsoku/>
                    <w:wordWrap w:val="0"/>
                    <w:overflowPunct/>
                    <w:topLinePunct w:val="0"/>
                    <w:bidi w:val="0"/>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 w:val="24"/>
                      <w:u w:val="none"/>
                      <w:lang w:val="en-US" w:eastAsia="zh-CN"/>
                    </w:rPr>
                    <w:t>定期清掏，并运送至附近的一般工业固废消纳场进行处置。</w:t>
                  </w:r>
                </w:p>
              </w:tc>
            </w:tr>
            <w:tr w14:paraId="2C791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tcBorders>
                    <w:tl2br w:val="nil"/>
                    <w:tr2bl w:val="nil"/>
                  </w:tcBorders>
                  <w:vAlign w:val="center"/>
                </w:tcPr>
                <w:p w14:paraId="2D0B3F53">
                  <w:pPr>
                    <w:pStyle w:val="33"/>
                    <w:keepNext w:val="0"/>
                    <w:pageBreakBefore w:val="0"/>
                    <w:kinsoku/>
                    <w:wordWrap w:val="0"/>
                    <w:overflowPunct/>
                    <w:topLinePunct w:val="0"/>
                    <w:bidi w:val="0"/>
                    <w:ind w:firstLine="0" w:firstLineChars="0"/>
                    <w:jc w:val="center"/>
                    <w:textAlignment w:val="auto"/>
                    <w:rPr>
                      <w:rFonts w:hint="default" w:ascii="Times New Roman" w:hAnsi="Times New Roman" w:eastAsia="宋体" w:cs="Times New Roman"/>
                      <w:color w:val="auto"/>
                      <w:kern w:val="2"/>
                      <w:sz w:val="21"/>
                      <w:szCs w:val="36"/>
                      <w:highlight w:val="none"/>
                      <w:u w:val="none"/>
                      <w:lang w:val="en-US" w:eastAsia="zh-CN" w:bidi="ar-SA"/>
                    </w:rPr>
                  </w:pPr>
                  <w:r>
                    <w:rPr>
                      <w:rFonts w:hint="default" w:ascii="Times New Roman" w:hAnsi="Times New Roman" w:eastAsia="宋体" w:cs="Times New Roman"/>
                      <w:color w:val="auto"/>
                      <w:kern w:val="2"/>
                      <w:sz w:val="21"/>
                      <w:szCs w:val="36"/>
                      <w:highlight w:val="none"/>
                      <w:u w:val="none"/>
                      <w:lang w:val="en-US" w:eastAsia="zh-CN" w:bidi="ar-SA"/>
                    </w:rPr>
                    <w:t>化粪池污泥</w:t>
                  </w:r>
                </w:p>
              </w:tc>
              <w:tc>
                <w:tcPr>
                  <w:tcW w:w="862" w:type="pct"/>
                  <w:tcBorders>
                    <w:tl2br w:val="nil"/>
                    <w:tr2bl w:val="nil"/>
                  </w:tcBorders>
                  <w:vAlign w:val="center"/>
                </w:tcPr>
                <w:p w14:paraId="43D7976D">
                  <w:pPr>
                    <w:pStyle w:val="33"/>
                    <w:keepNext w:val="0"/>
                    <w:pageBreakBefore w:val="0"/>
                    <w:kinsoku/>
                    <w:wordWrap w:val="0"/>
                    <w:overflowPunct/>
                    <w:topLinePunct w:val="0"/>
                    <w:bidi w:val="0"/>
                    <w:ind w:firstLine="0" w:firstLineChars="0"/>
                    <w:jc w:val="center"/>
                    <w:textAlignment w:val="auto"/>
                    <w:rPr>
                      <w:rFonts w:hint="default" w:ascii="Times New Roman" w:hAnsi="Times New Roman" w:eastAsia="宋体" w:cs="Times New Roman"/>
                      <w:color w:val="auto"/>
                      <w:kern w:val="2"/>
                      <w:sz w:val="21"/>
                      <w:szCs w:val="36"/>
                      <w:highlight w:val="none"/>
                      <w:u w:val="none"/>
                      <w:lang w:val="en-US" w:eastAsia="zh-CN" w:bidi="ar-SA"/>
                    </w:rPr>
                  </w:pPr>
                  <w:r>
                    <w:rPr>
                      <w:rFonts w:hint="default" w:ascii="Times New Roman" w:hAnsi="Times New Roman" w:eastAsia="宋体" w:cs="Times New Roman"/>
                      <w:color w:val="auto"/>
                      <w:kern w:val="2"/>
                      <w:sz w:val="21"/>
                      <w:szCs w:val="36"/>
                      <w:highlight w:val="none"/>
                      <w:u w:val="none"/>
                      <w:lang w:val="en-US" w:eastAsia="zh-CN" w:bidi="ar-SA"/>
                    </w:rPr>
                    <w:t>废水处理</w:t>
                  </w:r>
                </w:p>
              </w:tc>
              <w:tc>
                <w:tcPr>
                  <w:tcW w:w="621" w:type="pct"/>
                  <w:vMerge w:val="continue"/>
                  <w:tcBorders>
                    <w:tl2br w:val="nil"/>
                    <w:tr2bl w:val="nil"/>
                  </w:tcBorders>
                  <w:vAlign w:val="center"/>
                </w:tcPr>
                <w:p w14:paraId="51D19115">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lang w:val="en-US" w:eastAsia="zh-CN"/>
                    </w:rPr>
                  </w:pPr>
                </w:p>
              </w:tc>
              <w:tc>
                <w:tcPr>
                  <w:tcW w:w="827" w:type="pct"/>
                  <w:tcBorders>
                    <w:tl2br w:val="nil"/>
                    <w:tr2bl w:val="nil"/>
                  </w:tcBorders>
                  <w:vAlign w:val="center"/>
                </w:tcPr>
                <w:p w14:paraId="663BF335">
                  <w:pPr>
                    <w:pStyle w:val="33"/>
                    <w:keepNext w:val="0"/>
                    <w:pageBreakBefore w:val="0"/>
                    <w:kinsoku/>
                    <w:wordWrap w:val="0"/>
                    <w:overflowPunct/>
                    <w:topLinePunct w:val="0"/>
                    <w:bidi w:val="0"/>
                    <w:ind w:firstLine="0" w:firstLineChars="0"/>
                    <w:jc w:val="center"/>
                    <w:textAlignment w:val="auto"/>
                    <w:rPr>
                      <w:rFonts w:hint="default" w:ascii="Times New Roman" w:hAnsi="Times New Roman" w:eastAsia="宋体" w:cs="Times New Roman"/>
                      <w:color w:val="auto"/>
                      <w:kern w:val="2"/>
                      <w:sz w:val="21"/>
                      <w:szCs w:val="36"/>
                      <w:highlight w:val="none"/>
                      <w:u w:val="none"/>
                      <w:lang w:val="en-US" w:eastAsia="zh-CN" w:bidi="ar-SA"/>
                    </w:rPr>
                  </w:pPr>
                  <w:r>
                    <w:rPr>
                      <w:rFonts w:hint="default" w:ascii="Times New Roman" w:hAnsi="Times New Roman" w:cs="Times New Roman"/>
                      <w:color w:val="auto"/>
                      <w:kern w:val="2"/>
                      <w:sz w:val="21"/>
                      <w:szCs w:val="36"/>
                      <w:highlight w:val="none"/>
                      <w:u w:val="none"/>
                      <w:lang w:val="en-US" w:eastAsia="zh-CN" w:bidi="ar-SA"/>
                    </w:rPr>
                    <w:t>0.12</w:t>
                  </w:r>
                </w:p>
              </w:tc>
              <w:tc>
                <w:tcPr>
                  <w:tcW w:w="1689" w:type="pct"/>
                  <w:tcBorders>
                    <w:tl2br w:val="nil"/>
                    <w:tr2bl w:val="nil"/>
                  </w:tcBorders>
                  <w:vAlign w:val="center"/>
                </w:tcPr>
                <w:p w14:paraId="27422B0C">
                  <w:pPr>
                    <w:pStyle w:val="33"/>
                    <w:keepNext w:val="0"/>
                    <w:pageBreakBefore w:val="0"/>
                    <w:kinsoku/>
                    <w:wordWrap w:val="0"/>
                    <w:overflowPunct/>
                    <w:topLinePunct w:val="0"/>
                    <w:bidi w:val="0"/>
                    <w:ind w:firstLine="0" w:firstLineChars="0"/>
                    <w:jc w:val="center"/>
                    <w:textAlignment w:val="auto"/>
                    <w:rPr>
                      <w:rFonts w:hint="default" w:ascii="Times New Roman" w:hAnsi="Times New Roman" w:eastAsia="宋体" w:cs="Times New Roman"/>
                      <w:color w:val="auto"/>
                      <w:kern w:val="2"/>
                      <w:sz w:val="21"/>
                      <w:szCs w:val="36"/>
                      <w:highlight w:val="none"/>
                      <w:u w:val="none"/>
                      <w:lang w:val="en-US" w:eastAsia="zh-CN" w:bidi="ar-SA"/>
                    </w:rPr>
                  </w:pPr>
                  <w:r>
                    <w:rPr>
                      <w:rFonts w:hint="default" w:ascii="Times New Roman" w:hAnsi="Times New Roman" w:eastAsia="宋体" w:cs="Times New Roman"/>
                      <w:sz w:val="24"/>
                      <w:lang w:val="en-US" w:eastAsia="zh-CN"/>
                    </w:rPr>
                    <w:t>委托</w:t>
                  </w:r>
                  <w:r>
                    <w:rPr>
                      <w:rFonts w:hint="default" w:ascii="Times New Roman" w:hAnsi="Times New Roman" w:cs="Times New Roman"/>
                      <w:sz w:val="24"/>
                      <w:lang w:val="en-US" w:eastAsia="zh-CN"/>
                    </w:rPr>
                    <w:t>当地</w:t>
                  </w:r>
                  <w:r>
                    <w:rPr>
                      <w:rFonts w:hint="default" w:ascii="Times New Roman" w:hAnsi="Times New Roman" w:eastAsia="宋体" w:cs="Times New Roman"/>
                      <w:sz w:val="24"/>
                      <w:lang w:val="en-US" w:eastAsia="zh-CN"/>
                    </w:rPr>
                    <w:t>环卫部门定期</w:t>
                  </w:r>
                  <w:r>
                    <w:rPr>
                      <w:rFonts w:hint="default" w:ascii="Times New Roman" w:hAnsi="Times New Roman" w:cs="Times New Roman"/>
                      <w:sz w:val="24"/>
                      <w:lang w:val="en-US" w:eastAsia="zh-CN"/>
                    </w:rPr>
                    <w:t>清掏处置。</w:t>
                  </w:r>
                </w:p>
              </w:tc>
            </w:tr>
            <w:tr w14:paraId="56175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tcBorders>
                    <w:tl2br w:val="nil"/>
                    <w:tr2bl w:val="nil"/>
                  </w:tcBorders>
                  <w:vAlign w:val="center"/>
                </w:tcPr>
                <w:p w14:paraId="2A5E2DD4">
                  <w:pPr>
                    <w:pStyle w:val="33"/>
                    <w:keepNext w:val="0"/>
                    <w:pageBreakBefore w:val="0"/>
                    <w:kinsoku/>
                    <w:wordWrap w:val="0"/>
                    <w:overflowPunct/>
                    <w:topLinePunct w:val="0"/>
                    <w:bidi w:val="0"/>
                    <w:ind w:firstLine="0" w:firstLineChars="0"/>
                    <w:jc w:val="center"/>
                    <w:textAlignment w:val="auto"/>
                    <w:rPr>
                      <w:rFonts w:hint="default" w:ascii="Times New Roman" w:hAnsi="Times New Roman" w:eastAsia="宋体" w:cs="Times New Roman"/>
                      <w:color w:val="auto"/>
                      <w:kern w:val="2"/>
                      <w:sz w:val="21"/>
                      <w:szCs w:val="36"/>
                      <w:highlight w:val="none"/>
                      <w:u w:val="none"/>
                      <w:lang w:val="en-US" w:eastAsia="zh-CN" w:bidi="ar-SA"/>
                    </w:rPr>
                  </w:pPr>
                  <w:r>
                    <w:rPr>
                      <w:rFonts w:hint="default" w:ascii="Times New Roman" w:hAnsi="Times New Roman" w:eastAsia="宋体" w:cs="Times New Roman"/>
                      <w:color w:val="auto"/>
                      <w:kern w:val="2"/>
                      <w:sz w:val="21"/>
                      <w:szCs w:val="36"/>
                      <w:highlight w:val="none"/>
                      <w:u w:val="none"/>
                      <w:lang w:val="en-US" w:eastAsia="zh-CN" w:bidi="ar-SA"/>
                    </w:rPr>
                    <w:t>废机油</w:t>
                  </w:r>
                </w:p>
              </w:tc>
              <w:tc>
                <w:tcPr>
                  <w:tcW w:w="862" w:type="pct"/>
                  <w:tcBorders>
                    <w:tl2br w:val="nil"/>
                    <w:tr2bl w:val="nil"/>
                  </w:tcBorders>
                  <w:vAlign w:val="center"/>
                </w:tcPr>
                <w:p w14:paraId="62B20D31">
                  <w:pPr>
                    <w:pStyle w:val="33"/>
                    <w:keepNext w:val="0"/>
                    <w:pageBreakBefore w:val="0"/>
                    <w:kinsoku/>
                    <w:wordWrap w:val="0"/>
                    <w:overflowPunct/>
                    <w:topLinePunct w:val="0"/>
                    <w:bidi w:val="0"/>
                    <w:ind w:firstLine="0" w:firstLineChars="0"/>
                    <w:jc w:val="center"/>
                    <w:textAlignment w:val="auto"/>
                    <w:rPr>
                      <w:rFonts w:hint="default" w:ascii="Times New Roman" w:hAnsi="Times New Roman" w:eastAsia="宋体" w:cs="Times New Roman"/>
                      <w:color w:val="auto"/>
                      <w:kern w:val="2"/>
                      <w:sz w:val="21"/>
                      <w:szCs w:val="36"/>
                      <w:highlight w:val="none"/>
                      <w:u w:val="none"/>
                      <w:lang w:val="en-US" w:eastAsia="zh-CN" w:bidi="ar-SA"/>
                    </w:rPr>
                  </w:pPr>
                  <w:r>
                    <w:rPr>
                      <w:rFonts w:hint="default" w:ascii="Times New Roman" w:hAnsi="Times New Roman" w:cs="Times New Roman"/>
                      <w:color w:val="auto"/>
                      <w:kern w:val="2"/>
                      <w:sz w:val="21"/>
                      <w:szCs w:val="36"/>
                      <w:highlight w:val="none"/>
                      <w:u w:val="none"/>
                      <w:lang w:val="en-US" w:eastAsia="zh-CN" w:bidi="ar-SA"/>
                    </w:rPr>
                    <w:t>车辆维修保养</w:t>
                  </w:r>
                </w:p>
              </w:tc>
              <w:tc>
                <w:tcPr>
                  <w:tcW w:w="621" w:type="pct"/>
                  <w:tcBorders>
                    <w:tl2br w:val="nil"/>
                    <w:tr2bl w:val="nil"/>
                  </w:tcBorders>
                  <w:vAlign w:val="center"/>
                </w:tcPr>
                <w:p w14:paraId="1FD051D5">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危险废物</w:t>
                  </w:r>
                </w:p>
              </w:tc>
              <w:tc>
                <w:tcPr>
                  <w:tcW w:w="827" w:type="pct"/>
                  <w:tcBorders>
                    <w:tl2br w:val="nil"/>
                    <w:tr2bl w:val="nil"/>
                  </w:tcBorders>
                  <w:vAlign w:val="center"/>
                </w:tcPr>
                <w:p w14:paraId="4C7DC75B">
                  <w:pPr>
                    <w:pStyle w:val="33"/>
                    <w:keepNext w:val="0"/>
                    <w:pageBreakBefore w:val="0"/>
                    <w:kinsoku/>
                    <w:wordWrap w:val="0"/>
                    <w:overflowPunct/>
                    <w:topLinePunct w:val="0"/>
                    <w:bidi w:val="0"/>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0.2</w:t>
                  </w:r>
                </w:p>
              </w:tc>
              <w:tc>
                <w:tcPr>
                  <w:tcW w:w="1689" w:type="pct"/>
                  <w:tcBorders>
                    <w:tl2br w:val="nil"/>
                    <w:tr2bl w:val="nil"/>
                  </w:tcBorders>
                  <w:vAlign w:val="center"/>
                </w:tcPr>
                <w:p w14:paraId="7FFE9783">
                  <w:pPr>
                    <w:pStyle w:val="33"/>
                    <w:keepNext w:val="0"/>
                    <w:pageBreakBefore w:val="0"/>
                    <w:kinsoku/>
                    <w:wordWrap w:val="0"/>
                    <w:overflowPunct/>
                    <w:topLinePunct w:val="0"/>
                    <w:bidi w:val="0"/>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eastAsia="宋体" w:cs="Times New Roman"/>
                      <w:b w:val="0"/>
                      <w:bCs/>
                      <w:color w:val="auto"/>
                      <w:kern w:val="0"/>
                      <w:sz w:val="24"/>
                      <w:szCs w:val="24"/>
                      <w:highlight w:val="none"/>
                      <w:lang w:val="en-US" w:eastAsia="zh-CN" w:bidi="ar"/>
                    </w:rPr>
                    <w:t>暂存于危险废物暂存间，定期委托有资质的单位清运处置。</w:t>
                  </w:r>
                </w:p>
              </w:tc>
            </w:tr>
          </w:tbl>
          <w:p w14:paraId="3A52324A">
            <w:pPr>
              <w:pStyle w:val="9"/>
              <w:keepNext w:val="0"/>
              <w:pageBreakBefore w:val="0"/>
              <w:kinsoku/>
              <w:wordWrap w:val="0"/>
              <w:overflowPunct/>
              <w:topLinePunct w:val="0"/>
              <w:bidi w:val="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rPr>
              <w:t>（</w:t>
            </w:r>
            <w:r>
              <w:rPr>
                <w:rFonts w:hint="default"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w:t>
            </w:r>
            <w:r>
              <w:rPr>
                <w:rFonts w:hint="default" w:ascii="Times New Roman" w:hAnsi="Times New Roman" w:eastAsia="宋体" w:cs="Times New Roman"/>
                <w:b/>
                <w:bCs/>
                <w:sz w:val="24"/>
                <w:szCs w:val="24"/>
                <w:lang w:val="en-US" w:eastAsia="zh-CN"/>
              </w:rPr>
              <w:t>影响分析</w:t>
            </w:r>
          </w:p>
          <w:p w14:paraId="2C38F5AD">
            <w:pPr>
              <w:pStyle w:val="34"/>
              <w:keepNext w:val="0"/>
              <w:pageBreakBefore w:val="0"/>
              <w:kinsoku/>
              <w:wordWrap w:val="0"/>
              <w:overflowPunct/>
              <w:topLinePunct w:val="0"/>
              <w:bidi w:val="0"/>
              <w:ind w:firstLine="480"/>
              <w:textAlignment w:val="auto"/>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rPr>
              <w:t>①一般固体废物</w:t>
            </w:r>
          </w:p>
          <w:p w14:paraId="5279462E">
            <w:pPr>
              <w:pStyle w:val="13"/>
              <w:keepNext w:val="0"/>
              <w:pageBreakBefore w:val="0"/>
              <w:kinsoku/>
              <w:wordWrap w:val="0"/>
              <w:overflowPunct/>
              <w:topLinePunct w:val="0"/>
              <w:bidi w:val="0"/>
              <w:snapToGrid w:val="0"/>
              <w:spacing w:line="360" w:lineRule="auto"/>
              <w:ind w:firstLine="480" w:firstLineChars="200"/>
              <w:jc w:val="both"/>
              <w:textAlignment w:val="auto"/>
              <w:rPr>
                <w:rFonts w:hint="default" w:ascii="Times New Roman" w:hAnsi="Times New Roman" w:cs="Times New Roman"/>
                <w:color w:val="auto"/>
                <w:kern w:val="2"/>
              </w:rPr>
            </w:pPr>
            <w:r>
              <w:rPr>
                <w:rFonts w:hint="default" w:ascii="Times New Roman" w:hAnsi="Times New Roman" w:cs="Times New Roman"/>
                <w:color w:val="auto"/>
                <w:kern w:val="2"/>
              </w:rPr>
              <w:t>对项目产生的一般工业固废进行规范管理，并根据固废不同的属性进行分类处理，具体处理方式为：</w:t>
            </w:r>
            <w:r>
              <w:rPr>
                <w:rFonts w:hint="default" w:ascii="Times New Roman" w:hAnsi="Times New Roman" w:cs="Times New Roman"/>
                <w:color w:val="auto"/>
                <w:kern w:val="2"/>
                <w:u w:val="none"/>
                <w:lang w:val="en-US" w:eastAsia="zh-CN"/>
              </w:rPr>
              <w:t>沉淀池和初期雨水收集池沉渣</w:t>
            </w:r>
            <w:r>
              <w:rPr>
                <w:rFonts w:hint="default" w:ascii="Times New Roman" w:hAnsi="Times New Roman" w:cs="Times New Roman"/>
                <w:color w:val="auto"/>
                <w:sz w:val="24"/>
                <w:u w:val="none"/>
                <w:lang w:val="en-US" w:eastAsia="zh-CN"/>
              </w:rPr>
              <w:t>定期清掏，并运送至附近的一般工业固废消纳场进行处置</w:t>
            </w:r>
            <w:r>
              <w:rPr>
                <w:rFonts w:hint="default" w:ascii="Times New Roman" w:hAnsi="Times New Roman" w:cs="Times New Roman"/>
                <w:color w:val="auto"/>
                <w:kern w:val="2"/>
                <w:u w:val="none"/>
                <w:lang w:val="en-US" w:eastAsia="zh-CN"/>
              </w:rPr>
              <w:t>；</w:t>
            </w:r>
            <w:r>
              <w:rPr>
                <w:rFonts w:hint="default" w:ascii="Times New Roman" w:hAnsi="Times New Roman" w:cs="Times New Roman"/>
                <w:color w:val="auto"/>
                <w:kern w:val="2"/>
                <w:lang w:val="en-US" w:eastAsia="zh-CN"/>
              </w:rPr>
              <w:t>生活垃圾收集后委托环卫部门定期清运，化粪池污泥</w:t>
            </w:r>
            <w:r>
              <w:rPr>
                <w:rFonts w:hint="default" w:ascii="Times New Roman" w:hAnsi="Times New Roman" w:eastAsia="宋体" w:cs="Times New Roman"/>
                <w:sz w:val="24"/>
                <w:lang w:val="en-US" w:eastAsia="zh-CN"/>
              </w:rPr>
              <w:t>委托</w:t>
            </w:r>
            <w:r>
              <w:rPr>
                <w:rFonts w:hint="default" w:ascii="Times New Roman" w:hAnsi="Times New Roman" w:cs="Times New Roman"/>
                <w:sz w:val="24"/>
                <w:lang w:val="en-US" w:eastAsia="zh-CN"/>
              </w:rPr>
              <w:t>当地</w:t>
            </w:r>
            <w:r>
              <w:rPr>
                <w:rFonts w:hint="default" w:ascii="Times New Roman" w:hAnsi="Times New Roman" w:eastAsia="宋体" w:cs="Times New Roman"/>
                <w:sz w:val="24"/>
                <w:lang w:val="en-US" w:eastAsia="zh-CN"/>
              </w:rPr>
              <w:t>环卫部门定期</w:t>
            </w:r>
            <w:r>
              <w:rPr>
                <w:rFonts w:hint="default" w:ascii="Times New Roman" w:hAnsi="Times New Roman" w:cs="Times New Roman"/>
                <w:sz w:val="24"/>
                <w:lang w:val="en-US" w:eastAsia="zh-CN"/>
              </w:rPr>
              <w:t>清掏处</w:t>
            </w:r>
            <w:r>
              <w:rPr>
                <w:rFonts w:hint="default" w:ascii="Times New Roman" w:hAnsi="Times New Roman" w:eastAsia="宋体" w:cs="Times New Roman"/>
                <w:b w:val="0"/>
                <w:bCs w:val="0"/>
                <w:color w:val="auto"/>
                <w:sz w:val="24"/>
                <w:u w:val="none"/>
                <w:lang w:val="en-US" w:eastAsia="zh-CN"/>
              </w:rPr>
              <w:t>置</w:t>
            </w:r>
            <w:r>
              <w:rPr>
                <w:rFonts w:hint="default" w:ascii="Times New Roman" w:hAnsi="Times New Roman" w:cs="Times New Roman"/>
                <w:color w:val="auto"/>
                <w:kern w:val="2"/>
                <w:lang w:val="en-US" w:eastAsia="zh-CN"/>
              </w:rPr>
              <w:t>。</w:t>
            </w:r>
            <w:r>
              <w:rPr>
                <w:rFonts w:hint="default" w:ascii="Times New Roman" w:hAnsi="Times New Roman" w:cs="Times New Roman"/>
                <w:color w:val="auto"/>
                <w:kern w:val="2"/>
              </w:rPr>
              <w:t>综上所述，项目产生的一般固废均得到有效处置，处置率达100%，不外排，对周围环境影响较小。</w:t>
            </w:r>
          </w:p>
          <w:p w14:paraId="329CD06F">
            <w:pPr>
              <w:pStyle w:val="34"/>
              <w:keepNext w:val="0"/>
              <w:pageBreakBefore w:val="0"/>
              <w:kinsoku/>
              <w:wordWrap w:val="0"/>
              <w:overflowPunct/>
              <w:topLinePunct w:val="0"/>
              <w:bidi w:val="0"/>
              <w:ind w:firstLine="480"/>
              <w:textAlignment w:val="auto"/>
              <w:rPr>
                <w:rFonts w:hint="default" w:ascii="Times New Roman" w:hAnsi="Times New Roman" w:cs="Times New Roman"/>
                <w:b/>
                <w:bCs/>
                <w:color w:val="auto"/>
              </w:rPr>
            </w:pPr>
            <w:r>
              <w:rPr>
                <w:rFonts w:hint="default" w:ascii="Times New Roman" w:hAnsi="Times New Roman" w:cs="Times New Roman"/>
                <w:b/>
                <w:bCs/>
                <w:color w:val="auto"/>
              </w:rPr>
              <w:t>②危险废物</w:t>
            </w:r>
          </w:p>
          <w:p w14:paraId="4434800E">
            <w:pPr>
              <w:pStyle w:val="13"/>
              <w:keepNext w:val="0"/>
              <w:pageBreakBefore w:val="0"/>
              <w:kinsoku/>
              <w:wordWrap w:val="0"/>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kern w:val="2"/>
              </w:rPr>
              <w:t>项目</w:t>
            </w:r>
            <w:r>
              <w:rPr>
                <w:rFonts w:hint="default" w:ascii="Times New Roman" w:hAnsi="Times New Roman" w:cs="Times New Roman"/>
                <w:color w:val="auto"/>
                <w:kern w:val="2"/>
                <w:highlight w:val="none"/>
              </w:rPr>
              <w:t>产生的</w:t>
            </w:r>
            <w:r>
              <w:rPr>
                <w:rFonts w:hint="default" w:ascii="Times New Roman" w:hAnsi="Times New Roman" w:cs="Times New Roman"/>
                <w:color w:val="auto"/>
                <w:kern w:val="2"/>
                <w:highlight w:val="none"/>
                <w:lang w:val="en-US" w:eastAsia="zh-CN"/>
              </w:rPr>
              <w:t>废机油废液</w:t>
            </w:r>
            <w:r>
              <w:rPr>
                <w:rFonts w:hint="default" w:ascii="Times New Roman" w:hAnsi="Times New Roman" w:cs="Times New Roman"/>
                <w:color w:val="auto"/>
                <w:kern w:val="2"/>
                <w:highlight w:val="none"/>
              </w:rPr>
              <w:t>属于危险</w:t>
            </w:r>
            <w:r>
              <w:rPr>
                <w:rFonts w:hint="default" w:ascii="Times New Roman" w:hAnsi="Times New Roman" w:cs="Times New Roman"/>
                <w:color w:val="auto"/>
                <w:kern w:val="2"/>
                <w:highlight w:val="none"/>
                <w:lang w:val="en-US" w:eastAsia="zh-CN"/>
              </w:rPr>
              <w:t>废物</w:t>
            </w:r>
            <w:r>
              <w:rPr>
                <w:rFonts w:hint="default" w:ascii="Times New Roman" w:hAnsi="Times New Roman" w:cs="Times New Roman"/>
                <w:color w:val="auto"/>
                <w:kern w:val="2"/>
                <w:highlight w:val="none"/>
              </w:rPr>
              <w:t>，</w:t>
            </w:r>
            <w:r>
              <w:rPr>
                <w:rFonts w:hint="default" w:ascii="Times New Roman" w:hAnsi="Times New Roman" w:cs="Times New Roman"/>
                <w:color w:val="auto"/>
                <w:kern w:val="2"/>
              </w:rPr>
              <w:t>在危废暂存间进行暂存，定期委托有资质的单位进行处理</w:t>
            </w:r>
            <w:r>
              <w:rPr>
                <w:rFonts w:hint="default" w:ascii="Times New Roman" w:hAnsi="Times New Roman" w:cs="Times New Roman"/>
                <w:color w:val="auto"/>
                <w:kern w:val="2"/>
                <w:lang w:eastAsia="zh-CN"/>
              </w:rPr>
              <w:t>，</w:t>
            </w:r>
            <w:r>
              <w:rPr>
                <w:rFonts w:hint="default" w:ascii="Times New Roman" w:hAnsi="Times New Roman" w:cs="Times New Roman"/>
                <w:color w:val="auto"/>
                <w:kern w:val="2"/>
              </w:rPr>
              <w:t>对周围环境影响较小。</w:t>
            </w:r>
          </w:p>
          <w:p w14:paraId="569D0F8E">
            <w:pPr>
              <w:keepNext w:val="0"/>
              <w:pageBreakBefore w:val="0"/>
              <w:kinsoku/>
              <w:wordWrap w:val="0"/>
              <w:overflowPunct/>
              <w:topLinePunct w:val="0"/>
              <w:bidi w:val="0"/>
              <w:textAlignment w:val="auto"/>
              <w:rPr>
                <w:rFonts w:hint="default" w:ascii="Times New Roman" w:hAnsi="Times New Roman" w:eastAsia="宋体" w:cs="Times New Roman"/>
                <w:b/>
                <w:bCs/>
                <w:lang w:val="en-US" w:eastAsia="zh-CN"/>
              </w:rPr>
            </w:pPr>
            <w:r>
              <w:rPr>
                <w:rFonts w:hint="default" w:ascii="Times New Roman" w:hAnsi="Times New Roman" w:cs="Times New Roman"/>
                <w:b/>
                <w:bCs/>
                <w:lang w:eastAsia="zh-CN"/>
              </w:rPr>
              <w:t>（</w:t>
            </w:r>
            <w:r>
              <w:rPr>
                <w:rFonts w:hint="default" w:ascii="Times New Roman" w:hAnsi="Times New Roman" w:cs="Times New Roman"/>
                <w:b/>
                <w:bCs/>
                <w:lang w:val="en-US" w:eastAsia="zh-CN"/>
              </w:rPr>
              <w:t>3</w:t>
            </w:r>
            <w:r>
              <w:rPr>
                <w:rFonts w:hint="default" w:ascii="Times New Roman" w:hAnsi="Times New Roman" w:cs="Times New Roman"/>
                <w:b/>
                <w:bCs/>
                <w:lang w:eastAsia="zh-CN"/>
              </w:rPr>
              <w:t>）</w:t>
            </w:r>
            <w:r>
              <w:rPr>
                <w:rFonts w:hint="default" w:ascii="Times New Roman" w:hAnsi="Times New Roman" w:cs="Times New Roman"/>
                <w:b/>
                <w:bCs/>
                <w:lang w:val="en-US" w:eastAsia="zh-CN"/>
              </w:rPr>
              <w:t>危险废物管理要求</w:t>
            </w:r>
          </w:p>
          <w:p w14:paraId="24DF4E92">
            <w:pPr>
              <w:keepNext w:val="0"/>
              <w:pageBreakBefore w:val="0"/>
              <w:kinsoku/>
              <w:wordWrap w:val="0"/>
              <w:overflowPunct/>
              <w:topLinePunct w:val="0"/>
              <w:bidi w:val="0"/>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lang w:val="en-US" w:eastAsia="zh-CN"/>
              </w:rPr>
              <w:t>环评要求项目设置1</w:t>
            </w:r>
            <w:r>
              <w:rPr>
                <w:rFonts w:hint="default" w:ascii="Times New Roman" w:hAnsi="Times New Roman" w:cs="Times New Roman"/>
                <w:color w:val="auto"/>
                <w:highlight w:val="none"/>
                <w:u w:val="none"/>
                <w:lang w:val="en-US" w:eastAsia="zh-CN"/>
              </w:rPr>
              <w:t>间5m</w:t>
            </w:r>
            <w:r>
              <w:rPr>
                <w:rFonts w:hint="default" w:ascii="Times New Roman" w:hAnsi="Times New Roman" w:cs="Times New Roman"/>
                <w:color w:val="auto"/>
                <w:highlight w:val="none"/>
                <w:u w:val="none"/>
                <w:vertAlign w:val="superscript"/>
                <w:lang w:val="en-US" w:eastAsia="zh-CN"/>
              </w:rPr>
              <w:t>2</w:t>
            </w:r>
            <w:r>
              <w:rPr>
                <w:rFonts w:hint="default" w:ascii="Times New Roman" w:hAnsi="Times New Roman" w:cs="Times New Roman"/>
                <w:color w:val="auto"/>
                <w:highlight w:val="none"/>
                <w:u w:val="none"/>
                <w:vertAlign w:val="baseline"/>
                <w:lang w:val="en-US" w:eastAsia="zh-CN"/>
              </w:rPr>
              <w:t>的危废暂存间，</w:t>
            </w:r>
            <w:r>
              <w:rPr>
                <w:rFonts w:hint="default" w:ascii="Times New Roman" w:hAnsi="Times New Roman" w:cs="Times New Roman"/>
                <w:color w:val="auto"/>
                <w:highlight w:val="none"/>
                <w:vertAlign w:val="baseline"/>
                <w:lang w:val="en-US" w:eastAsia="zh-CN"/>
              </w:rPr>
              <w:t>位于项目生活区西侧。危险固废经集中收集后在危废暂存间进行暂存，定期委托有资质的单位进行处理。</w:t>
            </w:r>
          </w:p>
          <w:p w14:paraId="1CA13C2B">
            <w:pPr>
              <w:keepNext w:val="0"/>
              <w:pageBreakBefore w:val="0"/>
              <w:kinsoku/>
              <w:wordWrap w:val="0"/>
              <w:overflowPunct/>
              <w:topLinePunct w:val="0"/>
              <w:bidi w:val="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针对本项目产生的危废，本评价要求建设单位严格按照《危险废物贮存污染控制标准》（GB18597-2023）、《危险废物收集 贮存 运输技术规范》（HJ2025-2012）等相关标准及技术规范要求，做好危险废物的环境管理。</w:t>
            </w:r>
          </w:p>
          <w:p w14:paraId="74E4E0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贮存的危险废物直接接触地面的，还应进行基础防渗，防渗层为至少1m厚黏土层（渗透系数不大于10</w:t>
            </w:r>
            <w:r>
              <w:rPr>
                <w:rFonts w:hint="default" w:ascii="Times New Roman" w:hAnsi="Times New Roman" w:cs="Times New Roman"/>
                <w:color w:val="auto"/>
                <w:highlight w:val="none"/>
                <w:vertAlign w:val="superscript"/>
                <w:lang w:val="en-US" w:eastAsia="zh-CN"/>
              </w:rPr>
              <w:t>-7</w:t>
            </w:r>
            <w:r>
              <w:rPr>
                <w:rFonts w:hint="default" w:ascii="Times New Roman" w:hAnsi="Times New Roman" w:cs="Times New Roman"/>
                <w:color w:val="auto"/>
                <w:highlight w:val="none"/>
                <w:lang w:val="en-US" w:eastAsia="zh-CN"/>
              </w:rPr>
              <w:t>cm/s），或至少2mm厚高密度聚乙烯膜等人工防渗材料（渗透系数不大于10</w:t>
            </w:r>
            <w:r>
              <w:rPr>
                <w:rFonts w:hint="default" w:ascii="Times New Roman" w:hAnsi="Times New Roman" w:cs="Times New Roman"/>
                <w:color w:val="auto"/>
                <w:highlight w:val="none"/>
                <w:vertAlign w:val="superscript"/>
                <w:lang w:val="en-US" w:eastAsia="zh-CN"/>
              </w:rPr>
              <w:t>-10</w:t>
            </w:r>
            <w:r>
              <w:rPr>
                <w:rFonts w:hint="default" w:ascii="Times New Roman" w:hAnsi="Times New Roman" w:cs="Times New Roman"/>
                <w:color w:val="auto"/>
                <w:highlight w:val="none"/>
                <w:lang w:val="en-US" w:eastAsia="zh-CN"/>
              </w:rPr>
              <w:t>cm/s），或其他防渗性能等效的材料。</w:t>
            </w:r>
            <w:r>
              <w:rPr>
                <w:rFonts w:hint="default" w:ascii="Times New Roman" w:hAnsi="Times New Roman" w:cs="Times New Roman"/>
                <w:lang w:val="en-US" w:eastAsia="zh-CN"/>
              </w:rPr>
              <w:t>废机油下面设置托盘或收集池，</w:t>
            </w:r>
            <w:r>
              <w:rPr>
                <w:rFonts w:hint="default" w:ascii="Times New Roman" w:hAnsi="Times New Roman" w:cs="Times New Roman"/>
                <w:color w:val="auto"/>
                <w:highlight w:val="none"/>
                <w:lang w:val="en-US" w:eastAsia="zh-CN"/>
              </w:rPr>
              <w:t>贮存设施应采取技术和管理措施防止无关人员进入。</w:t>
            </w:r>
            <w:r>
              <w:rPr>
                <w:rFonts w:hint="default" w:ascii="Times New Roman" w:hAnsi="Times New Roman" w:cs="Times New Roman"/>
                <w:color w:val="auto"/>
                <w:sz w:val="24"/>
                <w:szCs w:val="24"/>
              </w:rPr>
              <w:t>对危险废物的转移处理须严格按照生态环境部第5号令《危险废物转移联单管理办法》执行。</w:t>
            </w:r>
          </w:p>
          <w:p w14:paraId="02A1A1C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color w:val="auto"/>
                <w:sz w:val="24"/>
                <w:szCs w:val="24"/>
              </w:rPr>
            </w:pPr>
            <w:r>
              <w:rPr>
                <w:rFonts w:hint="default" w:ascii="Times New Roman" w:hAnsi="Times New Roman" w:cs="Times New Roman"/>
                <w:b/>
                <w:bCs/>
                <w:lang w:val="en-US" w:eastAsia="zh-CN"/>
              </w:rPr>
              <w:t>（4）</w:t>
            </w:r>
            <w:r>
              <w:rPr>
                <w:rFonts w:hint="default" w:ascii="Times New Roman" w:hAnsi="Times New Roman" w:cs="Times New Roman"/>
                <w:b/>
                <w:bCs/>
                <w:color w:val="auto"/>
                <w:sz w:val="24"/>
                <w:szCs w:val="24"/>
              </w:rPr>
              <w:t>影响分析</w:t>
            </w:r>
          </w:p>
          <w:p w14:paraId="2E745814">
            <w:pPr>
              <w:keepNext w:val="0"/>
              <w:pageBreakBefore w:val="0"/>
              <w:kinsoku/>
              <w:wordWrap w:val="0"/>
              <w:overflowPunct/>
              <w:topLinePunct w:val="0"/>
              <w:bidi w:val="0"/>
              <w:textAlignment w:val="auto"/>
              <w:rPr>
                <w:rFonts w:hint="default" w:ascii="Times New Roman" w:hAnsi="Times New Roman" w:cs="Times New Roman"/>
                <w:b/>
                <w:bCs/>
                <w:lang w:val="en-US" w:eastAsia="zh-CN"/>
              </w:rPr>
            </w:pPr>
            <w:r>
              <w:rPr>
                <w:rFonts w:hint="default" w:ascii="Times New Roman" w:hAnsi="Times New Roman" w:eastAsia="宋体" w:cs="Times New Roman"/>
                <w:color w:val="auto"/>
                <w:sz w:val="24"/>
                <w:szCs w:val="24"/>
                <w:highlight w:val="none"/>
              </w:rPr>
              <w:t>项目在严格落实环评提出的各项固体废弃物收集、储存设施确实实施的情况下，一般固体废弃物的储存处置能够达到《一般工业固体废物贮存</w:t>
            </w:r>
            <w:r>
              <w:rPr>
                <w:rFonts w:hint="default" w:ascii="Times New Roman" w:hAnsi="Times New Roman" w:eastAsia="宋体" w:cs="Times New Roman"/>
                <w:color w:val="auto"/>
                <w:sz w:val="24"/>
                <w:szCs w:val="24"/>
                <w:highlight w:val="none"/>
                <w:lang w:val="en-US" w:eastAsia="zh-CN"/>
              </w:rPr>
              <w:t>和填埋</w:t>
            </w:r>
            <w:r>
              <w:rPr>
                <w:rFonts w:hint="default" w:ascii="Times New Roman" w:hAnsi="Times New Roman" w:eastAsia="宋体" w:cs="Times New Roman"/>
                <w:color w:val="auto"/>
                <w:sz w:val="24"/>
                <w:szCs w:val="24"/>
                <w:highlight w:val="none"/>
              </w:rPr>
              <w:t>污染控制标准》（GB18599-20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，项目所产生的危险废物能够满足</w:t>
            </w:r>
            <w:r>
              <w:rPr>
                <w:rStyle w:val="40"/>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，项目所产生的固体废弃物能够得到合理、有效的处置，各固体废弃物去向</w:t>
            </w:r>
            <w:r>
              <w:rPr>
                <w:rFonts w:hint="default" w:ascii="Times New Roman" w:hAnsi="Times New Roman" w:eastAsia="宋体" w:cs="Times New Roman"/>
                <w:color w:val="auto"/>
                <w:sz w:val="24"/>
                <w:szCs w:val="24"/>
              </w:rPr>
              <w:t>明确，处置率达到100%，对环境的影响较小。</w:t>
            </w:r>
          </w:p>
          <w:p w14:paraId="008679F1">
            <w:pPr>
              <w:keepNext w:val="0"/>
              <w:pageBreakBefore w:val="0"/>
              <w:kinsoku/>
              <w:wordWrap w:val="0"/>
              <w:overflowPunct/>
              <w:topLinePunct w:val="0"/>
              <w:bidi w:val="0"/>
              <w:textAlignment w:val="auto"/>
              <w:rPr>
                <w:rFonts w:hint="default" w:ascii="Times New Roman" w:hAnsi="Times New Roman" w:cs="Times New Roman"/>
                <w:lang w:val="en-US" w:eastAsia="zh-CN"/>
              </w:rPr>
            </w:pPr>
            <w:r>
              <w:rPr>
                <w:rFonts w:hint="default" w:ascii="Times New Roman" w:hAnsi="Times New Roman" w:cs="Times New Roman"/>
                <w:b/>
                <w:bCs/>
                <w:lang w:val="en-US" w:eastAsia="zh-CN"/>
              </w:rPr>
              <w:t>5、地下水、土壤</w:t>
            </w:r>
          </w:p>
          <w:p w14:paraId="24D16EAB">
            <w:pPr>
              <w:keepNext w:val="0"/>
              <w:keepLines w:val="0"/>
              <w:pageBreakBefore w:val="0"/>
              <w:widowControl/>
              <w:suppressLineNumbers w:val="0"/>
              <w:kinsoku/>
              <w:wordWrap w:val="0"/>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color w:val="000000"/>
                <w:kern w:val="0"/>
                <w:sz w:val="24"/>
                <w:szCs w:val="24"/>
                <w:lang w:val="en-US" w:eastAsia="zh-CN" w:bidi="ar"/>
              </w:rPr>
              <w:t>根据工程分析，本评价要求设置的危废暂存间为重点防渗区域，严格按照《危险废物贮存污染控制标准》（GB 18597-2023）的防渗要求。在严格按照相关设计规范，对地面采取有效污染渗透防控措施后，本项目不会对评价范围内的地下水和土壤造成负面影响。</w:t>
            </w:r>
          </w:p>
          <w:p w14:paraId="35056673">
            <w:pPr>
              <w:keepNext w:val="0"/>
              <w:keepLines w:val="0"/>
              <w:pageBreakBefore w:val="0"/>
              <w:widowControl/>
              <w:suppressLineNumbers w:val="0"/>
              <w:kinsoku/>
              <w:wordWrap w:val="0"/>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color w:val="000000"/>
                <w:kern w:val="0"/>
                <w:sz w:val="24"/>
                <w:szCs w:val="24"/>
                <w:lang w:val="en-US" w:eastAsia="zh-CN" w:bidi="ar"/>
              </w:rPr>
              <w:t>事故状况下，暂存间内储存的危险废物破损泄漏，暂存间地面防渗层因老化、腐蚀或破裂而受损，对于地下水环境，包含污染化学品的废水通过垂向渗透进入包气带，在物理、化学和生物作用下吸附、转化、迁移和分解后进入下水，对于土壤环境，泄漏的化学品垂直入渗土壤。</w:t>
            </w:r>
          </w:p>
          <w:p w14:paraId="28480E7A">
            <w:pPr>
              <w:keepNext w:val="0"/>
              <w:keepLines w:val="0"/>
              <w:pageBreakBefore w:val="0"/>
              <w:widowControl/>
              <w:suppressLineNumbers w:val="0"/>
              <w:kinsoku/>
              <w:wordWrap w:val="0"/>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color w:val="0000FF"/>
                <w:kern w:val="0"/>
                <w:sz w:val="24"/>
                <w:szCs w:val="24"/>
                <w:lang w:val="en-US" w:eastAsia="zh-CN" w:bidi="ar"/>
              </w:rPr>
            </w:pPr>
            <w:r>
              <w:rPr>
                <w:rFonts w:hint="eastAsia" w:cs="Times New Roman"/>
                <w:color w:val="0000FF"/>
                <w:kern w:val="0"/>
                <w:sz w:val="24"/>
                <w:szCs w:val="24"/>
                <w:lang w:val="en-US" w:eastAsia="zh-CN" w:bidi="ar"/>
              </w:rPr>
              <w:t>项目危废暂存间应进行重点防渗</w:t>
            </w:r>
            <w:r>
              <w:rPr>
                <w:rFonts w:hint="default" w:ascii="Times New Roman" w:hAnsi="Times New Roman" w:eastAsia="宋体" w:cs="Times New Roman"/>
                <w:color w:val="0000FF"/>
                <w:kern w:val="0"/>
                <w:sz w:val="24"/>
                <w:szCs w:val="24"/>
                <w:lang w:val="en-US" w:eastAsia="zh-CN" w:bidi="ar"/>
              </w:rPr>
              <w:t>，</w:t>
            </w:r>
            <w:r>
              <w:rPr>
                <w:rFonts w:hint="eastAsia" w:cs="Times New Roman"/>
                <w:color w:val="0000FF"/>
                <w:kern w:val="0"/>
                <w:sz w:val="24"/>
                <w:szCs w:val="24"/>
                <w:lang w:val="en-US" w:eastAsia="zh-CN" w:bidi="ar"/>
              </w:rPr>
              <w:t>要求地面及裙角防渗</w:t>
            </w:r>
            <w:r>
              <w:rPr>
                <w:rFonts w:hint="default" w:ascii="Times New Roman" w:hAnsi="Times New Roman" w:eastAsia="宋体" w:cs="Times New Roman"/>
                <w:color w:val="0000FF"/>
                <w:kern w:val="0"/>
                <w:sz w:val="24"/>
                <w:szCs w:val="24"/>
                <w:lang w:val="en-US" w:eastAsia="zh-CN" w:bidi="ar"/>
              </w:rPr>
              <w:t>渗透系数不大于10</w:t>
            </w:r>
            <w:r>
              <w:rPr>
                <w:rFonts w:hint="default" w:ascii="Times New Roman" w:hAnsi="Times New Roman" w:eastAsia="宋体" w:cs="Times New Roman"/>
                <w:color w:val="0000FF"/>
                <w:kern w:val="0"/>
                <w:sz w:val="24"/>
                <w:szCs w:val="24"/>
                <w:vertAlign w:val="superscript"/>
                <w:lang w:val="en-US" w:eastAsia="zh-CN" w:bidi="ar"/>
              </w:rPr>
              <w:t>-10</w:t>
            </w:r>
            <w:r>
              <w:rPr>
                <w:rFonts w:hint="default" w:ascii="Times New Roman" w:hAnsi="Times New Roman" w:eastAsia="宋体" w:cs="Times New Roman"/>
                <w:color w:val="0000FF"/>
                <w:kern w:val="0"/>
                <w:sz w:val="24"/>
                <w:szCs w:val="24"/>
                <w:lang w:val="en-US" w:eastAsia="zh-CN" w:bidi="ar"/>
              </w:rPr>
              <w:t>cm/s。</w:t>
            </w:r>
          </w:p>
          <w:p w14:paraId="4CD76AB2">
            <w:pPr>
              <w:keepNext w:val="0"/>
              <w:keepLines w:val="0"/>
              <w:pageBreakBefore w:val="0"/>
              <w:widowControl/>
              <w:suppressLineNumbers w:val="0"/>
              <w:kinsoku/>
              <w:wordWrap w:val="0"/>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color w:val="0000FF"/>
                <w:kern w:val="0"/>
                <w:sz w:val="24"/>
                <w:szCs w:val="24"/>
                <w:lang w:val="en-US" w:eastAsia="zh-CN" w:bidi="ar"/>
              </w:rPr>
            </w:pPr>
            <w:r>
              <w:rPr>
                <w:rFonts w:hint="default" w:ascii="Times New Roman" w:hAnsi="Times New Roman" w:eastAsia="宋体" w:cs="Times New Roman"/>
                <w:color w:val="0000FF"/>
                <w:kern w:val="0"/>
                <w:sz w:val="24"/>
                <w:szCs w:val="24"/>
                <w:lang w:val="en-US" w:eastAsia="zh-CN" w:bidi="ar"/>
              </w:rPr>
              <w:t>本项目在做好相关防渗和防护工作后，可有效降低对地下水、土壤环境的影响，对地下水影响较小。</w:t>
            </w:r>
          </w:p>
          <w:p w14:paraId="03ECF50E">
            <w:pPr>
              <w:keepNext w:val="0"/>
              <w:pageBreakBefore w:val="0"/>
              <w:kinsoku/>
              <w:wordWrap w:val="0"/>
              <w:overflowPunct/>
              <w:topLinePunct w:val="0"/>
              <w:bidi w:val="0"/>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6、环境风险</w:t>
            </w:r>
          </w:p>
          <w:p w14:paraId="7FEA5CC3">
            <w:pPr>
              <w:keepNext w:val="0"/>
              <w:pageBreakBefore w:val="0"/>
              <w:kinsoku/>
              <w:wordWrap w:val="0"/>
              <w:overflowPunct/>
              <w:topLinePunct w:val="0"/>
              <w:bidi w:val="0"/>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（1）风险识别</w:t>
            </w:r>
          </w:p>
          <w:p w14:paraId="2CCA85F7">
            <w:pPr>
              <w:keepNext w:val="0"/>
              <w:keepLines w:val="0"/>
              <w:pageBreakBefore w:val="0"/>
              <w:widowControl w:val="0"/>
              <w:kinsoku/>
              <w:wordWrap w:val="0"/>
              <w:overflowPunct/>
              <w:topLinePunct w:val="0"/>
              <w:autoSpaceDE/>
              <w:autoSpaceDN/>
              <w:bidi w:val="0"/>
              <w:adjustRightInd/>
              <w:snapToGrid/>
              <w:ind w:left="0" w:leftChars="0" w:firstLine="480" w:firstLineChars="200"/>
              <w:textAlignment w:val="auto"/>
              <w:rPr>
                <w:rFonts w:hint="default" w:ascii="Times New Roman" w:hAnsi="Times New Roman" w:cs="Times New Roman"/>
                <w:lang w:val="en-US" w:eastAsia="zh-CN"/>
              </w:rPr>
            </w:pPr>
            <w:r>
              <w:rPr>
                <w:rFonts w:hint="default" w:ascii="Times New Roman" w:hAnsi="Times New Roman" w:cs="Times New Roman"/>
                <w:color w:val="auto"/>
                <w:highlight w:val="none"/>
                <w:lang w:val="en-US" w:eastAsia="zh-CN"/>
              </w:rPr>
              <w:t>对照《建设项目环境风险评价技术导则》（HJ169-2018），本项目主要风险物质为废机油，其最大储存量及临界量详见下表。</w:t>
            </w:r>
          </w:p>
          <w:p w14:paraId="26AF9CD0">
            <w:pPr>
              <w:pStyle w:val="29"/>
              <w:keepNext w:val="0"/>
              <w:pageBreakBefore w:val="0"/>
              <w:kinsoku/>
              <w:wordWrap w:val="0"/>
              <w:overflowPunct/>
              <w:topLinePunct w:val="0"/>
              <w:bidi w:val="0"/>
              <w:textAlignment w:val="auto"/>
              <w:rPr>
                <w:rFonts w:hint="default" w:ascii="Times New Roman" w:hAnsi="Times New Roman" w:eastAsia="宋体" w:cs="Times New Roman"/>
                <w:b/>
                <w:bCs/>
                <w:color w:val="auto"/>
                <w:highlight w:val="none"/>
                <w:u w:val="none" w:color="auto"/>
                <w:lang w:val="en-US" w:eastAsia="zh-CN"/>
              </w:rPr>
            </w:pPr>
            <w:r>
              <w:rPr>
                <w:rFonts w:hint="default" w:ascii="Times New Roman" w:hAnsi="Times New Roman" w:eastAsia="宋体" w:cs="Times New Roman"/>
                <w:b/>
                <w:bCs/>
                <w:color w:val="auto"/>
                <w:highlight w:val="none"/>
                <w:u w:val="none" w:color="auto"/>
                <w:lang w:val="en-US" w:eastAsia="zh-CN"/>
              </w:rPr>
              <w:t>表4-11  突发环境事件风险物质及临界量</w:t>
            </w:r>
          </w:p>
          <w:tbl>
            <w:tblPr>
              <w:tblStyle w:val="24"/>
              <w:tblW w:w="80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7"/>
              <w:gridCol w:w="1778"/>
              <w:gridCol w:w="1641"/>
              <w:gridCol w:w="1532"/>
              <w:gridCol w:w="2200"/>
            </w:tblGrid>
            <w:tr w14:paraId="72FBD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Borders>
                    <w:tl2br w:val="nil"/>
                    <w:tr2bl w:val="nil"/>
                  </w:tcBorders>
                  <w:vAlign w:val="center"/>
                </w:tcPr>
                <w:p w14:paraId="0545C233">
                  <w:pPr>
                    <w:pStyle w:val="33"/>
                    <w:keepNext w:val="0"/>
                    <w:pageBreakBefore w:val="0"/>
                    <w:kinsoku/>
                    <w:wordWrap w:val="0"/>
                    <w:overflowPunct/>
                    <w:topLinePunct w:val="0"/>
                    <w:bidi w:val="0"/>
                    <w:textAlignment w:val="auto"/>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序号</w:t>
                  </w:r>
                </w:p>
              </w:tc>
              <w:tc>
                <w:tcPr>
                  <w:tcW w:w="1778" w:type="dxa"/>
                  <w:tcBorders>
                    <w:tl2br w:val="nil"/>
                    <w:tr2bl w:val="nil"/>
                  </w:tcBorders>
                  <w:vAlign w:val="center"/>
                </w:tcPr>
                <w:p w14:paraId="3D9600F8">
                  <w:pPr>
                    <w:pStyle w:val="33"/>
                    <w:keepNext w:val="0"/>
                    <w:pageBreakBefore w:val="0"/>
                    <w:kinsoku/>
                    <w:wordWrap w:val="0"/>
                    <w:overflowPunct/>
                    <w:topLinePunct w:val="0"/>
                    <w:bidi w:val="0"/>
                    <w:textAlignment w:val="auto"/>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物质名称</w:t>
                  </w:r>
                </w:p>
              </w:tc>
              <w:tc>
                <w:tcPr>
                  <w:tcW w:w="1641" w:type="dxa"/>
                  <w:tcBorders>
                    <w:tl2br w:val="nil"/>
                    <w:tr2bl w:val="nil"/>
                  </w:tcBorders>
                  <w:vAlign w:val="center"/>
                </w:tcPr>
                <w:p w14:paraId="12B3C039">
                  <w:pPr>
                    <w:pStyle w:val="33"/>
                    <w:keepNext w:val="0"/>
                    <w:pageBreakBefore w:val="0"/>
                    <w:kinsoku/>
                    <w:wordWrap w:val="0"/>
                    <w:overflowPunct/>
                    <w:topLinePunct w:val="0"/>
                    <w:bidi w:val="0"/>
                    <w:textAlignment w:val="auto"/>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CAS号</w:t>
                  </w:r>
                </w:p>
              </w:tc>
              <w:tc>
                <w:tcPr>
                  <w:tcW w:w="1532" w:type="dxa"/>
                  <w:tcBorders>
                    <w:tl2br w:val="nil"/>
                    <w:tr2bl w:val="nil"/>
                  </w:tcBorders>
                  <w:vAlign w:val="center"/>
                </w:tcPr>
                <w:p w14:paraId="2591AFA0">
                  <w:pPr>
                    <w:pStyle w:val="33"/>
                    <w:keepNext w:val="0"/>
                    <w:pageBreakBefore w:val="0"/>
                    <w:kinsoku/>
                    <w:wordWrap w:val="0"/>
                    <w:overflowPunct/>
                    <w:topLinePunct w:val="0"/>
                    <w:bidi w:val="0"/>
                    <w:textAlignment w:val="auto"/>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临界量</w:t>
                  </w:r>
                </w:p>
              </w:tc>
              <w:tc>
                <w:tcPr>
                  <w:tcW w:w="2200" w:type="dxa"/>
                  <w:tcBorders>
                    <w:tl2br w:val="nil"/>
                    <w:tr2bl w:val="nil"/>
                  </w:tcBorders>
                  <w:vAlign w:val="center"/>
                </w:tcPr>
                <w:p w14:paraId="7660F782">
                  <w:pPr>
                    <w:pStyle w:val="33"/>
                    <w:keepNext w:val="0"/>
                    <w:pageBreakBefore w:val="0"/>
                    <w:kinsoku/>
                    <w:wordWrap w:val="0"/>
                    <w:overflowPunct/>
                    <w:topLinePunct w:val="0"/>
                    <w:bidi w:val="0"/>
                    <w:textAlignment w:val="auto"/>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最大储存量</w:t>
                  </w:r>
                </w:p>
              </w:tc>
            </w:tr>
            <w:tr w14:paraId="58407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Borders>
                    <w:tl2br w:val="nil"/>
                    <w:tr2bl w:val="nil"/>
                  </w:tcBorders>
                  <w:vAlign w:val="center"/>
                </w:tcPr>
                <w:p w14:paraId="48B4B2C9">
                  <w:pPr>
                    <w:pStyle w:val="33"/>
                    <w:keepNext w:val="0"/>
                    <w:pageBreakBefore w:val="0"/>
                    <w:kinsoku/>
                    <w:wordWrap w:val="0"/>
                    <w:overflowPunct/>
                    <w:topLinePunct w:val="0"/>
                    <w:bidi w:val="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1</w:t>
                  </w:r>
                </w:p>
              </w:tc>
              <w:tc>
                <w:tcPr>
                  <w:tcW w:w="1778" w:type="dxa"/>
                  <w:tcBorders>
                    <w:tl2br w:val="nil"/>
                    <w:tr2bl w:val="nil"/>
                  </w:tcBorders>
                  <w:vAlign w:val="center"/>
                </w:tcPr>
                <w:p w14:paraId="3D4A475F">
                  <w:pPr>
                    <w:pStyle w:val="33"/>
                    <w:keepNext w:val="0"/>
                    <w:pageBreakBefore w:val="0"/>
                    <w:kinsoku/>
                    <w:wordWrap w:val="0"/>
                    <w:overflowPunct/>
                    <w:topLinePunct w:val="0"/>
                    <w:bidi w:val="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废机油</w:t>
                  </w:r>
                </w:p>
              </w:tc>
              <w:tc>
                <w:tcPr>
                  <w:tcW w:w="1641" w:type="dxa"/>
                  <w:tcBorders>
                    <w:tl2br w:val="nil"/>
                    <w:tr2bl w:val="nil"/>
                  </w:tcBorders>
                  <w:vAlign w:val="center"/>
                </w:tcPr>
                <w:p w14:paraId="16F9878C">
                  <w:pPr>
                    <w:pStyle w:val="33"/>
                    <w:keepNext w:val="0"/>
                    <w:pageBreakBefore w:val="0"/>
                    <w:kinsoku/>
                    <w:wordWrap w:val="0"/>
                    <w:overflowPunct/>
                    <w:topLinePunct w:val="0"/>
                    <w:bidi w:val="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w:t>
                  </w:r>
                </w:p>
              </w:tc>
              <w:tc>
                <w:tcPr>
                  <w:tcW w:w="1532" w:type="dxa"/>
                  <w:tcBorders>
                    <w:tl2br w:val="nil"/>
                    <w:tr2bl w:val="nil"/>
                  </w:tcBorders>
                  <w:vAlign w:val="center"/>
                </w:tcPr>
                <w:p w14:paraId="0F3C73BF">
                  <w:pPr>
                    <w:pStyle w:val="33"/>
                    <w:keepNext w:val="0"/>
                    <w:pageBreakBefore w:val="0"/>
                    <w:kinsoku/>
                    <w:wordWrap w:val="0"/>
                    <w:overflowPunct/>
                    <w:topLinePunct w:val="0"/>
                    <w:bidi w:val="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2500t</w:t>
                  </w:r>
                </w:p>
              </w:tc>
              <w:tc>
                <w:tcPr>
                  <w:tcW w:w="2200" w:type="dxa"/>
                  <w:tcBorders>
                    <w:tl2br w:val="nil"/>
                    <w:tr2bl w:val="nil"/>
                  </w:tcBorders>
                  <w:vAlign w:val="center"/>
                </w:tcPr>
                <w:p w14:paraId="151BF134">
                  <w:pPr>
                    <w:pStyle w:val="33"/>
                    <w:keepNext w:val="0"/>
                    <w:pageBreakBefore w:val="0"/>
                    <w:kinsoku/>
                    <w:wordWrap w:val="0"/>
                    <w:overflowPunct/>
                    <w:topLinePunct w:val="0"/>
                    <w:bidi w:val="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0.2t</w:t>
                  </w:r>
                </w:p>
              </w:tc>
            </w:tr>
          </w:tbl>
          <w:p w14:paraId="29A2BB74">
            <w:pPr>
              <w:keepNext w:val="0"/>
              <w:keepLines w:val="0"/>
              <w:pageBreakBefore w:val="0"/>
              <w:widowControl w:val="0"/>
              <w:kinsoku/>
              <w:wordWrap w:val="0"/>
              <w:overflowPunct/>
              <w:topLinePunct w:val="0"/>
              <w:autoSpaceDE w:val="0"/>
              <w:autoSpaceDN w:val="0"/>
              <w:bidi w:val="0"/>
              <w:adjustRightInd w:val="0"/>
              <w:snapToGrid/>
              <w:spacing w:before="157" w:beforeLines="50" w:line="360" w:lineRule="auto"/>
              <w:ind w:firstLine="360" w:firstLineChars="150"/>
              <w:jc w:val="left"/>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lang w:val="en-US" w:eastAsia="zh-CN"/>
              </w:rPr>
              <w:t>本项目环境风险识别情况</w:t>
            </w:r>
            <w:r>
              <w:rPr>
                <w:rFonts w:hint="default" w:ascii="Times New Roman" w:hAnsi="Times New Roman" w:cs="Times New Roman"/>
                <w:color w:val="auto"/>
                <w:sz w:val="24"/>
                <w:highlight w:val="none"/>
                <w:lang w:val="en-US" w:eastAsia="zh-CN"/>
              </w:rPr>
              <w:t>见下表。</w:t>
            </w:r>
          </w:p>
          <w:p w14:paraId="6D5C2DF5">
            <w:pPr>
              <w:pStyle w:val="29"/>
              <w:keepNext w:val="0"/>
              <w:pageBreakBefore w:val="0"/>
              <w:kinsoku/>
              <w:wordWrap w:val="0"/>
              <w:overflowPunct/>
              <w:topLinePunct w:val="0"/>
              <w:bidi w:val="0"/>
              <w:textAlignment w:val="auto"/>
              <w:rPr>
                <w:rFonts w:hint="default" w:ascii="Times New Roman" w:hAnsi="Times New Roman" w:eastAsia="宋体" w:cs="Times New Roman"/>
                <w:b/>
                <w:bCs/>
                <w:color w:val="auto"/>
                <w:highlight w:val="none"/>
                <w:u w:val="none" w:color="auto"/>
                <w:lang w:val="en-US" w:eastAsia="zh-CN"/>
              </w:rPr>
            </w:pPr>
            <w:r>
              <w:rPr>
                <w:rFonts w:hint="default" w:ascii="Times New Roman" w:hAnsi="Times New Roman" w:eastAsia="宋体" w:cs="Times New Roman"/>
                <w:b/>
                <w:bCs/>
                <w:color w:val="auto"/>
                <w:highlight w:val="none"/>
                <w:u w:val="none" w:color="auto"/>
                <w:lang w:val="en-US" w:eastAsia="zh-CN"/>
              </w:rPr>
              <w:t>表4-12  建设项目环境风险识别表</w:t>
            </w:r>
          </w:p>
          <w:tbl>
            <w:tblPr>
              <w:tblStyle w:val="23"/>
              <w:tblW w:w="80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961"/>
              <w:gridCol w:w="976"/>
              <w:gridCol w:w="1650"/>
              <w:gridCol w:w="1621"/>
              <w:gridCol w:w="1597"/>
              <w:gridCol w:w="727"/>
            </w:tblGrid>
            <w:tr w14:paraId="4170F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vAlign w:val="center"/>
                </w:tcPr>
                <w:p w14:paraId="61DC8A66">
                  <w:pPr>
                    <w:pStyle w:val="33"/>
                    <w:keepNext w:val="0"/>
                    <w:pageBreakBefore w:val="0"/>
                    <w:kinsoku/>
                    <w:wordWrap w:val="0"/>
                    <w:overflowPunct/>
                    <w:topLinePunct w:val="0"/>
                    <w:bidi w:val="0"/>
                    <w:textAlignment w:val="auto"/>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961" w:type="dxa"/>
                  <w:vAlign w:val="center"/>
                </w:tcPr>
                <w:p w14:paraId="26D3D98F">
                  <w:pPr>
                    <w:pStyle w:val="33"/>
                    <w:keepNext w:val="0"/>
                    <w:pageBreakBefore w:val="0"/>
                    <w:kinsoku/>
                    <w:wordWrap w:val="0"/>
                    <w:overflowPunct/>
                    <w:topLinePunct w:val="0"/>
                    <w:bidi w:val="0"/>
                    <w:textAlignment w:val="auto"/>
                    <w:rPr>
                      <w:rFonts w:hint="default" w:ascii="Times New Roman" w:hAnsi="Times New Roman" w:cs="Times New Roman"/>
                      <w:b/>
                      <w:bCs/>
                      <w:color w:val="auto"/>
                    </w:rPr>
                  </w:pPr>
                  <w:r>
                    <w:rPr>
                      <w:rFonts w:hint="default" w:ascii="Times New Roman" w:hAnsi="Times New Roman" w:cs="Times New Roman"/>
                      <w:b/>
                      <w:bCs/>
                      <w:color w:val="auto"/>
                    </w:rPr>
                    <w:t>危险单元</w:t>
                  </w:r>
                </w:p>
              </w:tc>
              <w:tc>
                <w:tcPr>
                  <w:tcW w:w="976" w:type="dxa"/>
                  <w:vAlign w:val="center"/>
                </w:tcPr>
                <w:p w14:paraId="32E3CA36">
                  <w:pPr>
                    <w:pStyle w:val="33"/>
                    <w:keepNext w:val="0"/>
                    <w:pageBreakBefore w:val="0"/>
                    <w:kinsoku/>
                    <w:wordWrap w:val="0"/>
                    <w:overflowPunct/>
                    <w:topLinePunct w:val="0"/>
                    <w:bidi w:val="0"/>
                    <w:textAlignment w:val="auto"/>
                    <w:rPr>
                      <w:rFonts w:hint="default" w:ascii="Times New Roman" w:hAnsi="Times New Roman" w:cs="Times New Roman"/>
                      <w:b/>
                      <w:bCs/>
                      <w:color w:val="auto"/>
                    </w:rPr>
                  </w:pPr>
                  <w:r>
                    <w:rPr>
                      <w:rFonts w:hint="default" w:ascii="Times New Roman" w:hAnsi="Times New Roman" w:cs="Times New Roman"/>
                      <w:b/>
                      <w:bCs/>
                      <w:color w:val="auto"/>
                    </w:rPr>
                    <w:t>风险源</w:t>
                  </w:r>
                </w:p>
              </w:tc>
              <w:tc>
                <w:tcPr>
                  <w:tcW w:w="1650" w:type="dxa"/>
                  <w:vAlign w:val="center"/>
                </w:tcPr>
                <w:p w14:paraId="77A3FFBC">
                  <w:pPr>
                    <w:pStyle w:val="33"/>
                    <w:keepNext w:val="0"/>
                    <w:pageBreakBefore w:val="0"/>
                    <w:kinsoku/>
                    <w:wordWrap w:val="0"/>
                    <w:overflowPunct/>
                    <w:topLinePunct w:val="0"/>
                    <w:bidi w:val="0"/>
                    <w:textAlignment w:val="auto"/>
                    <w:rPr>
                      <w:rFonts w:hint="default" w:ascii="Times New Roman" w:hAnsi="Times New Roman" w:cs="Times New Roman"/>
                      <w:b/>
                      <w:bCs/>
                      <w:color w:val="auto"/>
                    </w:rPr>
                  </w:pPr>
                  <w:r>
                    <w:rPr>
                      <w:rFonts w:hint="default" w:ascii="Times New Roman" w:hAnsi="Times New Roman" w:cs="Times New Roman"/>
                      <w:b/>
                      <w:bCs/>
                      <w:color w:val="auto"/>
                    </w:rPr>
                    <w:t>主要危险物质</w:t>
                  </w:r>
                </w:p>
              </w:tc>
              <w:tc>
                <w:tcPr>
                  <w:tcW w:w="1621" w:type="dxa"/>
                  <w:vAlign w:val="center"/>
                </w:tcPr>
                <w:p w14:paraId="5B4718D6">
                  <w:pPr>
                    <w:pStyle w:val="33"/>
                    <w:keepNext w:val="0"/>
                    <w:pageBreakBefore w:val="0"/>
                    <w:kinsoku/>
                    <w:wordWrap w:val="0"/>
                    <w:overflowPunct/>
                    <w:topLinePunct w:val="0"/>
                    <w:bidi w:val="0"/>
                    <w:textAlignment w:val="auto"/>
                    <w:rPr>
                      <w:rFonts w:hint="default" w:ascii="Times New Roman" w:hAnsi="Times New Roman" w:cs="Times New Roman"/>
                      <w:b/>
                      <w:bCs/>
                      <w:color w:val="auto"/>
                    </w:rPr>
                  </w:pPr>
                  <w:r>
                    <w:rPr>
                      <w:rFonts w:hint="default" w:ascii="Times New Roman" w:hAnsi="Times New Roman" w:cs="Times New Roman"/>
                      <w:b/>
                      <w:bCs/>
                      <w:color w:val="auto"/>
                    </w:rPr>
                    <w:t>环境风险类型</w:t>
                  </w:r>
                </w:p>
              </w:tc>
              <w:tc>
                <w:tcPr>
                  <w:tcW w:w="1597" w:type="dxa"/>
                  <w:vAlign w:val="center"/>
                </w:tcPr>
                <w:p w14:paraId="1F47BDB0">
                  <w:pPr>
                    <w:pStyle w:val="33"/>
                    <w:keepNext w:val="0"/>
                    <w:pageBreakBefore w:val="0"/>
                    <w:kinsoku/>
                    <w:wordWrap w:val="0"/>
                    <w:overflowPunct/>
                    <w:topLinePunct w:val="0"/>
                    <w:bidi w:val="0"/>
                    <w:textAlignment w:val="auto"/>
                    <w:rPr>
                      <w:rFonts w:hint="default" w:ascii="Times New Roman" w:hAnsi="Times New Roman" w:cs="Times New Roman"/>
                      <w:b/>
                      <w:bCs/>
                      <w:color w:val="auto"/>
                    </w:rPr>
                  </w:pPr>
                  <w:r>
                    <w:rPr>
                      <w:rFonts w:hint="default" w:ascii="Times New Roman" w:hAnsi="Times New Roman" w:cs="Times New Roman"/>
                      <w:b/>
                      <w:bCs/>
                      <w:color w:val="auto"/>
                    </w:rPr>
                    <w:t>环境影响途径</w:t>
                  </w:r>
                </w:p>
              </w:tc>
              <w:tc>
                <w:tcPr>
                  <w:tcW w:w="727" w:type="dxa"/>
                  <w:vAlign w:val="center"/>
                </w:tcPr>
                <w:p w14:paraId="35938C1A">
                  <w:pPr>
                    <w:pStyle w:val="33"/>
                    <w:keepNext w:val="0"/>
                    <w:pageBreakBefore w:val="0"/>
                    <w:kinsoku/>
                    <w:wordWrap w:val="0"/>
                    <w:overflowPunct/>
                    <w:topLinePunct w:val="0"/>
                    <w:bidi w:val="0"/>
                    <w:textAlignment w:val="auto"/>
                    <w:rPr>
                      <w:rFonts w:hint="default" w:ascii="Times New Roman" w:hAnsi="Times New Roman" w:cs="Times New Roman"/>
                      <w:b/>
                      <w:bCs/>
                      <w:color w:val="auto"/>
                    </w:rPr>
                  </w:pPr>
                  <w:r>
                    <w:rPr>
                      <w:rFonts w:hint="default" w:ascii="Times New Roman" w:hAnsi="Times New Roman" w:cs="Times New Roman"/>
                      <w:b/>
                      <w:bCs/>
                      <w:color w:val="auto"/>
                    </w:rPr>
                    <w:t>备注</w:t>
                  </w:r>
                </w:p>
              </w:tc>
            </w:tr>
            <w:tr w14:paraId="1EDF0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vAlign w:val="center"/>
                </w:tcPr>
                <w:p w14:paraId="38EDC6A1">
                  <w:pPr>
                    <w:pStyle w:val="33"/>
                    <w:keepNext w:val="0"/>
                    <w:pageBreakBefore w:val="0"/>
                    <w:kinsoku/>
                    <w:wordWrap w:val="0"/>
                    <w:overflowPunct/>
                    <w:topLinePunct w:val="0"/>
                    <w:bidi w:val="0"/>
                    <w:textAlignment w:val="auto"/>
                    <w:rPr>
                      <w:rFonts w:hint="default" w:ascii="Times New Roman" w:hAnsi="Times New Roman" w:cs="Times New Roman"/>
                      <w:color w:val="auto"/>
                    </w:rPr>
                  </w:pPr>
                  <w:r>
                    <w:rPr>
                      <w:rFonts w:hint="default" w:ascii="Times New Roman" w:hAnsi="Times New Roman" w:cs="Times New Roman"/>
                      <w:color w:val="auto"/>
                    </w:rPr>
                    <w:t>1</w:t>
                  </w:r>
                </w:p>
              </w:tc>
              <w:tc>
                <w:tcPr>
                  <w:tcW w:w="961" w:type="dxa"/>
                  <w:vAlign w:val="center"/>
                </w:tcPr>
                <w:p w14:paraId="2C6D46E9">
                  <w:pPr>
                    <w:pStyle w:val="33"/>
                    <w:keepNext w:val="0"/>
                    <w:pageBreakBefore w:val="0"/>
                    <w:kinsoku/>
                    <w:wordWrap w:val="0"/>
                    <w:overflowPunct/>
                    <w:topLinePunct w:val="0"/>
                    <w:bidi w:val="0"/>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危废暂存间</w:t>
                  </w:r>
                </w:p>
              </w:tc>
              <w:tc>
                <w:tcPr>
                  <w:tcW w:w="976" w:type="dxa"/>
                  <w:vAlign w:val="center"/>
                </w:tcPr>
                <w:p w14:paraId="068DCF86">
                  <w:pPr>
                    <w:pStyle w:val="33"/>
                    <w:keepNext w:val="0"/>
                    <w:pageBreakBefore w:val="0"/>
                    <w:kinsoku/>
                    <w:wordWrap w:val="0"/>
                    <w:overflowPunct/>
                    <w:topLinePunct w:val="0"/>
                    <w:bidi w:val="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废机油</w:t>
                  </w:r>
                </w:p>
              </w:tc>
              <w:tc>
                <w:tcPr>
                  <w:tcW w:w="1650" w:type="dxa"/>
                  <w:vAlign w:val="center"/>
                </w:tcPr>
                <w:p w14:paraId="12A8E897">
                  <w:pPr>
                    <w:pStyle w:val="33"/>
                    <w:keepNext w:val="0"/>
                    <w:pageBreakBefore w:val="0"/>
                    <w:kinsoku/>
                    <w:wordWrap w:val="0"/>
                    <w:overflowPunct/>
                    <w:topLinePunct w:val="0"/>
                    <w:bidi w:val="0"/>
                    <w:textAlignment w:val="auto"/>
                    <w:rPr>
                      <w:rFonts w:hint="default" w:ascii="Times New Roman" w:hAnsi="Times New Roman" w:cs="Times New Roman"/>
                    </w:rPr>
                  </w:pPr>
                  <w:r>
                    <w:rPr>
                      <w:rFonts w:hint="default" w:ascii="Times New Roman" w:hAnsi="Times New Roman" w:cs="Times New Roman"/>
                      <w:lang w:val="en-US" w:eastAsia="zh-CN"/>
                    </w:rPr>
                    <w:t>废机油</w:t>
                  </w:r>
                </w:p>
              </w:tc>
              <w:tc>
                <w:tcPr>
                  <w:tcW w:w="1621" w:type="dxa"/>
                  <w:vAlign w:val="center"/>
                </w:tcPr>
                <w:p w14:paraId="5B114BD6">
                  <w:pPr>
                    <w:pStyle w:val="33"/>
                    <w:keepNext w:val="0"/>
                    <w:pageBreakBefore w:val="0"/>
                    <w:kinsoku/>
                    <w:wordWrap w:val="0"/>
                    <w:overflowPunct/>
                    <w:topLinePunct w:val="0"/>
                    <w:bidi w:val="0"/>
                    <w:textAlignment w:val="auto"/>
                    <w:rPr>
                      <w:rFonts w:hint="default" w:ascii="Times New Roman" w:hAnsi="Times New Roman" w:cs="Times New Roman"/>
                    </w:rPr>
                  </w:pPr>
                  <w:r>
                    <w:rPr>
                      <w:rFonts w:hint="default" w:ascii="Times New Roman" w:hAnsi="Times New Roman" w:cs="Times New Roman"/>
                    </w:rPr>
                    <w:t>泄漏，火灾、爆炸引发伴生/次生污染物排放</w:t>
                  </w:r>
                </w:p>
              </w:tc>
              <w:tc>
                <w:tcPr>
                  <w:tcW w:w="1597" w:type="dxa"/>
                  <w:vAlign w:val="center"/>
                </w:tcPr>
                <w:p w14:paraId="503D3D08">
                  <w:pPr>
                    <w:pStyle w:val="33"/>
                    <w:keepNext w:val="0"/>
                    <w:pageBreakBefore w:val="0"/>
                    <w:kinsoku/>
                    <w:wordWrap w:val="0"/>
                    <w:overflowPunct/>
                    <w:topLinePunct w:val="0"/>
                    <w:bidi w:val="0"/>
                    <w:textAlignment w:val="auto"/>
                    <w:rPr>
                      <w:rFonts w:hint="default" w:ascii="Times New Roman" w:hAnsi="Times New Roman" w:cs="Times New Roman"/>
                    </w:rPr>
                  </w:pPr>
                  <w:r>
                    <w:rPr>
                      <w:rFonts w:hint="default" w:ascii="Times New Roman" w:hAnsi="Times New Roman" w:cs="Times New Roman"/>
                      <w:lang w:val="en-US" w:eastAsia="zh-CN"/>
                    </w:rPr>
                    <w:t>环境空气、地表水、地下水</w:t>
                  </w:r>
                </w:p>
              </w:tc>
              <w:tc>
                <w:tcPr>
                  <w:tcW w:w="727" w:type="dxa"/>
                  <w:vAlign w:val="center"/>
                </w:tcPr>
                <w:p w14:paraId="1CA63A52">
                  <w:pPr>
                    <w:pStyle w:val="33"/>
                    <w:keepNext w:val="0"/>
                    <w:pageBreakBefore w:val="0"/>
                    <w:kinsoku/>
                    <w:wordWrap w:val="0"/>
                    <w:overflowPunct/>
                    <w:topLinePunct w:val="0"/>
                    <w:bidi w:val="0"/>
                    <w:textAlignment w:val="auto"/>
                    <w:rPr>
                      <w:rFonts w:hint="default" w:ascii="Times New Roman" w:hAnsi="Times New Roman" w:cs="Times New Roman"/>
                    </w:rPr>
                  </w:pPr>
                  <w:r>
                    <w:rPr>
                      <w:rFonts w:hint="default" w:ascii="Times New Roman" w:hAnsi="Times New Roman" w:cs="Times New Roman"/>
                    </w:rPr>
                    <w:t>/</w:t>
                  </w:r>
                </w:p>
              </w:tc>
            </w:tr>
          </w:tbl>
          <w:p w14:paraId="5BC30B2B">
            <w:pPr>
              <w:pStyle w:val="34"/>
              <w:keepNext w:val="0"/>
              <w:pageBreakBefore w:val="0"/>
              <w:kinsoku/>
              <w:wordWrap w:val="0"/>
              <w:overflowPunct/>
              <w:topLinePunct w:val="0"/>
              <w:bidi w:val="0"/>
              <w:spacing w:before="120" w:beforeLines="50"/>
              <w:ind w:firstLine="480"/>
              <w:textAlignment w:val="auto"/>
              <w:rPr>
                <w:rFonts w:hint="default" w:ascii="Times New Roman" w:hAnsi="Times New Roman" w:cs="Times New Roman"/>
                <w:b/>
                <w:bCs/>
                <w:color w:val="auto"/>
              </w:rPr>
            </w:pPr>
            <w:r>
              <w:rPr>
                <w:rFonts w:hint="default" w:ascii="Times New Roman" w:hAnsi="Times New Roman" w:cs="Times New Roman"/>
                <w:b/>
                <w:bCs/>
                <w:color w:val="auto"/>
              </w:rPr>
              <w:t>（2）风险等级划分</w:t>
            </w:r>
          </w:p>
          <w:p w14:paraId="59A9C712">
            <w:pPr>
              <w:pStyle w:val="34"/>
              <w:keepNext w:val="0"/>
              <w:pageBreakBefore w:val="0"/>
              <w:kinsoku/>
              <w:wordWrap w:val="0"/>
              <w:overflowPunct/>
              <w:topLinePunct w:val="0"/>
              <w:bidi w:val="0"/>
              <w:ind w:firstLine="480"/>
              <w:textAlignment w:val="auto"/>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169-2018）附录C，计算项目所涉及的每种危险物质在厂界内的最大存在总量与其在附录B中对应临界量的比值Q。当存在多种危险物质时，按下列公式计算物质总量与其临界量比值（Q）：</w:t>
            </w:r>
          </w:p>
          <w:p w14:paraId="33C796F9">
            <w:pPr>
              <w:pStyle w:val="34"/>
              <w:keepNext w:val="0"/>
              <w:pageBreakBefore w:val="0"/>
              <w:kinsoku/>
              <w:wordWrap w:val="0"/>
              <w:overflowPunct/>
              <w:topLinePunct w:val="0"/>
              <w:bidi w:val="0"/>
              <w:ind w:firstLine="480"/>
              <w:jc w:val="center"/>
              <w:textAlignment w:val="auto"/>
              <w:rPr>
                <w:rFonts w:hint="default" w:ascii="Times New Roman" w:hAnsi="Times New Roman" w:cs="Times New Roman"/>
                <w:color w:val="auto"/>
              </w:rPr>
            </w:pPr>
            <m:oMathPara>
              <m:oMath>
                <m:r>
                  <m:rPr>
                    <m:nor/>
                    <m:sty m:val="p"/>
                  </m:rPr>
                  <w:rPr>
                    <w:rFonts w:hint="default" w:ascii="Times New Roman" w:hAnsi="Times New Roman" w:cs="Times New Roman"/>
                    <w:b w:val="0"/>
                    <w:i w:val="0"/>
                  </w:rPr>
                  <m:t>Q=</m:t>
                </m:r>
                <m:f>
                  <m:fPr>
                    <m:ctrlPr>
                      <w:rPr>
                        <w:rFonts w:hint="default" w:ascii="Cambria Math" w:hAnsi="Cambria Math" w:eastAsia="宋体" w:cs="Times New Roman"/>
                        <w:szCs w:val="22"/>
                      </w:rPr>
                    </m:ctrlPr>
                  </m:fPr>
                  <m:num>
                    <m:sSub>
                      <m:sSubPr>
                        <m:ctrlPr>
                          <w:rPr>
                            <w:rFonts w:hint="default" w:ascii="Cambria Math" w:hAnsi="Cambria Math" w:eastAsia="宋体" w:cs="Times New Roman"/>
                            <w:i/>
                            <w:szCs w:val="22"/>
                          </w:rPr>
                        </m:ctrlPr>
                      </m:sSubPr>
                      <m:e>
                        <m:r>
                          <m:rPr>
                            <m:nor/>
                          </m:rPr>
                          <w:rPr>
                            <w:rFonts w:hint="default" w:ascii="Times New Roman" w:hAnsi="Times New Roman" w:cs="Times New Roman"/>
                            <w:i/>
                          </w:rPr>
                          <m:t>q</m:t>
                        </m:r>
                        <m:ctrlPr>
                          <w:rPr>
                            <w:rFonts w:hint="default" w:ascii="Cambria Math" w:hAnsi="Cambria Math" w:eastAsia="宋体" w:cs="Times New Roman"/>
                            <w:i/>
                            <w:szCs w:val="22"/>
                          </w:rPr>
                        </m:ctrlPr>
                      </m:e>
                      <m:sub>
                        <m:r>
                          <m:rPr>
                            <m:nor/>
                            <m:sty m:val="p"/>
                          </m:rPr>
                          <w:rPr>
                            <w:rFonts w:hint="default" w:ascii="Times New Roman" w:hAnsi="Times New Roman" w:cs="Times New Roman"/>
                            <w:b w:val="0"/>
                            <w:i w:val="0"/>
                          </w:rPr>
                          <m:t>1</m:t>
                        </m:r>
                        <m:ctrlPr>
                          <w:rPr>
                            <w:rFonts w:hint="default" w:ascii="Cambria Math" w:hAnsi="Cambria Math" w:eastAsia="宋体" w:cs="Times New Roman"/>
                            <w:i/>
                            <w:szCs w:val="22"/>
                          </w:rPr>
                        </m:ctrlPr>
                      </m:sub>
                    </m:sSub>
                    <m:ctrlPr>
                      <w:rPr>
                        <w:rFonts w:hint="default" w:ascii="Cambria Math" w:hAnsi="Cambria Math" w:eastAsia="宋体" w:cs="Times New Roman"/>
                        <w:i/>
                        <w:szCs w:val="22"/>
                      </w:rPr>
                    </m:ctrlPr>
                  </m:num>
                  <m:den>
                    <m:sSub>
                      <m:sSubPr>
                        <m:ctrlPr>
                          <w:rPr>
                            <w:rFonts w:hint="default" w:ascii="Cambria Math" w:hAnsi="Cambria Math" w:eastAsia="宋体" w:cs="Times New Roman"/>
                            <w:i/>
                            <w:szCs w:val="22"/>
                          </w:rPr>
                        </m:ctrlPr>
                      </m:sSubPr>
                      <m:e>
                        <m:r>
                          <m:rPr>
                            <m:nor/>
                          </m:rPr>
                          <w:rPr>
                            <w:rFonts w:hint="default" w:ascii="Times New Roman" w:hAnsi="Times New Roman" w:cs="Times New Roman"/>
                            <w:i/>
                          </w:rPr>
                          <m:t>Q</m:t>
                        </m:r>
                        <m:ctrlPr>
                          <w:rPr>
                            <w:rFonts w:hint="default" w:ascii="Cambria Math" w:hAnsi="Cambria Math" w:eastAsia="宋体" w:cs="Times New Roman"/>
                            <w:i/>
                            <w:szCs w:val="22"/>
                          </w:rPr>
                        </m:ctrlPr>
                      </m:e>
                      <m:sub>
                        <m:r>
                          <m:rPr>
                            <m:nor/>
                            <m:sty m:val="p"/>
                          </m:rPr>
                          <w:rPr>
                            <w:rFonts w:hint="default" w:ascii="Times New Roman" w:hAnsi="Times New Roman" w:cs="Times New Roman"/>
                            <w:b w:val="0"/>
                            <w:i w:val="0"/>
                          </w:rPr>
                          <m:t>1</m:t>
                        </m:r>
                        <m:ctrlPr>
                          <w:rPr>
                            <w:rFonts w:hint="default" w:ascii="Cambria Math" w:hAnsi="Cambria Math" w:eastAsia="宋体" w:cs="Times New Roman"/>
                            <w:i/>
                            <w:szCs w:val="22"/>
                          </w:rPr>
                        </m:ctrlPr>
                      </m:sub>
                    </m:sSub>
                    <m:ctrlPr>
                      <w:rPr>
                        <w:rFonts w:hint="default" w:ascii="Cambria Math" w:hAnsi="Cambria Math" w:eastAsia="宋体" w:cs="Times New Roman"/>
                        <w:i/>
                        <w:szCs w:val="22"/>
                      </w:rPr>
                    </m:ctrlPr>
                  </m:den>
                </m:f>
                <m:r>
                  <m:rPr>
                    <m:nor/>
                    <m:sty m:val="p"/>
                  </m:rPr>
                  <w:rPr>
                    <w:rFonts w:hint="default" w:ascii="Times New Roman" w:hAnsi="Times New Roman" w:cs="Times New Roman"/>
                    <w:b w:val="0"/>
                    <w:i w:val="0"/>
                  </w:rPr>
                  <m:t>+</m:t>
                </m:r>
                <m:f>
                  <m:fPr>
                    <m:ctrlPr>
                      <w:rPr>
                        <w:rFonts w:hint="default" w:ascii="Cambria Math" w:hAnsi="Cambria Math" w:eastAsia="宋体" w:cs="Times New Roman"/>
                        <w:i/>
                        <w:szCs w:val="22"/>
                      </w:rPr>
                    </m:ctrlPr>
                  </m:fPr>
                  <m:num>
                    <m:sSub>
                      <m:sSubPr>
                        <m:ctrlPr>
                          <w:rPr>
                            <w:rFonts w:hint="default" w:ascii="Cambria Math" w:hAnsi="Cambria Math" w:eastAsia="宋体" w:cs="Times New Roman"/>
                            <w:i/>
                            <w:szCs w:val="22"/>
                          </w:rPr>
                        </m:ctrlPr>
                      </m:sSubPr>
                      <m:e>
                        <m:r>
                          <m:rPr>
                            <m:nor/>
                          </m:rPr>
                          <w:rPr>
                            <w:rFonts w:hint="default" w:ascii="Times New Roman" w:hAnsi="Times New Roman" w:cs="Times New Roman"/>
                            <w:i/>
                          </w:rPr>
                          <m:t>q</m:t>
                        </m:r>
                        <m:ctrlPr>
                          <w:rPr>
                            <w:rFonts w:hint="default" w:ascii="Cambria Math" w:hAnsi="Cambria Math" w:eastAsia="宋体" w:cs="Times New Roman"/>
                            <w:i/>
                            <w:szCs w:val="22"/>
                          </w:rPr>
                        </m:ctrlPr>
                      </m:e>
                      <m:sub>
                        <m:r>
                          <m:rPr>
                            <m:nor/>
                            <m:sty m:val="p"/>
                          </m:rPr>
                          <w:rPr>
                            <w:rFonts w:hint="default" w:ascii="Times New Roman" w:hAnsi="Times New Roman" w:cs="Times New Roman"/>
                            <w:b w:val="0"/>
                            <w:i w:val="0"/>
                          </w:rPr>
                          <m:t>2</m:t>
                        </m:r>
                        <m:ctrlPr>
                          <w:rPr>
                            <w:rFonts w:hint="default" w:ascii="Cambria Math" w:hAnsi="Cambria Math" w:eastAsia="宋体" w:cs="Times New Roman"/>
                            <w:i/>
                            <w:szCs w:val="22"/>
                          </w:rPr>
                        </m:ctrlPr>
                      </m:sub>
                    </m:sSub>
                    <m:ctrlPr>
                      <w:rPr>
                        <w:rFonts w:hint="default" w:ascii="Cambria Math" w:hAnsi="Cambria Math" w:eastAsia="宋体" w:cs="Times New Roman"/>
                        <w:i/>
                        <w:szCs w:val="22"/>
                      </w:rPr>
                    </m:ctrlPr>
                  </m:num>
                  <m:den>
                    <m:sSub>
                      <m:sSubPr>
                        <m:ctrlPr>
                          <w:rPr>
                            <w:rFonts w:hint="default" w:ascii="Cambria Math" w:hAnsi="Cambria Math" w:eastAsia="宋体" w:cs="Times New Roman"/>
                            <w:i/>
                            <w:szCs w:val="22"/>
                          </w:rPr>
                        </m:ctrlPr>
                      </m:sSubPr>
                      <m:e>
                        <m:r>
                          <m:rPr>
                            <m:nor/>
                          </m:rPr>
                          <w:rPr>
                            <w:rFonts w:hint="default" w:ascii="Times New Roman" w:hAnsi="Times New Roman" w:cs="Times New Roman"/>
                            <w:i/>
                          </w:rPr>
                          <m:t>Q</m:t>
                        </m:r>
                        <m:ctrlPr>
                          <w:rPr>
                            <w:rFonts w:hint="default" w:ascii="Cambria Math" w:hAnsi="Cambria Math" w:eastAsia="宋体" w:cs="Times New Roman"/>
                            <w:i/>
                            <w:szCs w:val="22"/>
                          </w:rPr>
                        </m:ctrlPr>
                      </m:e>
                      <m:sub>
                        <m:r>
                          <m:rPr>
                            <m:nor/>
                            <m:sty m:val="p"/>
                          </m:rPr>
                          <w:rPr>
                            <w:rFonts w:hint="default" w:ascii="Times New Roman" w:hAnsi="Times New Roman" w:cs="Times New Roman"/>
                            <w:b w:val="0"/>
                            <w:i w:val="0"/>
                          </w:rPr>
                          <m:t>2</m:t>
                        </m:r>
                        <m:ctrlPr>
                          <w:rPr>
                            <w:rFonts w:hint="default" w:ascii="Cambria Math" w:hAnsi="Cambria Math" w:eastAsia="宋体" w:cs="Times New Roman"/>
                            <w:i/>
                            <w:szCs w:val="22"/>
                          </w:rPr>
                        </m:ctrlPr>
                      </m:sub>
                    </m:sSub>
                    <m:ctrlPr>
                      <w:rPr>
                        <w:rFonts w:hint="default" w:ascii="Cambria Math" w:hAnsi="Cambria Math" w:eastAsia="宋体" w:cs="Times New Roman"/>
                        <w:i/>
                        <w:szCs w:val="22"/>
                      </w:rPr>
                    </m:ctrlPr>
                  </m:den>
                </m:f>
                <m:r>
                  <m:rPr>
                    <m:nor/>
                    <m:sty m:val="p"/>
                  </m:rPr>
                  <w:rPr>
                    <w:rFonts w:hint="default" w:ascii="Times New Roman" w:hAnsi="Times New Roman" w:cs="Times New Roman"/>
                    <w:b w:val="0"/>
                    <w:i w:val="0"/>
                  </w:rPr>
                  <m:t>+…</m:t>
                </m:r>
                <m:f>
                  <m:fPr>
                    <m:ctrlPr>
                      <w:rPr>
                        <w:rFonts w:hint="default" w:ascii="Cambria Math" w:hAnsi="Cambria Math" w:eastAsia="宋体" w:cs="Times New Roman"/>
                        <w:i/>
                        <w:szCs w:val="22"/>
                      </w:rPr>
                    </m:ctrlPr>
                  </m:fPr>
                  <m:num>
                    <m:sSub>
                      <m:sSubPr>
                        <m:ctrlPr>
                          <w:rPr>
                            <w:rFonts w:hint="default" w:ascii="Cambria Math" w:hAnsi="Cambria Math" w:eastAsia="宋体" w:cs="Times New Roman"/>
                            <w:i/>
                            <w:szCs w:val="22"/>
                          </w:rPr>
                        </m:ctrlPr>
                      </m:sSubPr>
                      <m:e>
                        <m:r>
                          <m:rPr>
                            <m:nor/>
                          </m:rPr>
                          <w:rPr>
                            <w:rFonts w:hint="default" w:ascii="Times New Roman" w:hAnsi="Times New Roman" w:cs="Times New Roman"/>
                            <w:i/>
                          </w:rPr>
                          <m:t>q</m:t>
                        </m:r>
                        <m:ctrlPr>
                          <w:rPr>
                            <w:rFonts w:hint="default" w:ascii="Cambria Math" w:hAnsi="Cambria Math" w:eastAsia="宋体" w:cs="Times New Roman"/>
                            <w:i/>
                            <w:szCs w:val="22"/>
                          </w:rPr>
                        </m:ctrlPr>
                      </m:e>
                      <m:sub>
                        <m:r>
                          <m:rPr>
                            <m:nor/>
                          </m:rPr>
                          <w:rPr>
                            <w:rFonts w:hint="default" w:ascii="Times New Roman" w:hAnsi="Times New Roman" w:cs="Times New Roman"/>
                            <w:i/>
                          </w:rPr>
                          <m:t>n</m:t>
                        </m:r>
                        <m:ctrlPr>
                          <w:rPr>
                            <w:rFonts w:hint="default" w:ascii="Cambria Math" w:hAnsi="Cambria Math" w:eastAsia="宋体" w:cs="Times New Roman"/>
                            <w:i/>
                            <w:szCs w:val="22"/>
                          </w:rPr>
                        </m:ctrlPr>
                      </m:sub>
                    </m:sSub>
                    <m:ctrlPr>
                      <w:rPr>
                        <w:rFonts w:hint="default" w:ascii="Cambria Math" w:hAnsi="Cambria Math" w:eastAsia="宋体" w:cs="Times New Roman"/>
                        <w:i/>
                        <w:szCs w:val="22"/>
                      </w:rPr>
                    </m:ctrlPr>
                  </m:num>
                  <m:den>
                    <m:sSub>
                      <m:sSubPr>
                        <m:ctrlPr>
                          <w:rPr>
                            <w:rFonts w:hint="default" w:ascii="Cambria Math" w:hAnsi="Cambria Math" w:eastAsia="宋体" w:cs="Times New Roman"/>
                            <w:i/>
                            <w:szCs w:val="22"/>
                          </w:rPr>
                        </m:ctrlPr>
                      </m:sSubPr>
                      <m:e>
                        <m:r>
                          <m:rPr>
                            <m:nor/>
                          </m:rPr>
                          <w:rPr>
                            <w:rFonts w:hint="default" w:ascii="Times New Roman" w:hAnsi="Times New Roman" w:cs="Times New Roman"/>
                            <w:i/>
                          </w:rPr>
                          <m:t>Q</m:t>
                        </m:r>
                        <m:ctrlPr>
                          <w:rPr>
                            <w:rFonts w:hint="default" w:ascii="Cambria Math" w:hAnsi="Cambria Math" w:eastAsia="宋体" w:cs="Times New Roman"/>
                            <w:i/>
                            <w:szCs w:val="22"/>
                          </w:rPr>
                        </m:ctrlPr>
                      </m:e>
                      <m:sub>
                        <m:r>
                          <m:rPr>
                            <m:nor/>
                          </m:rPr>
                          <w:rPr>
                            <w:rFonts w:hint="default" w:ascii="Times New Roman" w:hAnsi="Times New Roman" w:cs="Times New Roman"/>
                            <w:i/>
                          </w:rPr>
                          <m:t>n</m:t>
                        </m:r>
                        <m:ctrlPr>
                          <w:rPr>
                            <w:rFonts w:hint="default" w:ascii="Cambria Math" w:hAnsi="Cambria Math" w:eastAsia="宋体" w:cs="Times New Roman"/>
                            <w:i/>
                            <w:szCs w:val="22"/>
                          </w:rPr>
                        </m:ctrlPr>
                      </m:sub>
                    </m:sSub>
                    <m:ctrlPr>
                      <w:rPr>
                        <w:rFonts w:hint="default" w:ascii="Cambria Math" w:hAnsi="Cambria Math" w:eastAsia="宋体" w:cs="Times New Roman"/>
                        <w:i/>
                        <w:szCs w:val="22"/>
                      </w:rPr>
                    </m:ctrlPr>
                  </m:den>
                </m:f>
              </m:oMath>
            </m:oMathPara>
          </w:p>
          <w:p w14:paraId="7DD9B1B5">
            <w:pPr>
              <w:pStyle w:val="34"/>
              <w:keepNext w:val="0"/>
              <w:pageBreakBefore w:val="0"/>
              <w:kinsoku/>
              <w:wordWrap w:val="0"/>
              <w:overflowPunct/>
              <w:topLinePunct w:val="0"/>
              <w:bidi w:val="0"/>
              <w:ind w:firstLine="480"/>
              <w:textAlignment w:val="auto"/>
              <w:rPr>
                <w:rFonts w:hint="default" w:ascii="Times New Roman" w:hAnsi="Times New Roman" w:cs="Times New Roman"/>
                <w:color w:val="auto"/>
              </w:rPr>
            </w:pPr>
            <w:r>
              <w:rPr>
                <w:rFonts w:hint="default" w:ascii="Times New Roman" w:hAnsi="Times New Roman" w:cs="Times New Roman"/>
                <w:color w:val="auto"/>
              </w:rPr>
              <w:t>式中：q</w:t>
            </w:r>
            <w:r>
              <w:rPr>
                <w:rFonts w:hint="default" w:ascii="Times New Roman" w:hAnsi="Times New Roman" w:cs="Times New Roman"/>
                <w:color w:val="auto"/>
                <w:vertAlign w:val="subscript"/>
              </w:rPr>
              <w:t>1</w:t>
            </w:r>
            <w:r>
              <w:rPr>
                <w:rFonts w:hint="default" w:ascii="Times New Roman" w:hAnsi="Times New Roman" w:cs="Times New Roman"/>
                <w:color w:val="auto"/>
              </w:rPr>
              <w:t>，q</w:t>
            </w:r>
            <w:r>
              <w:rPr>
                <w:rFonts w:hint="default" w:ascii="Times New Roman" w:hAnsi="Times New Roman" w:cs="Times New Roman"/>
                <w:color w:val="auto"/>
                <w:vertAlign w:val="subscript"/>
              </w:rPr>
              <w:t>2</w:t>
            </w:r>
            <w:r>
              <w:rPr>
                <w:rFonts w:hint="default" w:ascii="Times New Roman" w:hAnsi="Times New Roman" w:cs="Times New Roman"/>
                <w:color w:val="auto"/>
              </w:rPr>
              <w:t>，q</w:t>
            </w:r>
            <w:r>
              <w:rPr>
                <w:rFonts w:hint="default" w:ascii="Times New Roman" w:hAnsi="Times New Roman" w:cs="Times New Roman"/>
                <w:color w:val="auto"/>
                <w:vertAlign w:val="subscript"/>
              </w:rPr>
              <w:t>n</w:t>
            </w:r>
            <w:r>
              <w:rPr>
                <w:rFonts w:hint="default" w:ascii="Times New Roman" w:hAnsi="Times New Roman" w:cs="Times New Roman"/>
                <w:color w:val="auto"/>
              </w:rPr>
              <w:t>——每种危险物质的最大存在总量，t；</w:t>
            </w:r>
          </w:p>
          <w:p w14:paraId="067F2B7C">
            <w:pPr>
              <w:pStyle w:val="34"/>
              <w:keepNext w:val="0"/>
              <w:pageBreakBefore w:val="0"/>
              <w:kinsoku/>
              <w:wordWrap w:val="0"/>
              <w:overflowPunct/>
              <w:topLinePunct w:val="0"/>
              <w:bidi w:val="0"/>
              <w:ind w:firstLine="1200" w:firstLineChars="500"/>
              <w:textAlignment w:val="auto"/>
              <w:rPr>
                <w:rFonts w:hint="default" w:ascii="Times New Roman" w:hAnsi="Times New Roman" w:cs="Times New Roman"/>
                <w:color w:val="auto"/>
              </w:rPr>
            </w:pPr>
            <w:r>
              <w:rPr>
                <w:rFonts w:hint="default" w:ascii="Times New Roman" w:hAnsi="Times New Roman" w:cs="Times New Roman"/>
                <w:color w:val="auto"/>
              </w:rPr>
              <w:t>Q</w:t>
            </w:r>
            <w:r>
              <w:rPr>
                <w:rFonts w:hint="default" w:ascii="Times New Roman" w:hAnsi="Times New Roman" w:cs="Times New Roman"/>
                <w:color w:val="auto"/>
                <w:vertAlign w:val="subscript"/>
              </w:rPr>
              <w:t>1</w:t>
            </w:r>
            <w:r>
              <w:rPr>
                <w:rFonts w:hint="default" w:ascii="Times New Roman" w:hAnsi="Times New Roman" w:cs="Times New Roman"/>
                <w:color w:val="auto"/>
              </w:rPr>
              <w:t>，Q</w:t>
            </w:r>
            <w:r>
              <w:rPr>
                <w:rFonts w:hint="default" w:ascii="Times New Roman" w:hAnsi="Times New Roman" w:cs="Times New Roman"/>
                <w:color w:val="auto"/>
                <w:vertAlign w:val="subscript"/>
              </w:rPr>
              <w:t>2</w:t>
            </w:r>
            <w:r>
              <w:rPr>
                <w:rFonts w:hint="default" w:ascii="Times New Roman" w:hAnsi="Times New Roman" w:cs="Times New Roman"/>
                <w:color w:val="auto"/>
              </w:rPr>
              <w:t>，Q</w:t>
            </w:r>
            <w:r>
              <w:rPr>
                <w:rFonts w:hint="default" w:ascii="Times New Roman" w:hAnsi="Times New Roman" w:cs="Times New Roman"/>
                <w:color w:val="auto"/>
                <w:vertAlign w:val="subscript"/>
              </w:rPr>
              <w:t>n</w:t>
            </w:r>
            <w:r>
              <w:rPr>
                <w:rFonts w:hint="default" w:ascii="Times New Roman" w:hAnsi="Times New Roman" w:cs="Times New Roman"/>
                <w:color w:val="auto"/>
              </w:rPr>
              <w:t>——每种危险物质的临界量，t；</w:t>
            </w:r>
          </w:p>
          <w:p w14:paraId="7D1EA163">
            <w:pPr>
              <w:pStyle w:val="34"/>
              <w:keepNext w:val="0"/>
              <w:pageBreakBefore w:val="0"/>
              <w:kinsoku/>
              <w:wordWrap w:val="0"/>
              <w:overflowPunct/>
              <w:topLinePunct w:val="0"/>
              <w:bidi w:val="0"/>
              <w:ind w:firstLine="480"/>
              <w:textAlignment w:val="auto"/>
              <w:rPr>
                <w:rFonts w:hint="default" w:ascii="Times New Roman" w:hAnsi="Times New Roman" w:cs="Times New Roman"/>
                <w:color w:val="auto"/>
              </w:rPr>
            </w:pPr>
            <w:r>
              <w:rPr>
                <w:rFonts w:hint="default" w:ascii="Times New Roman" w:hAnsi="Times New Roman" w:cs="Times New Roman"/>
                <w:color w:val="auto"/>
              </w:rPr>
              <w:t>当Q＜1时，该项目的风险潜势为I。</w:t>
            </w:r>
          </w:p>
          <w:p w14:paraId="08E8B502">
            <w:pPr>
              <w:pStyle w:val="34"/>
              <w:keepNext w:val="0"/>
              <w:pageBreakBefore w:val="0"/>
              <w:kinsoku/>
              <w:wordWrap w:val="0"/>
              <w:overflowPunct/>
              <w:topLinePunct w:val="0"/>
              <w:bidi w:val="0"/>
              <w:ind w:firstLine="480"/>
              <w:textAlignment w:val="auto"/>
              <w:rPr>
                <w:rFonts w:hint="default" w:ascii="Times New Roman" w:hAnsi="Times New Roman" w:cs="Times New Roman"/>
                <w:color w:val="auto"/>
              </w:rPr>
            </w:pPr>
            <w:r>
              <w:rPr>
                <w:rFonts w:hint="default" w:ascii="Times New Roman" w:hAnsi="Times New Roman" w:cs="Times New Roman"/>
                <w:color w:val="auto"/>
              </w:rPr>
              <w:t>当Q≥1时，将Q值划分为：（1）1≤Q＜10；（2）10≤Q＜100；（3）Q≥10。</w:t>
            </w:r>
          </w:p>
          <w:p w14:paraId="51068B47">
            <w:pPr>
              <w:pStyle w:val="34"/>
              <w:keepNext w:val="0"/>
              <w:pageBreakBefore w:val="0"/>
              <w:kinsoku/>
              <w:wordWrap w:val="0"/>
              <w:overflowPunct/>
              <w:topLinePunct w:val="0"/>
              <w:bidi w:val="0"/>
              <w:ind w:firstLine="480"/>
              <w:textAlignment w:val="auto"/>
              <w:rPr>
                <w:rFonts w:hint="default" w:ascii="Times New Roman" w:hAnsi="Times New Roman" w:cs="Times New Roman"/>
                <w:color w:val="auto"/>
                <w:lang w:val="en-US"/>
              </w:rPr>
            </w:pPr>
            <w:r>
              <w:rPr>
                <w:rFonts w:hint="default" w:ascii="Times New Roman" w:hAnsi="Times New Roman" w:cs="Times New Roman"/>
                <w:color w:val="auto"/>
              </w:rPr>
              <w:t>本项目根据此公式得出：</w:t>
            </w:r>
            <w:r>
              <w:rPr>
                <w:rFonts w:hint="default" w:ascii="Times New Roman" w:hAnsi="Times New Roman" w:cs="Times New Roman"/>
                <w:color w:val="auto"/>
                <w:highlight w:val="none"/>
              </w:rPr>
              <w:t>Q=</w:t>
            </w:r>
            <w:r>
              <w:rPr>
                <w:rFonts w:hint="default" w:ascii="Times New Roman" w:hAnsi="Times New Roman" w:cs="Times New Roman"/>
                <w:color w:val="auto"/>
                <w:highlight w:val="none"/>
                <w:lang w:val="en-US" w:eastAsia="zh-CN"/>
              </w:rPr>
              <w:t>0.2/2500</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0.00008</w:t>
            </w:r>
          </w:p>
          <w:p w14:paraId="1354B575">
            <w:pPr>
              <w:pStyle w:val="34"/>
              <w:keepNext w:val="0"/>
              <w:pageBreakBefore w:val="0"/>
              <w:kinsoku/>
              <w:wordWrap w:val="0"/>
              <w:overflowPunct/>
              <w:topLinePunct w:val="0"/>
              <w:bidi w:val="0"/>
              <w:textAlignment w:val="auto"/>
              <w:rPr>
                <w:rFonts w:hint="default" w:ascii="Times New Roman" w:hAnsi="Times New Roman" w:cs="Times New Roman"/>
                <w:color w:val="auto"/>
                <w:lang w:eastAsia="zh-CN"/>
              </w:rPr>
            </w:pPr>
            <w:r>
              <w:rPr>
                <w:rFonts w:hint="default" w:ascii="Times New Roman" w:hAnsi="Times New Roman" w:cs="Times New Roman"/>
                <w:color w:val="auto"/>
              </w:rPr>
              <w:t>本项目Q＜1，因此本项目环境风险潜势为I，环境风险评价简单分析即可</w:t>
            </w:r>
            <w:r>
              <w:rPr>
                <w:rFonts w:hint="default" w:ascii="Times New Roman" w:hAnsi="Times New Roman" w:cs="Times New Roman"/>
                <w:color w:val="auto"/>
                <w:lang w:eastAsia="zh-CN"/>
              </w:rPr>
              <w:t>。</w:t>
            </w:r>
          </w:p>
          <w:p w14:paraId="1E2EE442">
            <w:pPr>
              <w:pStyle w:val="34"/>
              <w:keepNext w:val="0"/>
              <w:pageBreakBefore w:val="0"/>
              <w:kinsoku/>
              <w:wordWrap w:val="0"/>
              <w:overflowPunct/>
              <w:topLinePunct w:val="0"/>
              <w:bidi w:val="0"/>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（3）环境风险识别</w:t>
            </w:r>
          </w:p>
          <w:p w14:paraId="148D5674">
            <w:pPr>
              <w:keepNext w:val="0"/>
              <w:pageBreakBefore w:val="0"/>
              <w:kinsoku/>
              <w:wordWrap w:val="0"/>
              <w:overflowPunct/>
              <w:topLinePunct w:val="0"/>
              <w:bidi w:val="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根据《建设项目环境风险评价技术导则》（HJ169-2018），结合项目区实际情况分析，项目环境风险主要为危险物质泄漏风险。</w:t>
            </w:r>
          </w:p>
          <w:p w14:paraId="3991DCCE">
            <w:pPr>
              <w:keepNext w:val="0"/>
              <w:pageBreakBefore w:val="0"/>
              <w:kinsoku/>
              <w:wordWrap w:val="0"/>
              <w:overflowPunct/>
              <w:topLinePunct w:val="0"/>
              <w:bidi w:val="0"/>
              <w:textAlignment w:val="auto"/>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①物质危险性识别</w:t>
            </w:r>
          </w:p>
          <w:p w14:paraId="3345A4EE">
            <w:pPr>
              <w:keepNext w:val="0"/>
              <w:pageBreakBefore w:val="0"/>
              <w:kinsoku/>
              <w:wordWrap w:val="0"/>
              <w:overflowPunct/>
              <w:topLinePunct w:val="0"/>
              <w:bidi w:val="0"/>
              <w:textAlignment w:val="auto"/>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根据《建设项目环境风险评价技术导则》（HJ169-2018）附录B，本项目存在危险性的主要物质为危废暂存间的废机油，最大储存量为0.2t，主要的理化性质见下表。</w:t>
            </w:r>
          </w:p>
          <w:p w14:paraId="796C81D0">
            <w:pPr>
              <w:pStyle w:val="29"/>
              <w:keepNext w:val="0"/>
              <w:pageBreakBefore w:val="0"/>
              <w:kinsoku/>
              <w:wordWrap w:val="0"/>
              <w:overflowPunct/>
              <w:topLinePunct w:val="0"/>
              <w:bidi w:val="0"/>
              <w:textAlignment w:val="auto"/>
              <w:rPr>
                <w:rFonts w:hint="default" w:ascii="Times New Roman" w:hAnsi="Times New Roman" w:eastAsia="宋体" w:cs="Times New Roman"/>
                <w:b/>
                <w:bCs/>
                <w:color w:val="auto"/>
                <w:highlight w:val="none"/>
                <w:u w:val="none" w:color="auto"/>
                <w:lang w:val="en-US" w:eastAsia="zh-CN"/>
              </w:rPr>
            </w:pPr>
            <w:r>
              <w:rPr>
                <w:rFonts w:hint="default" w:ascii="Times New Roman" w:hAnsi="Times New Roman" w:eastAsia="宋体" w:cs="Times New Roman"/>
                <w:b/>
                <w:bCs/>
                <w:color w:val="auto"/>
                <w:highlight w:val="none"/>
                <w:u w:val="none" w:color="auto"/>
                <w:lang w:val="en-US" w:eastAsia="zh-CN"/>
              </w:rPr>
              <w:t>表4-13  废机油理化性质及危险特性一览表</w:t>
            </w:r>
          </w:p>
          <w:tbl>
            <w:tblPr>
              <w:tblStyle w:val="23"/>
              <w:tblW w:w="80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4166"/>
              <w:gridCol w:w="1654"/>
              <w:gridCol w:w="1088"/>
            </w:tblGrid>
            <w:tr w14:paraId="3E46D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blHeader/>
                <w:jc w:val="center"/>
              </w:trPr>
              <w:tc>
                <w:tcPr>
                  <w:tcW w:w="1176" w:type="dxa"/>
                  <w:tcBorders>
                    <w:tl2br w:val="nil"/>
                    <w:tr2bl w:val="nil"/>
                  </w:tcBorders>
                  <w:vAlign w:val="center"/>
                </w:tcPr>
                <w:p w14:paraId="1F443C0C">
                  <w:pPr>
                    <w:pStyle w:val="33"/>
                    <w:keepNext w:val="0"/>
                    <w:pageBreakBefore w:val="0"/>
                    <w:kinsoku/>
                    <w:wordWrap w:val="0"/>
                    <w:overflowPunct/>
                    <w:topLinePunct w:val="0"/>
                    <w:bidi w:val="0"/>
                    <w:textAlignment w:val="auto"/>
                    <w:rPr>
                      <w:rFonts w:hint="default" w:ascii="Times New Roman" w:hAnsi="Times New Roman" w:cs="Times New Roman"/>
                      <w:b/>
                      <w:bCs/>
                      <w:color w:val="auto"/>
                    </w:rPr>
                  </w:pPr>
                  <w:r>
                    <w:rPr>
                      <w:rFonts w:hint="default" w:ascii="Times New Roman" w:hAnsi="Times New Roman" w:cs="Times New Roman"/>
                      <w:b/>
                      <w:bCs/>
                      <w:color w:val="auto"/>
                    </w:rPr>
                    <w:t>物料名称</w:t>
                  </w:r>
                </w:p>
              </w:tc>
              <w:tc>
                <w:tcPr>
                  <w:tcW w:w="4166" w:type="dxa"/>
                  <w:tcBorders>
                    <w:tl2br w:val="nil"/>
                    <w:tr2bl w:val="nil"/>
                  </w:tcBorders>
                  <w:vAlign w:val="center"/>
                </w:tcPr>
                <w:p w14:paraId="2B64F9F8">
                  <w:pPr>
                    <w:pStyle w:val="33"/>
                    <w:keepNext w:val="0"/>
                    <w:pageBreakBefore w:val="0"/>
                    <w:kinsoku/>
                    <w:wordWrap w:val="0"/>
                    <w:overflowPunct/>
                    <w:topLinePunct w:val="0"/>
                    <w:bidi w:val="0"/>
                    <w:textAlignment w:val="auto"/>
                    <w:rPr>
                      <w:rFonts w:hint="default" w:ascii="Times New Roman" w:hAnsi="Times New Roman" w:cs="Times New Roman"/>
                      <w:b/>
                      <w:bCs/>
                      <w:color w:val="auto"/>
                    </w:rPr>
                  </w:pPr>
                  <w:r>
                    <w:rPr>
                      <w:rFonts w:hint="default" w:ascii="Times New Roman" w:hAnsi="Times New Roman" w:cs="Times New Roman"/>
                      <w:b/>
                      <w:bCs/>
                      <w:color w:val="auto"/>
                    </w:rPr>
                    <w:t>理化性质</w:t>
                  </w:r>
                </w:p>
              </w:tc>
              <w:tc>
                <w:tcPr>
                  <w:tcW w:w="1654" w:type="dxa"/>
                  <w:tcBorders>
                    <w:tl2br w:val="nil"/>
                    <w:tr2bl w:val="nil"/>
                  </w:tcBorders>
                  <w:vAlign w:val="center"/>
                </w:tcPr>
                <w:p w14:paraId="239A222C">
                  <w:pPr>
                    <w:pStyle w:val="33"/>
                    <w:keepNext w:val="0"/>
                    <w:pageBreakBefore w:val="0"/>
                    <w:kinsoku/>
                    <w:wordWrap w:val="0"/>
                    <w:overflowPunct/>
                    <w:topLinePunct w:val="0"/>
                    <w:bidi w:val="0"/>
                    <w:textAlignment w:val="auto"/>
                    <w:rPr>
                      <w:rFonts w:hint="default" w:ascii="Times New Roman" w:hAnsi="Times New Roman" w:cs="Times New Roman"/>
                      <w:b/>
                      <w:bCs/>
                      <w:color w:val="auto"/>
                    </w:rPr>
                  </w:pPr>
                  <w:r>
                    <w:rPr>
                      <w:rFonts w:hint="default" w:ascii="Times New Roman" w:hAnsi="Times New Roman" w:cs="Times New Roman"/>
                      <w:b/>
                      <w:bCs/>
                      <w:color w:val="auto"/>
                    </w:rPr>
                    <w:t>危险特性</w:t>
                  </w:r>
                </w:p>
              </w:tc>
              <w:tc>
                <w:tcPr>
                  <w:tcW w:w="1088" w:type="dxa"/>
                  <w:tcBorders>
                    <w:tl2br w:val="nil"/>
                    <w:tr2bl w:val="nil"/>
                  </w:tcBorders>
                  <w:vAlign w:val="center"/>
                </w:tcPr>
                <w:p w14:paraId="7120E650">
                  <w:pPr>
                    <w:pStyle w:val="33"/>
                    <w:keepNext w:val="0"/>
                    <w:pageBreakBefore w:val="0"/>
                    <w:kinsoku/>
                    <w:wordWrap w:val="0"/>
                    <w:overflowPunct/>
                    <w:topLinePunct w:val="0"/>
                    <w:bidi w:val="0"/>
                    <w:textAlignment w:val="auto"/>
                    <w:rPr>
                      <w:rFonts w:hint="default" w:ascii="Times New Roman" w:hAnsi="Times New Roman" w:cs="Times New Roman"/>
                      <w:b/>
                      <w:bCs/>
                      <w:color w:val="auto"/>
                    </w:rPr>
                  </w:pPr>
                  <w:r>
                    <w:rPr>
                      <w:rFonts w:hint="default" w:ascii="Times New Roman" w:hAnsi="Times New Roman" w:cs="Times New Roman"/>
                      <w:b/>
                      <w:bCs/>
                      <w:color w:val="auto"/>
                    </w:rPr>
                    <w:t>毒理性质</w:t>
                  </w:r>
                </w:p>
              </w:tc>
            </w:tr>
            <w:tr w14:paraId="01377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76" w:type="dxa"/>
                  <w:tcBorders>
                    <w:tl2br w:val="nil"/>
                    <w:tr2bl w:val="nil"/>
                  </w:tcBorders>
                  <w:vAlign w:val="center"/>
                </w:tcPr>
                <w:p w14:paraId="743E68D3">
                  <w:pPr>
                    <w:pStyle w:val="33"/>
                    <w:keepNext w:val="0"/>
                    <w:pageBreakBefore w:val="0"/>
                    <w:kinsoku/>
                    <w:wordWrap w:val="0"/>
                    <w:overflowPunct/>
                    <w:topLinePunct w:val="0"/>
                    <w:bidi w:val="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废机油</w:t>
                  </w:r>
                </w:p>
              </w:tc>
              <w:tc>
                <w:tcPr>
                  <w:tcW w:w="4166" w:type="dxa"/>
                  <w:tcBorders>
                    <w:tl2br w:val="nil"/>
                    <w:tr2bl w:val="nil"/>
                  </w:tcBorders>
                  <w:vAlign w:val="center"/>
                </w:tcPr>
                <w:p w14:paraId="0098B841">
                  <w:pPr>
                    <w:pStyle w:val="33"/>
                    <w:keepNext w:val="0"/>
                    <w:pageBreakBefore w:val="0"/>
                    <w:kinsoku/>
                    <w:wordWrap w:val="0"/>
                    <w:overflowPunct/>
                    <w:topLinePunct w:val="0"/>
                    <w:bidi w:val="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油状液体，淡黄色至褐色，无气味或略带异味，相对密度0.87，沸点260℃，闪点200-220℃，自燃点248℃。</w:t>
                  </w:r>
                </w:p>
              </w:tc>
              <w:tc>
                <w:tcPr>
                  <w:tcW w:w="1654" w:type="dxa"/>
                  <w:tcBorders>
                    <w:tl2br w:val="nil"/>
                    <w:tr2bl w:val="nil"/>
                  </w:tcBorders>
                  <w:vAlign w:val="center"/>
                </w:tcPr>
                <w:p w14:paraId="54F67F66">
                  <w:pPr>
                    <w:pStyle w:val="33"/>
                    <w:keepNext w:val="0"/>
                    <w:pageBreakBefore w:val="0"/>
                    <w:kinsoku/>
                    <w:wordWrap w:val="0"/>
                    <w:overflowPunct/>
                    <w:topLinePunct w:val="0"/>
                    <w:bidi w:val="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可燃液体，遇明火、高热可燃。</w:t>
                  </w:r>
                </w:p>
              </w:tc>
              <w:tc>
                <w:tcPr>
                  <w:tcW w:w="1088" w:type="dxa"/>
                  <w:tcBorders>
                    <w:tl2br w:val="nil"/>
                    <w:tr2bl w:val="nil"/>
                  </w:tcBorders>
                  <w:vAlign w:val="center"/>
                </w:tcPr>
                <w:p w14:paraId="33FBFDBF">
                  <w:pPr>
                    <w:pStyle w:val="33"/>
                    <w:keepNext w:val="0"/>
                    <w:pageBreakBefore w:val="0"/>
                    <w:kinsoku/>
                    <w:wordWrap w:val="0"/>
                    <w:overflowPunct/>
                    <w:topLinePunct w:val="0"/>
                    <w:bidi w:val="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w:t>
                  </w:r>
                </w:p>
              </w:tc>
            </w:tr>
          </w:tbl>
          <w:p w14:paraId="1677D78D">
            <w:pPr>
              <w:keepNext w:val="0"/>
              <w:pageBreakBefore w:val="0"/>
              <w:widowControl/>
              <w:kinsoku/>
              <w:wordWrap w:val="0"/>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u w:val="none"/>
              </w:rPr>
            </w:pPr>
            <w:r>
              <w:rPr>
                <w:rFonts w:hint="default" w:ascii="Times New Roman" w:hAnsi="Times New Roman" w:cs="Times New Roman"/>
                <w:color w:val="auto"/>
                <w:sz w:val="24"/>
                <w:u w:val="none"/>
              </w:rPr>
              <w:t>②环境影响途径</w:t>
            </w:r>
          </w:p>
          <w:p w14:paraId="4DFBB4DD">
            <w:pPr>
              <w:keepNext w:val="0"/>
              <w:pageBreakBefore w:val="0"/>
              <w:widowControl/>
              <w:kinsoku/>
              <w:wordWrap w:val="0"/>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u w:val="none"/>
              </w:rPr>
            </w:pPr>
            <w:r>
              <w:rPr>
                <w:rFonts w:hint="default" w:ascii="Times New Roman" w:hAnsi="Times New Roman" w:cs="Times New Roman"/>
                <w:color w:val="auto"/>
                <w:sz w:val="24"/>
                <w:u w:val="none"/>
              </w:rPr>
              <w:t>根据项目物质危险性识别，本项目危险物质在事故情形下对环境的影响途径主要是废机油泄漏及遇明火发生火灾情形下通过大气对周围环境产生影响。</w:t>
            </w:r>
          </w:p>
          <w:p w14:paraId="47655B5D">
            <w:pPr>
              <w:keepNext w:val="0"/>
              <w:pageBreakBefore w:val="0"/>
              <w:numPr>
                <w:ilvl w:val="0"/>
                <w:numId w:val="0"/>
              </w:numPr>
              <w:kinsoku/>
              <w:wordWrap w:val="0"/>
              <w:overflowPunct/>
              <w:topLinePunct w:val="0"/>
              <w:bidi w:val="0"/>
              <w:ind w:left="0" w:leftChars="0" w:firstLine="482" w:firstLineChars="200"/>
              <w:textAlignment w:val="auto"/>
              <w:rPr>
                <w:rFonts w:hint="default" w:ascii="Times New Roman" w:hAnsi="Times New Roman" w:cs="Times New Roman"/>
                <w:b/>
                <w:bCs/>
                <w:color w:val="auto"/>
                <w:highlight w:val="none"/>
                <w:u w:val="none"/>
                <w:lang w:val="en-US" w:eastAsia="zh-CN"/>
              </w:rPr>
            </w:pPr>
            <w:r>
              <w:rPr>
                <w:rFonts w:hint="default" w:ascii="Times New Roman" w:hAnsi="Times New Roman" w:eastAsia="宋体" w:cs="Times New Roman"/>
                <w:b/>
                <w:bCs/>
                <w:color w:val="auto"/>
                <w:kern w:val="2"/>
                <w:sz w:val="24"/>
                <w:szCs w:val="24"/>
                <w:u w:val="none"/>
                <w:lang w:val="en-US" w:eastAsia="zh-CN" w:bidi="ar-SA"/>
              </w:rPr>
              <w:t>（</w:t>
            </w:r>
            <w:r>
              <w:rPr>
                <w:rFonts w:hint="default" w:ascii="Times New Roman" w:hAnsi="Times New Roman" w:cs="Times New Roman"/>
                <w:b/>
                <w:bCs/>
                <w:color w:val="auto"/>
                <w:kern w:val="2"/>
                <w:sz w:val="24"/>
                <w:szCs w:val="24"/>
                <w:u w:val="none"/>
                <w:lang w:val="en-US" w:eastAsia="zh-CN" w:bidi="ar-SA"/>
              </w:rPr>
              <w:t>4</w:t>
            </w:r>
            <w:r>
              <w:rPr>
                <w:rFonts w:hint="default" w:ascii="Times New Roman" w:hAnsi="Times New Roman" w:eastAsia="宋体" w:cs="Times New Roman"/>
                <w:b/>
                <w:bCs/>
                <w:color w:val="auto"/>
                <w:kern w:val="2"/>
                <w:sz w:val="24"/>
                <w:szCs w:val="24"/>
                <w:u w:val="none"/>
                <w:lang w:val="en-US" w:eastAsia="zh-CN" w:bidi="ar-SA"/>
              </w:rPr>
              <w:t>）</w:t>
            </w:r>
            <w:r>
              <w:rPr>
                <w:rFonts w:hint="default" w:ascii="Times New Roman" w:hAnsi="Times New Roman" w:cs="Times New Roman"/>
                <w:b/>
                <w:bCs/>
                <w:color w:val="auto"/>
                <w:highlight w:val="none"/>
                <w:u w:val="none"/>
                <w:lang w:val="en-US" w:eastAsia="zh-CN"/>
              </w:rPr>
              <w:t>环境风险分析</w:t>
            </w:r>
          </w:p>
          <w:p w14:paraId="5F4482E2">
            <w:pPr>
              <w:keepNext w:val="0"/>
              <w:pageBreakBefore w:val="0"/>
              <w:widowControl/>
              <w:kinsoku/>
              <w:wordWrap w:val="0"/>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u w:val="none"/>
                <w:lang w:val="en-US" w:eastAsia="zh-CN"/>
              </w:rPr>
            </w:pPr>
            <w:r>
              <w:rPr>
                <w:rFonts w:hint="default" w:ascii="Times New Roman" w:hAnsi="Times New Roman" w:cs="Times New Roman"/>
                <w:color w:val="auto"/>
                <w:sz w:val="24"/>
                <w:u w:val="none"/>
              </w:rPr>
              <w:t>项目对地表水、地下水、土壤环境的风险影响主要是废机油泄露、火灾爆炸产生的次生污染物。当发生泄露后，会通过项目区地表入渗，随着时间的推移，造成区域土壤和地下水的污染。</w:t>
            </w:r>
          </w:p>
          <w:p w14:paraId="5AD230F7">
            <w:pPr>
              <w:keepNext w:val="0"/>
              <w:pageBreakBefore w:val="0"/>
              <w:kinsoku/>
              <w:wordWrap w:val="0"/>
              <w:overflowPunct/>
              <w:topLinePunct w:val="0"/>
              <w:bidi w:val="0"/>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（5）环境风险防范措施</w:t>
            </w:r>
          </w:p>
          <w:p w14:paraId="148446AC">
            <w:pPr>
              <w:keepNext w:val="0"/>
              <w:pageBreakBefore w:val="0"/>
              <w:kinsoku/>
              <w:wordWrap w:val="0"/>
              <w:overflowPunct/>
              <w:topLinePunct w:val="0"/>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A、</w:t>
            </w:r>
            <w:r>
              <w:rPr>
                <w:rFonts w:hint="default" w:ascii="Times New Roman" w:hAnsi="Times New Roman" w:cs="Times New Roman"/>
                <w:color w:val="auto"/>
                <w:sz w:val="24"/>
              </w:rPr>
              <w:t>加强公司职工的教育培训，增强职工风险意识，提高事故自救能力，制定各种安全管理、安全生产规程，以减少人为风险事故的发生。</w:t>
            </w:r>
          </w:p>
          <w:p w14:paraId="3507694A">
            <w:pPr>
              <w:keepNext w:val="0"/>
              <w:pageBreakBefore w:val="0"/>
              <w:kinsoku/>
              <w:wordWrap w:val="0"/>
              <w:overflowPunct/>
              <w:topLinePunct w:val="0"/>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B、</w:t>
            </w:r>
            <w:r>
              <w:rPr>
                <w:rFonts w:hint="default" w:ascii="Times New Roman" w:hAnsi="Times New Roman" w:cs="Times New Roman"/>
                <w:color w:val="auto"/>
                <w:sz w:val="24"/>
              </w:rPr>
              <w:t>储存间应按有关消防部门的规范要求进行设计和防范，并应对储存间的地面及四壁做防腐防渗处理。</w:t>
            </w:r>
          </w:p>
          <w:p w14:paraId="17567F07">
            <w:pPr>
              <w:keepNext w:val="0"/>
              <w:pageBreakBefore w:val="0"/>
              <w:kinsoku/>
              <w:wordWrap w:val="0"/>
              <w:overflowPunct/>
              <w:topLinePunct w:val="0"/>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C、</w:t>
            </w:r>
            <w:r>
              <w:rPr>
                <w:rFonts w:hint="default" w:ascii="Times New Roman" w:hAnsi="Times New Roman" w:cs="Times New Roman"/>
                <w:color w:val="auto"/>
                <w:sz w:val="24"/>
              </w:rPr>
              <w:t>消防通道和建筑物耐火等级应满足消防要求，在危险物品和油料储存间存放区设立警告标志；并在火灾危险场所设置报警装置。</w:t>
            </w:r>
          </w:p>
          <w:p w14:paraId="31099FBB">
            <w:pPr>
              <w:keepNext w:val="0"/>
              <w:pageBreakBefore w:val="0"/>
              <w:kinsoku/>
              <w:wordWrap w:val="0"/>
              <w:overflowPunct/>
              <w:topLinePunct w:val="0"/>
              <w:bidi w:val="0"/>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D、</w:t>
            </w:r>
            <w:r>
              <w:rPr>
                <w:rFonts w:hint="default" w:ascii="Times New Roman" w:hAnsi="Times New Roman" w:cs="Times New Roman"/>
                <w:color w:val="auto"/>
                <w:sz w:val="24"/>
              </w:rPr>
              <w:t>危险废物采取在厂区集中统一收集，设专用危险废物暂存间；分类存放，危险废物暂存间严格按</w:t>
            </w:r>
            <w:r>
              <w:rPr>
                <w:rFonts w:hint="default" w:ascii="Times New Roman" w:hAnsi="Times New Roman" w:cs="Times New Roman"/>
                <w:color w:val="auto"/>
                <w:highlight w:val="none"/>
              </w:rPr>
              <w:t>《危险废物贮存污染控制标准》（GB18597-20</w:t>
            </w:r>
            <w:r>
              <w:rPr>
                <w:rFonts w:hint="default" w:ascii="Times New Roman" w:hAnsi="Times New Roman" w:cs="Times New Roman"/>
                <w:color w:val="auto"/>
                <w:highlight w:val="none"/>
                <w:lang w:val="en-US" w:eastAsia="zh-CN"/>
              </w:rPr>
              <w:t>23</w:t>
            </w:r>
            <w:r>
              <w:rPr>
                <w:rFonts w:hint="default" w:ascii="Times New Roman" w:hAnsi="Times New Roman" w:cs="Times New Roman"/>
                <w:color w:val="auto"/>
                <w:highlight w:val="none"/>
              </w:rPr>
              <w:t>）</w:t>
            </w:r>
            <w:r>
              <w:rPr>
                <w:rFonts w:hint="default" w:ascii="Times New Roman" w:hAnsi="Times New Roman" w:cs="Times New Roman"/>
                <w:color w:val="auto"/>
                <w:sz w:val="24"/>
              </w:rPr>
              <w:t>及其修改单中的要求进行防渗</w:t>
            </w:r>
            <w:r>
              <w:rPr>
                <w:rFonts w:hint="default" w:ascii="Times New Roman" w:hAnsi="Times New Roman" w:cs="Times New Roman"/>
                <w:color w:val="auto"/>
                <w:sz w:val="24"/>
                <w:lang w:eastAsia="zh-CN"/>
              </w:rPr>
              <w:t>。</w:t>
            </w:r>
          </w:p>
          <w:p w14:paraId="2DC8725B">
            <w:pPr>
              <w:keepNext w:val="0"/>
              <w:pageBreakBefore w:val="0"/>
              <w:kinsoku/>
              <w:wordWrap w:val="0"/>
              <w:overflowPunct/>
              <w:topLinePunct w:val="0"/>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E、</w:t>
            </w:r>
            <w:r>
              <w:rPr>
                <w:rFonts w:hint="default" w:ascii="Times New Roman" w:hAnsi="Times New Roman" w:cs="Times New Roman"/>
                <w:color w:val="auto"/>
                <w:sz w:val="24"/>
              </w:rPr>
              <w:t>设有专用的存储间、危险废物存储间，分类收集存放。</w:t>
            </w:r>
          </w:p>
          <w:p w14:paraId="22D6F754">
            <w:pPr>
              <w:keepNext w:val="0"/>
              <w:pageBreakBefore w:val="0"/>
              <w:kinsoku/>
              <w:wordWrap w:val="0"/>
              <w:overflowPunct/>
              <w:topLinePunct w:val="0"/>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F、</w:t>
            </w:r>
            <w:r>
              <w:rPr>
                <w:rFonts w:hint="default" w:ascii="Times New Roman" w:hAnsi="Times New Roman" w:cs="Times New Roman"/>
                <w:color w:val="auto"/>
                <w:sz w:val="24"/>
              </w:rPr>
              <w:t>按照《建筑灭火器配置设计规范》（GBJ140-2005）规定，配置相应的灭火器类型（干粉灭火器等）与数量；严禁区域内有明火出现。</w:t>
            </w:r>
          </w:p>
          <w:p w14:paraId="1C10D771">
            <w:pPr>
              <w:keepNext w:val="0"/>
              <w:pageBreakBefore w:val="0"/>
              <w:widowControl/>
              <w:kinsoku/>
              <w:wordWrap w:val="0"/>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u w:val="none"/>
              </w:rPr>
            </w:pPr>
            <w:r>
              <w:rPr>
                <w:rFonts w:hint="default" w:ascii="Times New Roman" w:hAnsi="Times New Roman" w:cs="Times New Roman"/>
                <w:color w:val="auto"/>
                <w:sz w:val="24"/>
                <w:lang w:val="en-US" w:eastAsia="zh-CN"/>
              </w:rPr>
              <w:t>G、</w:t>
            </w:r>
            <w:r>
              <w:rPr>
                <w:rFonts w:hint="default" w:ascii="Times New Roman" w:hAnsi="Times New Roman" w:cs="Times New Roman"/>
                <w:color w:val="auto"/>
                <w:sz w:val="24"/>
              </w:rPr>
              <w:t>应</w:t>
            </w:r>
            <w:r>
              <w:rPr>
                <w:rFonts w:hint="default" w:ascii="Times New Roman" w:hAnsi="Times New Roman" w:cs="Times New Roman"/>
                <w:color w:val="auto"/>
                <w:sz w:val="24"/>
                <w:lang w:eastAsia="zh-CN"/>
              </w:rPr>
              <w:t>制定</w:t>
            </w:r>
            <w:r>
              <w:rPr>
                <w:rFonts w:hint="default" w:ascii="Times New Roman" w:hAnsi="Times New Roman" w:cs="Times New Roman"/>
                <w:color w:val="auto"/>
                <w:sz w:val="24"/>
              </w:rPr>
              <w:t>发生事故时迅速撤离泄漏污染区人员至安全区的方案，一旦发生事故，则要根据具体情况采取应急措施，切断泄漏源、火源，控制事故扩大，立即报警，采取遏制泄漏物进入环境的紧急措施。</w:t>
            </w:r>
            <w:r>
              <w:rPr>
                <w:rFonts w:hint="default" w:ascii="Times New Roman" w:hAnsi="Times New Roman" w:cs="Times New Roman"/>
                <w:color w:val="auto"/>
                <w:sz w:val="24"/>
                <w:u w:val="none"/>
              </w:rPr>
              <w:t>项目应编制突发环境事件应急预案。</w:t>
            </w:r>
          </w:p>
          <w:p w14:paraId="08AF8F7B">
            <w:pPr>
              <w:keepNext w:val="0"/>
              <w:pageBreakBefore w:val="0"/>
              <w:kinsoku/>
              <w:wordWrap w:val="0"/>
              <w:overflowPunct/>
              <w:topLinePunct w:val="0"/>
              <w:bidi w:val="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（6）环境风险事故应急预案</w:t>
            </w:r>
          </w:p>
          <w:p w14:paraId="73B2D85E">
            <w:pPr>
              <w:keepNext w:val="0"/>
              <w:pageBreakBefore w:val="0"/>
              <w:kinsoku/>
              <w:wordWrap w:val="0"/>
              <w:overflowPunct/>
              <w:topLinePunct w:val="0"/>
              <w:bidi w:val="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项目应急预案的主要内容可参考下表。</w:t>
            </w:r>
          </w:p>
          <w:p w14:paraId="0BFB323C">
            <w:pPr>
              <w:pStyle w:val="29"/>
              <w:keepNext w:val="0"/>
              <w:pageBreakBefore w:val="0"/>
              <w:kinsoku/>
              <w:wordWrap w:val="0"/>
              <w:overflowPunct/>
              <w:topLinePunct w:val="0"/>
              <w:bidi w:val="0"/>
              <w:textAlignment w:val="auto"/>
              <w:rPr>
                <w:rFonts w:hint="default" w:ascii="Times New Roman" w:hAnsi="Times New Roman" w:eastAsia="宋体" w:cs="Times New Roman"/>
                <w:b/>
                <w:bCs/>
                <w:color w:val="auto"/>
                <w:highlight w:val="none"/>
                <w:u w:val="none" w:color="auto"/>
                <w:lang w:val="en-US" w:eastAsia="zh-CN"/>
              </w:rPr>
            </w:pPr>
            <w:r>
              <w:rPr>
                <w:rFonts w:hint="default" w:ascii="Times New Roman" w:hAnsi="Times New Roman" w:eastAsia="宋体" w:cs="Times New Roman"/>
                <w:b/>
                <w:bCs/>
                <w:color w:val="auto"/>
                <w:highlight w:val="none"/>
                <w:u w:val="none" w:color="auto"/>
                <w:lang w:val="en-US" w:eastAsia="zh-CN"/>
              </w:rPr>
              <w:t>表4-</w:t>
            </w:r>
            <w:r>
              <w:rPr>
                <w:rFonts w:hint="eastAsia" w:eastAsia="宋体" w:cs="Times New Roman"/>
                <w:b/>
                <w:bCs/>
                <w:color w:val="auto"/>
                <w:highlight w:val="none"/>
                <w:u w:val="none" w:color="auto"/>
                <w:lang w:val="en-US" w:eastAsia="zh-CN"/>
              </w:rPr>
              <w:t>14</w:t>
            </w:r>
            <w:r>
              <w:rPr>
                <w:rFonts w:hint="default" w:ascii="Times New Roman" w:hAnsi="Times New Roman" w:eastAsia="宋体" w:cs="Times New Roman"/>
                <w:b/>
                <w:bCs/>
                <w:color w:val="auto"/>
                <w:highlight w:val="none"/>
                <w:u w:val="none" w:color="auto"/>
                <w:lang w:val="en-US" w:eastAsia="zh-CN"/>
              </w:rPr>
              <w:t xml:space="preserve">  应急预案内容</w:t>
            </w:r>
          </w:p>
          <w:tbl>
            <w:tblPr>
              <w:tblStyle w:val="23"/>
              <w:tblW w:w="8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2226"/>
              <w:gridCol w:w="5149"/>
            </w:tblGrid>
            <w:tr w14:paraId="3CB15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782" w:type="dxa"/>
                  <w:vAlign w:val="center"/>
                </w:tcPr>
                <w:p w14:paraId="78134AD5">
                  <w:pPr>
                    <w:pStyle w:val="33"/>
                    <w:keepNext w:val="0"/>
                    <w:pageBreakBefore w:val="0"/>
                    <w:kinsoku/>
                    <w:wordWrap w:val="0"/>
                    <w:overflowPunct/>
                    <w:topLinePunct w:val="0"/>
                    <w:bidi w:val="0"/>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序号</w:t>
                  </w:r>
                </w:p>
              </w:tc>
              <w:tc>
                <w:tcPr>
                  <w:tcW w:w="2226" w:type="dxa"/>
                  <w:vAlign w:val="center"/>
                </w:tcPr>
                <w:p w14:paraId="6258C822">
                  <w:pPr>
                    <w:pStyle w:val="33"/>
                    <w:keepNext w:val="0"/>
                    <w:pageBreakBefore w:val="0"/>
                    <w:kinsoku/>
                    <w:wordWrap w:val="0"/>
                    <w:overflowPunct/>
                    <w:topLinePunct w:val="0"/>
                    <w:bidi w:val="0"/>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项目</w:t>
                  </w:r>
                </w:p>
              </w:tc>
              <w:tc>
                <w:tcPr>
                  <w:tcW w:w="5149" w:type="dxa"/>
                  <w:vAlign w:val="center"/>
                </w:tcPr>
                <w:p w14:paraId="2E6C0654">
                  <w:pPr>
                    <w:pStyle w:val="33"/>
                    <w:keepNext w:val="0"/>
                    <w:pageBreakBefore w:val="0"/>
                    <w:kinsoku/>
                    <w:wordWrap w:val="0"/>
                    <w:overflowPunct/>
                    <w:topLinePunct w:val="0"/>
                    <w:bidi w:val="0"/>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内容及要求</w:t>
                  </w:r>
                </w:p>
              </w:tc>
            </w:tr>
            <w:tr w14:paraId="7B164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82" w:type="dxa"/>
                  <w:vAlign w:val="center"/>
                </w:tcPr>
                <w:p w14:paraId="2FBC375E">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2226" w:type="dxa"/>
                  <w:vAlign w:val="center"/>
                </w:tcPr>
                <w:p w14:paraId="60997CAA">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应急计划区</w:t>
                  </w:r>
                </w:p>
              </w:tc>
              <w:tc>
                <w:tcPr>
                  <w:tcW w:w="5149" w:type="dxa"/>
                  <w:vAlign w:val="center"/>
                </w:tcPr>
                <w:p w14:paraId="1D0581CF">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生产区、库房、环境保护目标等</w:t>
                  </w:r>
                </w:p>
              </w:tc>
            </w:tr>
            <w:tr w14:paraId="5BE4B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82" w:type="dxa"/>
                  <w:vAlign w:val="center"/>
                </w:tcPr>
                <w:p w14:paraId="76F1CB2D">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2226" w:type="dxa"/>
                  <w:vAlign w:val="center"/>
                </w:tcPr>
                <w:p w14:paraId="02BADC18">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应急组织机构、人员</w:t>
                  </w:r>
                </w:p>
              </w:tc>
              <w:tc>
                <w:tcPr>
                  <w:tcW w:w="5149" w:type="dxa"/>
                  <w:vAlign w:val="center"/>
                </w:tcPr>
                <w:p w14:paraId="033CE9B4">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工厂、地区应急组织机构、人员</w:t>
                  </w:r>
                </w:p>
              </w:tc>
            </w:tr>
            <w:tr w14:paraId="5493E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82" w:type="dxa"/>
                  <w:vAlign w:val="center"/>
                </w:tcPr>
                <w:p w14:paraId="7DEED4BF">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2226" w:type="dxa"/>
                  <w:vAlign w:val="center"/>
                </w:tcPr>
                <w:p w14:paraId="498879EA">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预案分级响应条件</w:t>
                  </w:r>
                </w:p>
              </w:tc>
              <w:tc>
                <w:tcPr>
                  <w:tcW w:w="5149" w:type="dxa"/>
                  <w:vAlign w:val="center"/>
                </w:tcPr>
                <w:p w14:paraId="7521BB26">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规定预案的级别及分级响应程序</w:t>
                  </w:r>
                </w:p>
              </w:tc>
            </w:tr>
            <w:tr w14:paraId="57AFC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2" w:type="dxa"/>
                  <w:vAlign w:val="center"/>
                </w:tcPr>
                <w:p w14:paraId="24F137CB">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2226" w:type="dxa"/>
                  <w:vAlign w:val="center"/>
                </w:tcPr>
                <w:p w14:paraId="0407D28E">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应急救援保障</w:t>
                  </w:r>
                </w:p>
              </w:tc>
              <w:tc>
                <w:tcPr>
                  <w:tcW w:w="5149" w:type="dxa"/>
                  <w:vAlign w:val="center"/>
                </w:tcPr>
                <w:p w14:paraId="68F49150">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应急设施、设备与器材等</w:t>
                  </w:r>
                </w:p>
              </w:tc>
            </w:tr>
            <w:tr w14:paraId="378CE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2" w:type="dxa"/>
                  <w:vAlign w:val="center"/>
                </w:tcPr>
                <w:p w14:paraId="658594BF">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2226" w:type="dxa"/>
                  <w:vAlign w:val="center"/>
                </w:tcPr>
                <w:p w14:paraId="7454C078">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报警、通讯联络方式</w:t>
                  </w:r>
                </w:p>
              </w:tc>
              <w:tc>
                <w:tcPr>
                  <w:tcW w:w="5149" w:type="dxa"/>
                  <w:vAlign w:val="center"/>
                </w:tcPr>
                <w:p w14:paraId="77E60278">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规定应急状态下的报警通讯方式、通知方式和交通保障、管制</w:t>
                  </w:r>
                </w:p>
              </w:tc>
            </w:tr>
            <w:tr w14:paraId="19597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82" w:type="dxa"/>
                  <w:vAlign w:val="center"/>
                </w:tcPr>
                <w:p w14:paraId="28B4DBE5">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6</w:t>
                  </w:r>
                </w:p>
              </w:tc>
              <w:tc>
                <w:tcPr>
                  <w:tcW w:w="2226" w:type="dxa"/>
                  <w:vAlign w:val="center"/>
                </w:tcPr>
                <w:p w14:paraId="41CFB978">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应急环境监测、抢险、救援及控制措施</w:t>
                  </w:r>
                </w:p>
              </w:tc>
              <w:tc>
                <w:tcPr>
                  <w:tcW w:w="5149" w:type="dxa"/>
                  <w:vAlign w:val="center"/>
                </w:tcPr>
                <w:p w14:paraId="3CB9FDDD">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由专业队伍负责对事故现场进行侦察监测，对事故性质、参数与后果进行评估，为指挥部门提供决策依据</w:t>
                  </w:r>
                </w:p>
              </w:tc>
            </w:tr>
            <w:tr w14:paraId="10AAA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2" w:type="dxa"/>
                  <w:vAlign w:val="center"/>
                </w:tcPr>
                <w:p w14:paraId="08B01795">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7</w:t>
                  </w:r>
                </w:p>
              </w:tc>
              <w:tc>
                <w:tcPr>
                  <w:tcW w:w="2226" w:type="dxa"/>
                  <w:vAlign w:val="center"/>
                </w:tcPr>
                <w:p w14:paraId="006A64EC">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应急检测、防护措施、清除泄露措施和器材</w:t>
                  </w:r>
                </w:p>
              </w:tc>
              <w:tc>
                <w:tcPr>
                  <w:tcW w:w="5149" w:type="dxa"/>
                  <w:vAlign w:val="center"/>
                </w:tcPr>
                <w:p w14:paraId="5AEC3107">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事故现场、邻近区域、控制防火区域，控制和清除污染措施及相应设备</w:t>
                  </w:r>
                </w:p>
              </w:tc>
            </w:tr>
            <w:tr w14:paraId="1401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2" w:type="dxa"/>
                  <w:vAlign w:val="center"/>
                </w:tcPr>
                <w:p w14:paraId="6F15F93D">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8</w:t>
                  </w:r>
                </w:p>
              </w:tc>
              <w:tc>
                <w:tcPr>
                  <w:tcW w:w="2226" w:type="dxa"/>
                  <w:vAlign w:val="center"/>
                </w:tcPr>
                <w:p w14:paraId="792FC44E">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人员紧急撤离、疏散，应急剂量控制、撤离组织计划</w:t>
                  </w:r>
                </w:p>
              </w:tc>
              <w:tc>
                <w:tcPr>
                  <w:tcW w:w="5149" w:type="dxa"/>
                  <w:vAlign w:val="center"/>
                </w:tcPr>
                <w:p w14:paraId="08B9E71F">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事故现场、工厂邻近区、受事故影响的区域人员及公众对毒物应急剂量控制规定、撤离组织计划及救护，医疗救护与公众健康</w:t>
                  </w:r>
                </w:p>
              </w:tc>
            </w:tr>
            <w:tr w14:paraId="6207A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82" w:type="dxa"/>
                  <w:vAlign w:val="center"/>
                </w:tcPr>
                <w:p w14:paraId="1D38806E">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9</w:t>
                  </w:r>
                </w:p>
              </w:tc>
              <w:tc>
                <w:tcPr>
                  <w:tcW w:w="2226" w:type="dxa"/>
                  <w:vAlign w:val="center"/>
                </w:tcPr>
                <w:p w14:paraId="5BEEEDB3">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事故应急救援关闭程序与恢复措施</w:t>
                  </w:r>
                </w:p>
              </w:tc>
              <w:tc>
                <w:tcPr>
                  <w:tcW w:w="5149" w:type="dxa"/>
                  <w:vAlign w:val="center"/>
                </w:tcPr>
                <w:p w14:paraId="0375FCC5">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规定应急状态终止程序事故现场善后处理，恢复措施</w:t>
                  </w:r>
                </w:p>
                <w:p w14:paraId="7BF217C5">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邻近区域解除事故警戒及善后恢复措施</w:t>
                  </w:r>
                </w:p>
              </w:tc>
            </w:tr>
            <w:tr w14:paraId="35683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82" w:type="dxa"/>
                  <w:vAlign w:val="center"/>
                </w:tcPr>
                <w:p w14:paraId="4D2F0D20">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2226" w:type="dxa"/>
                  <w:vAlign w:val="center"/>
                </w:tcPr>
                <w:p w14:paraId="23F42765">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应急培训计划</w:t>
                  </w:r>
                </w:p>
              </w:tc>
              <w:tc>
                <w:tcPr>
                  <w:tcW w:w="5149" w:type="dxa"/>
                  <w:vAlign w:val="center"/>
                </w:tcPr>
                <w:p w14:paraId="730F3E50">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应急计划制定后，平时安排人员培训与演练</w:t>
                  </w:r>
                </w:p>
              </w:tc>
            </w:tr>
            <w:tr w14:paraId="247FF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82" w:type="dxa"/>
                  <w:vAlign w:val="center"/>
                </w:tcPr>
                <w:p w14:paraId="4825429A">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11</w:t>
                  </w:r>
                </w:p>
              </w:tc>
              <w:tc>
                <w:tcPr>
                  <w:tcW w:w="2226" w:type="dxa"/>
                  <w:vAlign w:val="center"/>
                </w:tcPr>
                <w:p w14:paraId="7EDB5263">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公众教育和信息</w:t>
                  </w:r>
                </w:p>
              </w:tc>
              <w:tc>
                <w:tcPr>
                  <w:tcW w:w="5149" w:type="dxa"/>
                  <w:vAlign w:val="center"/>
                </w:tcPr>
                <w:p w14:paraId="64AF2700">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对工厂邻近地区展开公众教育、培训和发布有关信息</w:t>
                  </w:r>
                </w:p>
              </w:tc>
              <w:bookmarkStart w:id="11" w:name="_Toc339919437"/>
              <w:bookmarkStart w:id="12" w:name="_Toc326403764"/>
              <w:bookmarkStart w:id="13" w:name="_Toc318925636"/>
              <w:bookmarkStart w:id="14" w:name="_Toc325438461"/>
            </w:tr>
            <w:bookmarkEnd w:id="11"/>
            <w:bookmarkEnd w:id="12"/>
            <w:bookmarkEnd w:id="13"/>
            <w:bookmarkEnd w:id="14"/>
          </w:tbl>
          <w:p w14:paraId="613B6B32">
            <w:pPr>
              <w:keepNext w:val="0"/>
              <w:pageBreakBefore w:val="0"/>
              <w:kinsoku/>
              <w:wordWrap w:val="0"/>
              <w:overflowPunct/>
              <w:topLinePunct w:val="0"/>
              <w:bidi w:val="0"/>
              <w:textAlignment w:val="auto"/>
              <w:rPr>
                <w:rFonts w:hint="default" w:ascii="Times New Roman" w:hAnsi="Times New Roman" w:cs="Times New Roman"/>
                <w:b/>
                <w:bCs/>
                <w:color w:val="auto"/>
                <w:highlight w:val="none"/>
                <w:u w:val="none"/>
              </w:rPr>
            </w:pPr>
            <w:r>
              <w:rPr>
                <w:rFonts w:hint="default" w:ascii="Times New Roman" w:hAnsi="Times New Roman" w:cs="Times New Roman"/>
                <w:b/>
                <w:bCs/>
                <w:color w:val="auto"/>
                <w:highlight w:val="none"/>
                <w:u w:val="none"/>
              </w:rPr>
              <w:t>（</w:t>
            </w:r>
            <w:r>
              <w:rPr>
                <w:rFonts w:hint="default" w:ascii="Times New Roman" w:hAnsi="Times New Roman" w:cs="Times New Roman"/>
                <w:b/>
                <w:bCs/>
                <w:color w:val="auto"/>
                <w:highlight w:val="none"/>
                <w:u w:val="none"/>
                <w:lang w:val="en-US" w:eastAsia="zh-CN"/>
              </w:rPr>
              <w:t>7</w:t>
            </w:r>
            <w:r>
              <w:rPr>
                <w:rFonts w:hint="default" w:ascii="Times New Roman" w:hAnsi="Times New Roman" w:cs="Times New Roman"/>
                <w:b/>
                <w:bCs/>
                <w:color w:val="auto"/>
                <w:highlight w:val="none"/>
                <w:u w:val="none"/>
              </w:rPr>
              <w:t>）风险分析小结</w:t>
            </w:r>
          </w:p>
          <w:p w14:paraId="6FD45DE7">
            <w:pPr>
              <w:keepNext w:val="0"/>
              <w:pageBreakBefore w:val="0"/>
              <w:kinsoku/>
              <w:wordWrap w:val="0"/>
              <w:overflowPunct/>
              <w:topLinePunct w:val="0"/>
              <w:bidi w:val="0"/>
              <w:textAlignment w:val="auto"/>
              <w:rPr>
                <w:rFonts w:hint="default" w:ascii="Times New Roman" w:hAnsi="Times New Roman" w:cs="Times New Roman"/>
                <w:color w:val="auto"/>
                <w:u w:val="none"/>
                <w:lang w:val="en-US" w:eastAsia="zh-CN"/>
              </w:rPr>
            </w:pPr>
            <w:r>
              <w:rPr>
                <w:rFonts w:hint="default" w:ascii="Times New Roman" w:hAnsi="Times New Roman" w:cs="Times New Roman"/>
                <w:color w:val="auto"/>
                <w:highlight w:val="none"/>
                <w:u w:val="none"/>
              </w:rPr>
              <w:t>项目风险事故主要</w:t>
            </w:r>
            <w:r>
              <w:rPr>
                <w:rFonts w:hint="default" w:ascii="Times New Roman" w:hAnsi="Times New Roman" w:cs="Times New Roman"/>
                <w:color w:val="auto"/>
                <w:highlight w:val="none"/>
                <w:u w:val="none"/>
                <w:lang w:val="en-US" w:eastAsia="zh-CN"/>
              </w:rPr>
              <w:t>废机油</w:t>
            </w:r>
            <w:r>
              <w:rPr>
                <w:rFonts w:hint="default" w:ascii="Times New Roman" w:hAnsi="Times New Roman" w:cs="Times New Roman"/>
                <w:color w:val="auto"/>
                <w:highlight w:val="none"/>
                <w:u w:val="none"/>
              </w:rPr>
              <w:t>泄漏发生火灾和爆炸事故，严格按照国家的有关技术标准、规范进行设计和实施，并落实本报告提出的风险防范措施及应急措施，则项目所涉及的风险影响因素、风险危害程度为同行业可接受的水平，风险事故一旦发生，也可以将环境危害降到最低水平。</w:t>
            </w:r>
          </w:p>
          <w:p w14:paraId="5893791E">
            <w:pPr>
              <w:pStyle w:val="12"/>
              <w:keepNext w:val="0"/>
              <w:pageBreakBefore w:val="0"/>
              <w:kinsoku/>
              <w:wordWrap w:val="0"/>
              <w:overflowPunct/>
              <w:topLinePunct w:val="0"/>
              <w:bidi w:val="0"/>
              <w:textAlignment w:val="auto"/>
              <w:rPr>
                <w:rFonts w:hint="default" w:ascii="Times New Roman" w:hAnsi="Times New Roman" w:cs="Times New Roman"/>
                <w:lang w:val="en-US" w:eastAsia="zh-CN"/>
              </w:rPr>
            </w:pPr>
          </w:p>
          <w:p w14:paraId="04E55A34">
            <w:pPr>
              <w:keepNext w:val="0"/>
              <w:pageBreakBefore w:val="0"/>
              <w:kinsoku/>
              <w:wordWrap w:val="0"/>
              <w:overflowPunct/>
              <w:topLinePunct w:val="0"/>
              <w:bidi w:val="0"/>
              <w:textAlignment w:val="auto"/>
              <w:rPr>
                <w:rFonts w:hint="default" w:ascii="Times New Roman" w:hAnsi="Times New Roman" w:cs="Times New Roman"/>
                <w:lang w:val="en-US" w:eastAsia="zh-CN"/>
              </w:rPr>
            </w:pPr>
          </w:p>
          <w:p w14:paraId="7F6A0653">
            <w:pPr>
              <w:pStyle w:val="12"/>
              <w:keepNext w:val="0"/>
              <w:pageBreakBefore w:val="0"/>
              <w:kinsoku/>
              <w:wordWrap w:val="0"/>
              <w:overflowPunct/>
              <w:topLinePunct w:val="0"/>
              <w:bidi w:val="0"/>
              <w:textAlignment w:val="auto"/>
              <w:rPr>
                <w:rFonts w:hint="default" w:ascii="Times New Roman" w:hAnsi="Times New Roman" w:cs="Times New Roman"/>
                <w:lang w:val="en-US" w:eastAsia="zh-CN"/>
              </w:rPr>
            </w:pPr>
          </w:p>
        </w:tc>
      </w:tr>
    </w:tbl>
    <w:p w14:paraId="662A0D2E">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02F6C9D">
      <w:pPr>
        <w:pStyle w:val="2"/>
        <w:bidi w:val="0"/>
        <w:rPr>
          <w:rFonts w:hint="default"/>
          <w:lang w:val="en-US" w:eastAsia="zh-CN"/>
        </w:rPr>
      </w:pPr>
      <w:bookmarkStart w:id="15" w:name="_Toc19091"/>
      <w:r>
        <w:rPr>
          <w:rFonts w:hint="default"/>
          <w:lang w:val="en-US" w:eastAsia="zh-CN"/>
        </w:rPr>
        <w:t>五、环境保护措施监督检查清单</w:t>
      </w:r>
      <w:bookmarkEnd w:id="15"/>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1665"/>
        <w:gridCol w:w="1590"/>
        <w:gridCol w:w="1995"/>
        <w:gridCol w:w="2146"/>
      </w:tblGrid>
      <w:tr w14:paraId="6FA74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tcBorders>
              <w:tl2br w:val="single" w:color="auto" w:sz="4" w:space="0"/>
            </w:tcBorders>
            <w:vAlign w:val="center"/>
          </w:tcPr>
          <w:p w14:paraId="3F81CE23">
            <w:pPr>
              <w:pStyle w:val="33"/>
              <w:keepNext w:val="0"/>
              <w:keepLines w:val="0"/>
              <w:pageBreakBefore w:val="0"/>
              <w:widowControl w:val="0"/>
              <w:kinsoku/>
              <w:wordWrap/>
              <w:overflowPunct/>
              <w:topLinePunct w:val="0"/>
              <w:autoSpaceDE/>
              <w:autoSpaceDN/>
              <w:bidi w:val="0"/>
              <w:adjustRightInd w:val="0"/>
              <w:snapToGrid w:val="0"/>
              <w:jc w:val="right"/>
              <w:textAlignment w:val="auto"/>
              <w:rPr>
                <w:rFonts w:hint="eastAsia"/>
                <w:b/>
                <w:bCs/>
                <w:lang w:val="en-US" w:eastAsia="zh-CN"/>
              </w:rPr>
            </w:pPr>
            <w:r>
              <w:rPr>
                <w:rFonts w:hint="eastAsia"/>
                <w:b/>
                <w:bCs/>
                <w:lang w:val="en-US" w:eastAsia="zh-CN"/>
              </w:rPr>
              <w:t>内容</w:t>
            </w:r>
          </w:p>
          <w:p w14:paraId="159F4D2D">
            <w:pPr>
              <w:pStyle w:val="33"/>
              <w:keepNext w:val="0"/>
              <w:keepLines w:val="0"/>
              <w:pageBreakBefore w:val="0"/>
              <w:widowControl w:val="0"/>
              <w:kinsoku/>
              <w:wordWrap/>
              <w:overflowPunct/>
              <w:topLinePunct w:val="0"/>
              <w:autoSpaceDE/>
              <w:autoSpaceDN/>
              <w:bidi w:val="0"/>
              <w:adjustRightInd w:val="0"/>
              <w:snapToGrid w:val="0"/>
              <w:jc w:val="left"/>
              <w:textAlignment w:val="auto"/>
              <w:rPr>
                <w:rFonts w:hint="default"/>
                <w:b/>
                <w:bCs/>
                <w:lang w:val="en-US" w:eastAsia="zh-CN"/>
              </w:rPr>
            </w:pPr>
            <w:r>
              <w:rPr>
                <w:rFonts w:hint="eastAsia"/>
                <w:b/>
                <w:bCs/>
                <w:lang w:val="en-US" w:eastAsia="zh-CN"/>
              </w:rPr>
              <w:t>要素</w:t>
            </w:r>
          </w:p>
        </w:tc>
        <w:tc>
          <w:tcPr>
            <w:tcW w:w="1665" w:type="dxa"/>
            <w:vAlign w:val="center"/>
          </w:tcPr>
          <w:p w14:paraId="391B424C">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b/>
                <w:bCs/>
                <w:lang w:val="en-US" w:eastAsia="zh-CN"/>
              </w:rPr>
            </w:pPr>
            <w:r>
              <w:rPr>
                <w:rFonts w:hint="default"/>
                <w:b/>
                <w:bCs/>
                <w:lang w:val="en-US" w:eastAsia="zh-CN"/>
              </w:rPr>
              <w:t>排放口</w:t>
            </w:r>
            <w:r>
              <w:rPr>
                <w:rFonts w:hint="eastAsia"/>
                <w:b/>
                <w:bCs/>
                <w:lang w:val="en-US" w:eastAsia="zh-CN"/>
              </w:rPr>
              <w:t>（</w:t>
            </w:r>
            <w:r>
              <w:rPr>
                <w:rFonts w:hint="default"/>
                <w:b/>
                <w:bCs/>
                <w:lang w:val="en-US" w:eastAsia="zh-CN"/>
              </w:rPr>
              <w:t>编号、名称</w:t>
            </w:r>
            <w:r>
              <w:rPr>
                <w:rFonts w:hint="eastAsia"/>
                <w:b/>
                <w:bCs/>
                <w:lang w:val="en-US" w:eastAsia="zh-CN"/>
              </w:rPr>
              <w:t>）</w:t>
            </w:r>
            <w:r>
              <w:rPr>
                <w:rFonts w:hint="default"/>
                <w:b/>
                <w:bCs/>
                <w:lang w:val="en-US" w:eastAsia="zh-CN"/>
              </w:rPr>
              <w:t>/污染源</w:t>
            </w:r>
          </w:p>
        </w:tc>
        <w:tc>
          <w:tcPr>
            <w:tcW w:w="1590" w:type="dxa"/>
            <w:vAlign w:val="center"/>
          </w:tcPr>
          <w:p w14:paraId="4C23DE2E">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b/>
                <w:bCs/>
                <w:lang w:val="en-US" w:eastAsia="zh-CN"/>
              </w:rPr>
            </w:pPr>
            <w:r>
              <w:rPr>
                <w:rFonts w:hint="default"/>
                <w:b/>
                <w:bCs/>
                <w:lang w:val="en-US" w:eastAsia="zh-CN"/>
              </w:rPr>
              <w:t>污染物项目</w:t>
            </w:r>
          </w:p>
        </w:tc>
        <w:tc>
          <w:tcPr>
            <w:tcW w:w="1995" w:type="dxa"/>
            <w:vAlign w:val="center"/>
          </w:tcPr>
          <w:p w14:paraId="64779629">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b/>
                <w:bCs/>
                <w:lang w:val="en-US" w:eastAsia="zh-CN"/>
              </w:rPr>
            </w:pPr>
            <w:r>
              <w:rPr>
                <w:rFonts w:hint="eastAsia"/>
                <w:b/>
                <w:bCs/>
                <w:lang w:val="en-US" w:eastAsia="zh-CN"/>
              </w:rPr>
              <w:t>环境保护措施</w:t>
            </w:r>
          </w:p>
        </w:tc>
        <w:tc>
          <w:tcPr>
            <w:tcW w:w="2146" w:type="dxa"/>
            <w:vAlign w:val="center"/>
          </w:tcPr>
          <w:p w14:paraId="6A31E6ED">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b/>
                <w:bCs/>
                <w:lang w:val="en-US" w:eastAsia="zh-CN"/>
              </w:rPr>
            </w:pPr>
            <w:r>
              <w:rPr>
                <w:rFonts w:hint="eastAsia"/>
                <w:b/>
                <w:bCs/>
                <w:lang w:val="en-US" w:eastAsia="zh-CN"/>
              </w:rPr>
              <w:t>执行标准</w:t>
            </w:r>
          </w:p>
        </w:tc>
      </w:tr>
      <w:tr w14:paraId="21AEA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26" w:type="dxa"/>
            <w:vMerge w:val="restart"/>
            <w:vAlign w:val="center"/>
          </w:tcPr>
          <w:p w14:paraId="620EA25C">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大气环境</w:t>
            </w:r>
          </w:p>
        </w:tc>
        <w:tc>
          <w:tcPr>
            <w:tcW w:w="1665" w:type="dxa"/>
            <w:vAlign w:val="center"/>
          </w:tcPr>
          <w:p w14:paraId="3F3E5216">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煤炭堆放及装卸扬尘</w:t>
            </w:r>
          </w:p>
        </w:tc>
        <w:tc>
          <w:tcPr>
            <w:tcW w:w="1590" w:type="dxa"/>
            <w:vAlign w:val="center"/>
          </w:tcPr>
          <w:p w14:paraId="661A16FD">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颗粒物</w:t>
            </w:r>
          </w:p>
        </w:tc>
        <w:tc>
          <w:tcPr>
            <w:tcW w:w="1995" w:type="dxa"/>
            <w:vAlign w:val="center"/>
          </w:tcPr>
          <w:p w14:paraId="5F047342">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default"/>
                <w:lang w:val="en-US" w:eastAsia="zh-CN"/>
              </w:rPr>
              <w:t>堆煤仓库密闭</w:t>
            </w:r>
          </w:p>
        </w:tc>
        <w:tc>
          <w:tcPr>
            <w:tcW w:w="2146" w:type="dxa"/>
            <w:vMerge w:val="restart"/>
            <w:vAlign w:val="center"/>
          </w:tcPr>
          <w:p w14:paraId="2D68FBC5">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default"/>
                <w:lang w:val="en-US" w:eastAsia="zh-CN"/>
              </w:rPr>
              <w:t>《煤炭工业污染物排放标准》（GB20426-2006）表5标准限值</w:t>
            </w:r>
          </w:p>
        </w:tc>
      </w:tr>
      <w:tr w14:paraId="7B451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26" w:type="dxa"/>
            <w:vMerge w:val="continue"/>
            <w:vAlign w:val="center"/>
          </w:tcPr>
          <w:p w14:paraId="79BA4EB9">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val="en-US" w:eastAsia="zh-CN"/>
              </w:rPr>
            </w:pPr>
          </w:p>
        </w:tc>
        <w:tc>
          <w:tcPr>
            <w:tcW w:w="1665" w:type="dxa"/>
            <w:vAlign w:val="center"/>
          </w:tcPr>
          <w:p w14:paraId="52148780">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车辆行驶动力扬尘</w:t>
            </w:r>
          </w:p>
        </w:tc>
        <w:tc>
          <w:tcPr>
            <w:tcW w:w="1590" w:type="dxa"/>
            <w:vAlign w:val="center"/>
          </w:tcPr>
          <w:p w14:paraId="0AE40293">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颗粒物</w:t>
            </w:r>
          </w:p>
        </w:tc>
        <w:tc>
          <w:tcPr>
            <w:tcW w:w="1995" w:type="dxa"/>
            <w:vAlign w:val="center"/>
          </w:tcPr>
          <w:p w14:paraId="32675BDD">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default"/>
                <w:lang w:val="en-US" w:eastAsia="zh-CN"/>
              </w:rPr>
              <w:t>篷布遮盖密闭运输、洒水降尘</w:t>
            </w:r>
          </w:p>
        </w:tc>
        <w:tc>
          <w:tcPr>
            <w:tcW w:w="2146" w:type="dxa"/>
            <w:vMerge w:val="continue"/>
            <w:vAlign w:val="center"/>
          </w:tcPr>
          <w:p w14:paraId="09E2B7F7">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p>
        </w:tc>
      </w:tr>
      <w:tr w14:paraId="660B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26" w:type="dxa"/>
            <w:vMerge w:val="restart"/>
            <w:vAlign w:val="center"/>
          </w:tcPr>
          <w:p w14:paraId="636D9660">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地表水环境</w:t>
            </w:r>
          </w:p>
        </w:tc>
        <w:tc>
          <w:tcPr>
            <w:tcW w:w="1665" w:type="dxa"/>
            <w:vAlign w:val="center"/>
          </w:tcPr>
          <w:p w14:paraId="399B1C9F">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生活污水</w:t>
            </w:r>
          </w:p>
        </w:tc>
        <w:tc>
          <w:tcPr>
            <w:tcW w:w="1590" w:type="dxa"/>
            <w:vAlign w:val="center"/>
          </w:tcPr>
          <w:p w14:paraId="35BD86BA">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lang w:val="en-US" w:eastAsia="zh-CN"/>
              </w:rPr>
            </w:pPr>
            <w:r>
              <w:rPr>
                <w:rFonts w:hint="default"/>
                <w:lang w:val="en-US" w:eastAsia="zh-CN"/>
              </w:rPr>
              <w:t>COD、SS、总氮、NH</w:t>
            </w:r>
            <w:r>
              <w:rPr>
                <w:rFonts w:hint="default"/>
                <w:vertAlign w:val="subscript"/>
                <w:lang w:val="en-US" w:eastAsia="zh-CN"/>
              </w:rPr>
              <w:t>3</w:t>
            </w:r>
            <w:r>
              <w:rPr>
                <w:rFonts w:hint="default"/>
                <w:lang w:val="en-US" w:eastAsia="zh-CN"/>
              </w:rPr>
              <w:t>-N、动植物油</w:t>
            </w:r>
            <w:r>
              <w:rPr>
                <w:rFonts w:hint="eastAsia"/>
                <w:lang w:eastAsia="zh-CN"/>
              </w:rPr>
              <w:t>、</w:t>
            </w:r>
            <w:r>
              <w:rPr>
                <w:rFonts w:hint="eastAsia"/>
                <w:lang w:val="en-US" w:eastAsia="zh-CN"/>
              </w:rPr>
              <w:t>总磷</w:t>
            </w:r>
          </w:p>
        </w:tc>
        <w:tc>
          <w:tcPr>
            <w:tcW w:w="1995" w:type="dxa"/>
            <w:vAlign w:val="center"/>
          </w:tcPr>
          <w:p w14:paraId="50560069">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ascii="宋体" w:hAnsi="宋体" w:cs="宋体"/>
                <w:szCs w:val="21"/>
              </w:rPr>
              <w:t>经化粪池处理后</w:t>
            </w:r>
            <w:r>
              <w:rPr>
                <w:rFonts w:hint="eastAsia" w:ascii="宋体" w:hAnsi="宋体" w:cs="宋体"/>
                <w:szCs w:val="21"/>
                <w:lang w:val="en-US" w:eastAsia="zh-CN"/>
              </w:rPr>
              <w:t>委托寻甸县水质净化厂清运处置</w:t>
            </w:r>
            <w:r>
              <w:rPr>
                <w:rFonts w:hint="eastAsia" w:ascii="宋体" w:hAnsi="宋体" w:cs="宋体"/>
                <w:szCs w:val="21"/>
              </w:rPr>
              <w:t>，不外排</w:t>
            </w:r>
          </w:p>
        </w:tc>
        <w:tc>
          <w:tcPr>
            <w:tcW w:w="2146" w:type="dxa"/>
            <w:vAlign w:val="center"/>
          </w:tcPr>
          <w:p w14:paraId="16331FEF">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ascii="Times New Roman" w:hAnsi="Times New Roman" w:eastAsia="宋体" w:cs="Times New Roman"/>
                <w:color w:val="auto"/>
                <w:kern w:val="0"/>
                <w:sz w:val="21"/>
                <w:szCs w:val="21"/>
                <w:highlight w:val="none"/>
                <w:lang w:bidi="ar"/>
              </w:rPr>
              <w:t>《污水排入下城镇下水道水质标准》（GB/T31962-2015）表1中A等级标准</w:t>
            </w:r>
          </w:p>
        </w:tc>
      </w:tr>
      <w:tr w14:paraId="417E5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26" w:type="dxa"/>
            <w:vMerge w:val="continue"/>
            <w:vAlign w:val="center"/>
          </w:tcPr>
          <w:p w14:paraId="66D56BFA">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val="en-US" w:eastAsia="zh-CN"/>
              </w:rPr>
            </w:pPr>
          </w:p>
        </w:tc>
        <w:tc>
          <w:tcPr>
            <w:tcW w:w="1665" w:type="dxa"/>
            <w:vMerge w:val="restart"/>
            <w:vAlign w:val="center"/>
          </w:tcPr>
          <w:p w14:paraId="1F3BAED9">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生产废水</w:t>
            </w:r>
          </w:p>
        </w:tc>
        <w:tc>
          <w:tcPr>
            <w:tcW w:w="1590" w:type="dxa"/>
            <w:vAlign w:val="center"/>
          </w:tcPr>
          <w:p w14:paraId="07CE728C">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车辆冲洗废水</w:t>
            </w:r>
          </w:p>
        </w:tc>
        <w:tc>
          <w:tcPr>
            <w:tcW w:w="1995" w:type="dxa"/>
            <w:vAlign w:val="center"/>
          </w:tcPr>
          <w:p w14:paraId="5BE44AE9">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ascii="宋体" w:hAnsi="宋体" w:cs="宋体"/>
                <w:szCs w:val="21"/>
              </w:rPr>
              <w:t>经沉淀池处理后回用，不外排</w:t>
            </w:r>
          </w:p>
        </w:tc>
        <w:tc>
          <w:tcPr>
            <w:tcW w:w="2146" w:type="dxa"/>
            <w:vAlign w:val="center"/>
          </w:tcPr>
          <w:p w14:paraId="47A3B88F">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w:t>
            </w:r>
          </w:p>
        </w:tc>
      </w:tr>
      <w:tr w14:paraId="5AC03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26" w:type="dxa"/>
            <w:vMerge w:val="continue"/>
            <w:vAlign w:val="center"/>
          </w:tcPr>
          <w:p w14:paraId="5689E759">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val="en-US" w:eastAsia="zh-CN"/>
              </w:rPr>
            </w:pPr>
          </w:p>
        </w:tc>
        <w:tc>
          <w:tcPr>
            <w:tcW w:w="1665" w:type="dxa"/>
            <w:vMerge w:val="continue"/>
            <w:vAlign w:val="center"/>
          </w:tcPr>
          <w:p w14:paraId="7BE99DF0">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p>
        </w:tc>
        <w:tc>
          <w:tcPr>
            <w:tcW w:w="1590" w:type="dxa"/>
            <w:vAlign w:val="center"/>
          </w:tcPr>
          <w:p w14:paraId="4DB6583E">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初期雨水</w:t>
            </w:r>
          </w:p>
        </w:tc>
        <w:tc>
          <w:tcPr>
            <w:tcW w:w="1995" w:type="dxa"/>
            <w:vAlign w:val="center"/>
          </w:tcPr>
          <w:p w14:paraId="780002BF">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color w:val="auto"/>
                <w:u w:val="none"/>
                <w:lang w:val="en-US" w:eastAsia="zh-CN"/>
              </w:rPr>
              <w:t>经初期雨水收集池收集后晴天回用于场内洒水降尘</w:t>
            </w:r>
          </w:p>
        </w:tc>
        <w:tc>
          <w:tcPr>
            <w:tcW w:w="2146" w:type="dxa"/>
            <w:vAlign w:val="center"/>
          </w:tcPr>
          <w:p w14:paraId="1B6B47F9">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w:t>
            </w:r>
          </w:p>
        </w:tc>
      </w:tr>
      <w:tr w14:paraId="0A32B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26" w:type="dxa"/>
            <w:vAlign w:val="center"/>
          </w:tcPr>
          <w:p w14:paraId="283565A7">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声环境</w:t>
            </w:r>
          </w:p>
        </w:tc>
        <w:tc>
          <w:tcPr>
            <w:tcW w:w="1665" w:type="dxa"/>
            <w:vAlign w:val="center"/>
          </w:tcPr>
          <w:p w14:paraId="61E15A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kern w:val="2"/>
                <w:sz w:val="21"/>
                <w:szCs w:val="21"/>
                <w:lang w:val="en-US" w:eastAsia="zh-CN" w:bidi="ar-SA"/>
              </w:rPr>
            </w:pPr>
            <w:r>
              <w:rPr>
                <w:rFonts w:ascii="Times New Roman" w:hAnsi="Times New Roman"/>
                <w:sz w:val="21"/>
                <w:szCs w:val="21"/>
              </w:rPr>
              <w:t>生产设备运行</w:t>
            </w:r>
          </w:p>
        </w:tc>
        <w:tc>
          <w:tcPr>
            <w:tcW w:w="1590" w:type="dxa"/>
            <w:vAlign w:val="center"/>
          </w:tcPr>
          <w:p w14:paraId="615185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ascii="Times New Roman" w:hAnsi="Times New Roman"/>
                <w:sz w:val="21"/>
                <w:szCs w:val="21"/>
              </w:rPr>
              <w:t>噪声</w:t>
            </w:r>
          </w:p>
        </w:tc>
        <w:tc>
          <w:tcPr>
            <w:tcW w:w="1995" w:type="dxa"/>
            <w:vAlign w:val="center"/>
          </w:tcPr>
          <w:p w14:paraId="68FDE7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ascii="Times New Roman" w:hAnsi="Times New Roman"/>
                <w:sz w:val="21"/>
                <w:szCs w:val="21"/>
              </w:rPr>
              <w:t>选用低噪声设备，基础减震、厂房隔声、距离衰减</w:t>
            </w:r>
          </w:p>
        </w:tc>
        <w:tc>
          <w:tcPr>
            <w:tcW w:w="2146" w:type="dxa"/>
            <w:vAlign w:val="center"/>
          </w:tcPr>
          <w:p w14:paraId="5CEE50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kern w:val="2"/>
                <w:sz w:val="21"/>
                <w:szCs w:val="21"/>
                <w:lang w:val="en-US" w:eastAsia="zh-CN" w:bidi="ar-SA"/>
              </w:rPr>
            </w:pPr>
            <w:r>
              <w:rPr>
                <w:rFonts w:ascii="Times New Roman" w:hAnsi="Times New Roman"/>
                <w:sz w:val="21"/>
                <w:szCs w:val="21"/>
              </w:rPr>
              <w:t>《工业企业厂界环境噪声排放标准》（GB12348-2008）</w:t>
            </w:r>
          </w:p>
        </w:tc>
      </w:tr>
      <w:tr w14:paraId="7EBC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26" w:type="dxa"/>
            <w:vAlign w:val="center"/>
          </w:tcPr>
          <w:p w14:paraId="6752F1AF">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电磁辐射</w:t>
            </w:r>
          </w:p>
        </w:tc>
        <w:tc>
          <w:tcPr>
            <w:tcW w:w="1665" w:type="dxa"/>
            <w:vAlign w:val="center"/>
          </w:tcPr>
          <w:p w14:paraId="31CFD041">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w:t>
            </w:r>
          </w:p>
        </w:tc>
        <w:tc>
          <w:tcPr>
            <w:tcW w:w="1590" w:type="dxa"/>
            <w:vAlign w:val="center"/>
          </w:tcPr>
          <w:p w14:paraId="7E45114B">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w:t>
            </w:r>
          </w:p>
        </w:tc>
        <w:tc>
          <w:tcPr>
            <w:tcW w:w="1995" w:type="dxa"/>
            <w:vAlign w:val="center"/>
          </w:tcPr>
          <w:p w14:paraId="1A1F8019">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w:t>
            </w:r>
          </w:p>
        </w:tc>
        <w:tc>
          <w:tcPr>
            <w:tcW w:w="2146" w:type="dxa"/>
            <w:vAlign w:val="center"/>
          </w:tcPr>
          <w:p w14:paraId="24579893">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w:t>
            </w:r>
          </w:p>
        </w:tc>
      </w:tr>
      <w:tr w14:paraId="5A18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6" w:type="dxa"/>
            <w:vAlign w:val="center"/>
          </w:tcPr>
          <w:p w14:paraId="498B1777">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固体废物</w:t>
            </w:r>
          </w:p>
        </w:tc>
        <w:tc>
          <w:tcPr>
            <w:tcW w:w="7396" w:type="dxa"/>
            <w:gridSpan w:val="4"/>
            <w:vAlign w:val="center"/>
          </w:tcPr>
          <w:p w14:paraId="502E1757">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default" w:ascii="Times New Roman" w:hAnsi="Times New Roman" w:cs="Times New Roman"/>
                <w:color w:val="auto"/>
                <w:kern w:val="2"/>
                <w:sz w:val="21"/>
                <w:szCs w:val="21"/>
                <w:u w:val="none"/>
                <w:lang w:val="en-US" w:eastAsia="zh-CN"/>
              </w:rPr>
              <w:t>沉淀池和初期雨水收集池沉渣</w:t>
            </w:r>
            <w:r>
              <w:rPr>
                <w:rFonts w:hint="default" w:ascii="Times New Roman" w:hAnsi="Times New Roman" w:cs="Times New Roman"/>
                <w:color w:val="auto"/>
                <w:sz w:val="21"/>
                <w:szCs w:val="21"/>
                <w:u w:val="none"/>
                <w:lang w:val="en-US" w:eastAsia="zh-CN"/>
              </w:rPr>
              <w:t>定期清掏，并运送至附近的一般工业固废消纳场进行处置</w:t>
            </w:r>
            <w:r>
              <w:rPr>
                <w:rFonts w:hint="default" w:ascii="Times New Roman" w:hAnsi="Times New Roman" w:cs="Times New Roman"/>
                <w:color w:val="auto"/>
                <w:kern w:val="2"/>
                <w:sz w:val="21"/>
                <w:szCs w:val="21"/>
                <w:u w:val="none"/>
                <w:lang w:val="en-US" w:eastAsia="zh-CN"/>
              </w:rPr>
              <w:t>；</w:t>
            </w:r>
            <w:r>
              <w:rPr>
                <w:rFonts w:hint="default" w:ascii="Times New Roman" w:hAnsi="Times New Roman" w:cs="Times New Roman"/>
                <w:color w:val="auto"/>
                <w:kern w:val="2"/>
                <w:sz w:val="21"/>
                <w:szCs w:val="21"/>
                <w:lang w:val="en-US" w:eastAsia="zh-CN"/>
              </w:rPr>
              <w:t>生活垃圾收集后委托环卫部门定期清运，化粪池污泥</w:t>
            </w:r>
            <w:r>
              <w:rPr>
                <w:rFonts w:hint="default" w:ascii="Times New Roman" w:hAnsi="Times New Roman" w:eastAsia="宋体" w:cs="Times New Roman"/>
                <w:sz w:val="21"/>
                <w:szCs w:val="21"/>
                <w:lang w:val="en-US" w:eastAsia="zh-CN"/>
              </w:rPr>
              <w:t>委托</w:t>
            </w:r>
            <w:r>
              <w:rPr>
                <w:rFonts w:hint="default" w:ascii="Times New Roman" w:hAnsi="Times New Roman" w:cs="Times New Roman"/>
                <w:sz w:val="21"/>
                <w:szCs w:val="21"/>
                <w:lang w:val="en-US" w:eastAsia="zh-CN"/>
              </w:rPr>
              <w:t>当地</w:t>
            </w:r>
            <w:r>
              <w:rPr>
                <w:rFonts w:hint="default" w:ascii="Times New Roman" w:hAnsi="Times New Roman" w:eastAsia="宋体" w:cs="Times New Roman"/>
                <w:sz w:val="21"/>
                <w:szCs w:val="21"/>
                <w:lang w:val="en-US" w:eastAsia="zh-CN"/>
              </w:rPr>
              <w:t>环卫部门定期</w:t>
            </w:r>
            <w:r>
              <w:rPr>
                <w:rFonts w:hint="default" w:ascii="Times New Roman" w:hAnsi="Times New Roman" w:cs="Times New Roman"/>
                <w:sz w:val="21"/>
                <w:szCs w:val="21"/>
                <w:lang w:val="en-US" w:eastAsia="zh-CN"/>
              </w:rPr>
              <w:t>清掏处</w:t>
            </w:r>
            <w:r>
              <w:rPr>
                <w:rFonts w:hint="default" w:ascii="Times New Roman" w:hAnsi="Times New Roman" w:eastAsia="宋体" w:cs="Times New Roman"/>
                <w:b w:val="0"/>
                <w:bCs w:val="0"/>
                <w:color w:val="auto"/>
                <w:sz w:val="21"/>
                <w:szCs w:val="21"/>
                <w:u w:val="none"/>
                <w:lang w:val="en-US" w:eastAsia="zh-CN"/>
              </w:rPr>
              <w:t>置</w:t>
            </w:r>
            <w:r>
              <w:rPr>
                <w:rFonts w:hint="eastAsia" w:cs="Times New Roman"/>
                <w:b w:val="0"/>
                <w:bCs w:val="0"/>
                <w:color w:val="auto"/>
                <w:sz w:val="21"/>
                <w:szCs w:val="21"/>
                <w:u w:val="none"/>
                <w:lang w:val="en-US" w:eastAsia="zh-CN"/>
              </w:rPr>
              <w:t>；</w:t>
            </w:r>
            <w:r>
              <w:rPr>
                <w:rFonts w:hint="eastAsia" w:cs="Times New Roman"/>
                <w:color w:val="auto"/>
                <w:sz w:val="21"/>
                <w:szCs w:val="21"/>
                <w:highlight w:val="none"/>
                <w:vertAlign w:val="baseline"/>
                <w:lang w:val="en-US" w:eastAsia="zh-CN"/>
              </w:rPr>
              <w:t>废机油</w:t>
            </w:r>
            <w:r>
              <w:rPr>
                <w:rFonts w:hint="default" w:ascii="Times New Roman" w:hAnsi="Times New Roman" w:cs="Times New Roman"/>
                <w:color w:val="auto"/>
                <w:sz w:val="21"/>
                <w:szCs w:val="21"/>
                <w:highlight w:val="none"/>
                <w:vertAlign w:val="baseline"/>
                <w:lang w:val="en-US" w:eastAsia="zh-CN"/>
              </w:rPr>
              <w:t>经集中收集后在危废暂存间进行暂存，定期委托有资质的单位进行处理。</w:t>
            </w:r>
          </w:p>
        </w:tc>
      </w:tr>
      <w:tr w14:paraId="1F3AF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1126" w:type="dxa"/>
            <w:vAlign w:val="center"/>
          </w:tcPr>
          <w:p w14:paraId="776E8284">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val="en-US" w:eastAsia="zh-CN"/>
              </w:rPr>
            </w:pPr>
            <w:r>
              <w:rPr>
                <w:rFonts w:hint="eastAsia"/>
                <w:lang w:val="en-US" w:eastAsia="zh-CN"/>
              </w:rPr>
              <w:t>土壤及地下水污染防治措施</w:t>
            </w:r>
          </w:p>
        </w:tc>
        <w:tc>
          <w:tcPr>
            <w:tcW w:w="7396" w:type="dxa"/>
            <w:gridSpan w:val="4"/>
            <w:vAlign w:val="center"/>
          </w:tcPr>
          <w:p w14:paraId="5A276087">
            <w:pPr>
              <w:keepNext w:val="0"/>
              <w:keepLines w:val="0"/>
              <w:pageBreakBefore w:val="0"/>
              <w:widowControl/>
              <w:suppressLineNumbers w:val="0"/>
              <w:kinsoku/>
              <w:wordWrap w:val="0"/>
              <w:overflowPunct/>
              <w:topLinePunct w:val="0"/>
              <w:autoSpaceDE/>
              <w:autoSpaceDN/>
              <w:bidi w:val="0"/>
              <w:adjustRightInd/>
              <w:snapToGrid/>
              <w:spacing w:line="240" w:lineRule="auto"/>
              <w:ind w:firstLine="420" w:firstLineChars="200"/>
              <w:jc w:val="left"/>
              <w:textAlignment w:val="auto"/>
              <w:rPr>
                <w:rFonts w:hint="default"/>
                <w:lang w:val="en-US" w:eastAsia="zh-CN"/>
              </w:rPr>
            </w:pPr>
            <w:r>
              <w:rPr>
                <w:rFonts w:hint="eastAsia" w:cs="Times New Roman"/>
                <w:color w:val="0000FF"/>
                <w:kern w:val="0"/>
                <w:sz w:val="21"/>
                <w:szCs w:val="21"/>
                <w:lang w:val="en-US" w:eastAsia="zh-CN" w:bidi="ar"/>
              </w:rPr>
              <w:t>项目危废暂存间应进行重点防渗</w:t>
            </w:r>
            <w:r>
              <w:rPr>
                <w:rFonts w:hint="default" w:ascii="Times New Roman" w:hAnsi="Times New Roman" w:eastAsia="宋体" w:cs="Times New Roman"/>
                <w:color w:val="0000FF"/>
                <w:kern w:val="0"/>
                <w:sz w:val="21"/>
                <w:szCs w:val="21"/>
                <w:lang w:val="en-US" w:eastAsia="zh-CN" w:bidi="ar"/>
              </w:rPr>
              <w:t>，</w:t>
            </w:r>
            <w:r>
              <w:rPr>
                <w:rFonts w:hint="eastAsia" w:cs="Times New Roman"/>
                <w:color w:val="0000FF"/>
                <w:kern w:val="0"/>
                <w:sz w:val="21"/>
                <w:szCs w:val="21"/>
                <w:lang w:val="en-US" w:eastAsia="zh-CN" w:bidi="ar"/>
              </w:rPr>
              <w:t>要求地面及裙角防渗</w:t>
            </w:r>
            <w:r>
              <w:rPr>
                <w:rFonts w:hint="default" w:ascii="Times New Roman" w:hAnsi="Times New Roman" w:eastAsia="宋体" w:cs="Times New Roman"/>
                <w:color w:val="0000FF"/>
                <w:kern w:val="0"/>
                <w:sz w:val="21"/>
                <w:szCs w:val="21"/>
                <w:lang w:val="en-US" w:eastAsia="zh-CN" w:bidi="ar"/>
              </w:rPr>
              <w:t>渗透系数不大于10</w:t>
            </w:r>
            <w:r>
              <w:rPr>
                <w:rFonts w:hint="default" w:ascii="Times New Roman" w:hAnsi="Times New Roman" w:eastAsia="宋体" w:cs="Times New Roman"/>
                <w:color w:val="0000FF"/>
                <w:kern w:val="0"/>
                <w:sz w:val="21"/>
                <w:szCs w:val="21"/>
                <w:vertAlign w:val="superscript"/>
                <w:lang w:val="en-US" w:eastAsia="zh-CN" w:bidi="ar"/>
              </w:rPr>
              <w:t>-10</w:t>
            </w:r>
            <w:r>
              <w:rPr>
                <w:rFonts w:hint="default" w:ascii="Times New Roman" w:hAnsi="Times New Roman" w:eastAsia="宋体" w:cs="Times New Roman"/>
                <w:color w:val="0000FF"/>
                <w:kern w:val="0"/>
                <w:sz w:val="21"/>
                <w:szCs w:val="21"/>
                <w:lang w:val="en-US" w:eastAsia="zh-CN" w:bidi="ar"/>
              </w:rPr>
              <w:t>cm/s。</w:t>
            </w:r>
          </w:p>
        </w:tc>
      </w:tr>
      <w:tr w14:paraId="0E50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6" w:type="dxa"/>
            <w:vAlign w:val="center"/>
          </w:tcPr>
          <w:p w14:paraId="6DBAF29A">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val="en-US" w:eastAsia="zh-CN"/>
              </w:rPr>
            </w:pPr>
            <w:r>
              <w:rPr>
                <w:rFonts w:hint="eastAsia"/>
                <w:lang w:val="en-US" w:eastAsia="zh-CN"/>
              </w:rPr>
              <w:t>生态保护措施</w:t>
            </w:r>
          </w:p>
        </w:tc>
        <w:tc>
          <w:tcPr>
            <w:tcW w:w="7396" w:type="dxa"/>
            <w:gridSpan w:val="4"/>
            <w:vAlign w:val="center"/>
          </w:tcPr>
          <w:p w14:paraId="729C2E2A">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w:t>
            </w:r>
          </w:p>
        </w:tc>
      </w:tr>
      <w:tr w14:paraId="59075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126" w:type="dxa"/>
            <w:vAlign w:val="center"/>
          </w:tcPr>
          <w:p w14:paraId="51D5A0B0">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val="en-US" w:eastAsia="zh-CN"/>
              </w:rPr>
            </w:pPr>
            <w:r>
              <w:rPr>
                <w:rFonts w:hint="eastAsia"/>
                <w:lang w:val="en-US" w:eastAsia="zh-CN"/>
              </w:rPr>
              <w:t>环境风险</w:t>
            </w:r>
          </w:p>
          <w:p w14:paraId="737C2D78">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val="en-US" w:eastAsia="zh-CN"/>
              </w:rPr>
            </w:pPr>
            <w:r>
              <w:rPr>
                <w:rFonts w:hint="eastAsia"/>
                <w:lang w:val="en-US" w:eastAsia="zh-CN"/>
              </w:rPr>
              <w:t>防范措施</w:t>
            </w:r>
          </w:p>
        </w:tc>
        <w:tc>
          <w:tcPr>
            <w:tcW w:w="7396" w:type="dxa"/>
            <w:gridSpan w:val="4"/>
            <w:vAlign w:val="center"/>
          </w:tcPr>
          <w:p w14:paraId="5E64587C">
            <w:pPr>
              <w:pStyle w:val="33"/>
              <w:keepNext w:val="0"/>
              <w:keepLines w:val="0"/>
              <w:pageBreakBefore w:val="0"/>
              <w:widowControl w:val="0"/>
              <w:kinsoku/>
              <w:wordWrap/>
              <w:overflowPunct/>
              <w:topLinePunct w:val="0"/>
              <w:autoSpaceDE/>
              <w:autoSpaceDN/>
              <w:bidi w:val="0"/>
              <w:adjustRightInd w:val="0"/>
              <w:snapToGrid w:val="0"/>
              <w:jc w:val="left"/>
              <w:textAlignment w:val="auto"/>
              <w:rPr>
                <w:rFonts w:hint="default"/>
                <w:lang w:val="en-US" w:eastAsia="zh-CN"/>
              </w:rPr>
            </w:pPr>
            <w:r>
              <w:rPr>
                <w:rFonts w:hint="default"/>
                <w:lang w:val="en-US" w:eastAsia="zh-CN"/>
              </w:rPr>
              <w:t>A、加强</w:t>
            </w:r>
            <w:r>
              <w:rPr>
                <w:rFonts w:hint="eastAsia"/>
                <w:lang w:val="en-US" w:eastAsia="zh-CN"/>
              </w:rPr>
              <w:t>建设单位</w:t>
            </w:r>
            <w:r>
              <w:rPr>
                <w:rFonts w:hint="default"/>
                <w:lang w:val="en-US" w:eastAsia="zh-CN"/>
              </w:rPr>
              <w:t>职工的教育培训，增强职工风险意识，提高事故自救能力，制定各种安全管理、安全生产规程，以减少人为风险事故的发生。</w:t>
            </w:r>
          </w:p>
          <w:p w14:paraId="57D80630">
            <w:pPr>
              <w:pStyle w:val="33"/>
              <w:keepNext w:val="0"/>
              <w:keepLines w:val="0"/>
              <w:pageBreakBefore w:val="0"/>
              <w:widowControl w:val="0"/>
              <w:kinsoku/>
              <w:wordWrap/>
              <w:overflowPunct/>
              <w:topLinePunct w:val="0"/>
              <w:autoSpaceDE/>
              <w:autoSpaceDN/>
              <w:bidi w:val="0"/>
              <w:adjustRightInd w:val="0"/>
              <w:snapToGrid w:val="0"/>
              <w:jc w:val="left"/>
              <w:textAlignment w:val="auto"/>
              <w:rPr>
                <w:rFonts w:hint="default"/>
                <w:lang w:val="en-US" w:eastAsia="zh-CN"/>
              </w:rPr>
            </w:pPr>
            <w:r>
              <w:rPr>
                <w:rFonts w:hint="default"/>
                <w:lang w:val="en-US" w:eastAsia="zh-CN"/>
              </w:rPr>
              <w:t>B、储存间应按有关消防部门的规范要求进行设计和防范，并应对储存间的地面及四壁做防腐防渗处理。</w:t>
            </w:r>
          </w:p>
          <w:p w14:paraId="1D319579">
            <w:pPr>
              <w:pStyle w:val="33"/>
              <w:keepNext w:val="0"/>
              <w:keepLines w:val="0"/>
              <w:pageBreakBefore w:val="0"/>
              <w:widowControl w:val="0"/>
              <w:kinsoku/>
              <w:wordWrap/>
              <w:overflowPunct/>
              <w:topLinePunct w:val="0"/>
              <w:autoSpaceDE/>
              <w:autoSpaceDN/>
              <w:bidi w:val="0"/>
              <w:adjustRightInd w:val="0"/>
              <w:snapToGrid w:val="0"/>
              <w:jc w:val="left"/>
              <w:textAlignment w:val="auto"/>
              <w:rPr>
                <w:rFonts w:hint="default"/>
                <w:lang w:val="en-US" w:eastAsia="zh-CN"/>
              </w:rPr>
            </w:pPr>
            <w:r>
              <w:rPr>
                <w:rFonts w:hint="default"/>
                <w:lang w:val="en-US" w:eastAsia="zh-CN"/>
              </w:rPr>
              <w:t>C、消防通道和建筑物耐火等级应满足消防要求，在危险物品和油料储存间存放区设立警告标志；并在火灾危险场所设置报警装置。</w:t>
            </w:r>
          </w:p>
          <w:p w14:paraId="2BECEC55">
            <w:pPr>
              <w:pStyle w:val="33"/>
              <w:keepNext w:val="0"/>
              <w:keepLines w:val="0"/>
              <w:pageBreakBefore w:val="0"/>
              <w:widowControl w:val="0"/>
              <w:kinsoku/>
              <w:wordWrap/>
              <w:overflowPunct/>
              <w:topLinePunct w:val="0"/>
              <w:autoSpaceDE/>
              <w:autoSpaceDN/>
              <w:bidi w:val="0"/>
              <w:adjustRightInd w:val="0"/>
              <w:snapToGrid w:val="0"/>
              <w:jc w:val="left"/>
              <w:textAlignment w:val="auto"/>
              <w:rPr>
                <w:rFonts w:hint="default"/>
                <w:lang w:val="en-US" w:eastAsia="zh-CN"/>
              </w:rPr>
            </w:pPr>
            <w:r>
              <w:rPr>
                <w:rFonts w:hint="default"/>
                <w:lang w:val="en-US" w:eastAsia="zh-CN"/>
              </w:rPr>
              <w:t>D、危险废物采取在厂区集中统一收集，设专用危险废物暂存间；分类存放，危险废物暂存间严格按《危险废物贮存污染控制标准》（GB18597-2023）及其修改单中的要求进行防渗。</w:t>
            </w:r>
          </w:p>
          <w:p w14:paraId="032012B1">
            <w:pPr>
              <w:pStyle w:val="33"/>
              <w:keepNext w:val="0"/>
              <w:keepLines w:val="0"/>
              <w:pageBreakBefore w:val="0"/>
              <w:widowControl w:val="0"/>
              <w:kinsoku/>
              <w:wordWrap/>
              <w:overflowPunct/>
              <w:topLinePunct w:val="0"/>
              <w:autoSpaceDE/>
              <w:autoSpaceDN/>
              <w:bidi w:val="0"/>
              <w:adjustRightInd w:val="0"/>
              <w:snapToGrid w:val="0"/>
              <w:jc w:val="left"/>
              <w:textAlignment w:val="auto"/>
              <w:rPr>
                <w:rFonts w:hint="default"/>
                <w:lang w:val="en-US" w:eastAsia="zh-CN"/>
              </w:rPr>
            </w:pPr>
            <w:r>
              <w:rPr>
                <w:rFonts w:hint="default"/>
                <w:lang w:val="en-US" w:eastAsia="zh-CN"/>
              </w:rPr>
              <w:t>E、设有专用的存储间、危险废物存储间，分类收集存放。</w:t>
            </w:r>
          </w:p>
          <w:p w14:paraId="1B98C75B">
            <w:pPr>
              <w:pStyle w:val="33"/>
              <w:keepNext w:val="0"/>
              <w:keepLines w:val="0"/>
              <w:pageBreakBefore w:val="0"/>
              <w:widowControl w:val="0"/>
              <w:kinsoku/>
              <w:wordWrap/>
              <w:overflowPunct/>
              <w:topLinePunct w:val="0"/>
              <w:autoSpaceDE/>
              <w:autoSpaceDN/>
              <w:bidi w:val="0"/>
              <w:adjustRightInd w:val="0"/>
              <w:snapToGrid w:val="0"/>
              <w:jc w:val="left"/>
              <w:textAlignment w:val="auto"/>
              <w:rPr>
                <w:rFonts w:hint="default"/>
                <w:lang w:val="en-US" w:eastAsia="zh-CN"/>
              </w:rPr>
            </w:pPr>
            <w:r>
              <w:rPr>
                <w:rFonts w:hint="default"/>
                <w:lang w:val="en-US" w:eastAsia="zh-CN"/>
              </w:rPr>
              <w:t>F、按照《建筑灭火器配置设计规范》（GBJ140-2005）规定，配置相应的灭火器类型（干粉灭火器等）与数量；严禁区域内有明火出现。</w:t>
            </w:r>
          </w:p>
          <w:p w14:paraId="1E93627F">
            <w:pPr>
              <w:pStyle w:val="33"/>
              <w:keepNext w:val="0"/>
              <w:keepLines w:val="0"/>
              <w:pageBreakBefore w:val="0"/>
              <w:widowControl w:val="0"/>
              <w:kinsoku/>
              <w:wordWrap/>
              <w:overflowPunct/>
              <w:topLinePunct w:val="0"/>
              <w:autoSpaceDE/>
              <w:autoSpaceDN/>
              <w:bidi w:val="0"/>
              <w:adjustRightInd w:val="0"/>
              <w:snapToGrid w:val="0"/>
              <w:jc w:val="left"/>
              <w:textAlignment w:val="auto"/>
              <w:rPr>
                <w:rFonts w:hint="default"/>
                <w:lang w:val="en-US" w:eastAsia="zh-CN"/>
              </w:rPr>
            </w:pPr>
            <w:r>
              <w:rPr>
                <w:rFonts w:hint="default"/>
                <w:lang w:val="en-US" w:eastAsia="zh-CN"/>
              </w:rPr>
              <w:t>G、应</w:t>
            </w:r>
            <w:r>
              <w:rPr>
                <w:rFonts w:hint="eastAsia"/>
                <w:lang w:val="en-US" w:eastAsia="zh-CN"/>
              </w:rPr>
              <w:t>制定</w:t>
            </w:r>
            <w:r>
              <w:rPr>
                <w:rFonts w:hint="default"/>
                <w:lang w:val="en-US" w:eastAsia="zh-CN"/>
              </w:rPr>
              <w:t>发生事故时迅速撤离泄漏污染区人员至安全区的方案，一旦发生事故，则要根据具体情况采取应急措施，切断泄漏源、火源，控制事故扩大，立即报警，采取遏制泄漏物进入环境的紧急措施。</w:t>
            </w:r>
          </w:p>
        </w:tc>
      </w:tr>
      <w:tr w14:paraId="14065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126" w:type="dxa"/>
            <w:vAlign w:val="center"/>
          </w:tcPr>
          <w:p w14:paraId="38DC34EB">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val="en-US" w:eastAsia="zh-CN"/>
              </w:rPr>
            </w:pPr>
            <w:r>
              <w:rPr>
                <w:rFonts w:hint="eastAsia"/>
                <w:lang w:val="en-US" w:eastAsia="zh-CN"/>
              </w:rPr>
              <w:t>其他环境</w:t>
            </w:r>
          </w:p>
          <w:p w14:paraId="50B489BC">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val="en-US" w:eastAsia="zh-CN"/>
              </w:rPr>
            </w:pPr>
            <w:r>
              <w:rPr>
                <w:rFonts w:hint="eastAsia"/>
                <w:lang w:val="en-US" w:eastAsia="zh-CN"/>
              </w:rPr>
              <w:t>管理要求</w:t>
            </w:r>
          </w:p>
        </w:tc>
        <w:tc>
          <w:tcPr>
            <w:tcW w:w="7396" w:type="dxa"/>
            <w:gridSpan w:val="4"/>
            <w:vAlign w:val="center"/>
          </w:tcPr>
          <w:p w14:paraId="1E6C6A8A">
            <w:pPr>
              <w:pStyle w:val="33"/>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u w:val="none"/>
                <w:lang w:val="en-US" w:eastAsia="zh-CN"/>
              </w:rPr>
            </w:pPr>
            <w:r>
              <w:rPr>
                <w:rFonts w:hint="eastAsia"/>
                <w:color w:val="auto"/>
                <w:u w:val="none"/>
                <w:lang w:val="en-US" w:eastAsia="zh-CN"/>
              </w:rPr>
              <w:t>1、根据《排污许可管理条例》要求，依法办理排污许可证。</w:t>
            </w:r>
          </w:p>
          <w:p w14:paraId="4905ECBF">
            <w:pPr>
              <w:pStyle w:val="33"/>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u w:val="none"/>
                <w:lang w:val="en-US" w:eastAsia="zh-CN"/>
              </w:rPr>
            </w:pPr>
            <w:r>
              <w:rPr>
                <w:rFonts w:hint="eastAsia"/>
                <w:color w:val="auto"/>
                <w:u w:val="none"/>
                <w:lang w:val="en-US" w:eastAsia="zh-CN"/>
              </w:rPr>
              <w:t>2、根据《建设项目环境保护管理条例条例》（国务院第682号令）开展自主验收。</w:t>
            </w:r>
          </w:p>
          <w:p w14:paraId="3A969376">
            <w:pPr>
              <w:pStyle w:val="33"/>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u w:val="none"/>
                <w:lang w:val="en-US" w:eastAsia="zh-CN"/>
              </w:rPr>
            </w:pPr>
            <w:r>
              <w:rPr>
                <w:rFonts w:hint="eastAsia"/>
                <w:color w:val="auto"/>
                <w:u w:val="none"/>
                <w:lang w:val="en-US" w:eastAsia="zh-CN"/>
              </w:rPr>
              <w:t>3、根据《排污单位自行监测技术指南 总则》（HJ819-2017）制定自行监测计划，并按计划执行自行监测。</w:t>
            </w:r>
          </w:p>
          <w:p w14:paraId="7600EF35">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p>
        </w:tc>
      </w:tr>
    </w:tbl>
    <w:p w14:paraId="2486BE5B">
      <w:pPr>
        <w:bidi w:val="0"/>
        <w:ind w:left="0" w:leftChars="0" w:firstLine="0" w:firstLineChars="0"/>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46E6EE5">
      <w:pPr>
        <w:pStyle w:val="2"/>
        <w:keepNext/>
        <w:keepLines/>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pPr>
      <w:bookmarkStart w:id="16" w:name="_Toc20570"/>
      <w:r>
        <w:rPr>
          <w:rFonts w:hint="eastAsia"/>
          <w:lang w:val="en-US" w:eastAsia="zh-CN"/>
        </w:rPr>
        <w:t>六、结论</w:t>
      </w:r>
      <w:bookmarkEnd w:id="16"/>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5ECE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0" w:hRule="atLeast"/>
        </w:trPr>
        <w:tc>
          <w:tcPr>
            <w:tcW w:w="8522" w:type="dxa"/>
          </w:tcPr>
          <w:p w14:paraId="56ADA15F">
            <w:pPr>
              <w:pStyle w:val="7"/>
              <w:rPr>
                <w:rFonts w:hint="default"/>
                <w:vertAlign w:val="baseline"/>
                <w:lang w:val="en-US" w:eastAsia="zh-CN"/>
              </w:rPr>
            </w:pPr>
            <w:r>
              <w:rPr>
                <w:rFonts w:hint="default"/>
                <w:lang w:val="en-US" w:eastAsia="zh-CN"/>
              </w:rPr>
              <w:t>项目所在区域环境质量现状满足相应功能区标准要求，本项目建设符合国家现行产业政策及相关环保政策，符合当地规划，选址合理。本项目运营期产生的</w:t>
            </w:r>
            <w:r>
              <w:rPr>
                <w:rFonts w:hint="eastAsia"/>
                <w:lang w:val="en-US" w:eastAsia="zh-CN"/>
              </w:rPr>
              <w:t>废气、噪声经过处理后达标排放</w:t>
            </w:r>
            <w:r>
              <w:rPr>
                <w:rFonts w:hint="default"/>
                <w:lang w:val="en-US" w:eastAsia="zh-CN"/>
              </w:rPr>
              <w:t>，对周边环境影响不大</w:t>
            </w:r>
            <w:r>
              <w:rPr>
                <w:rFonts w:hint="eastAsia"/>
                <w:lang w:val="en-US" w:eastAsia="zh-CN"/>
              </w:rPr>
              <w:t>，固体废物处置率100%</w:t>
            </w:r>
            <w:r>
              <w:rPr>
                <w:rFonts w:hint="default"/>
                <w:lang w:val="en-US" w:eastAsia="zh-CN"/>
              </w:rPr>
              <w:t>。项目通过严格执行环保</w:t>
            </w:r>
            <w:r>
              <w:rPr>
                <w:rFonts w:hint="eastAsia" w:ascii="宋体" w:hAnsi="宋体" w:eastAsia="宋体" w:cs="宋体"/>
                <w:lang w:val="en-US" w:eastAsia="zh-CN"/>
              </w:rPr>
              <w:t>“</w:t>
            </w:r>
            <w:r>
              <w:rPr>
                <w:rFonts w:hint="default"/>
                <w:lang w:val="en-US" w:eastAsia="zh-CN"/>
              </w:rPr>
              <w:t>三同时</w:t>
            </w:r>
            <w:r>
              <w:rPr>
                <w:rFonts w:hint="default" w:ascii="宋体" w:hAnsi="宋体" w:eastAsia="宋体" w:cs="宋体"/>
                <w:lang w:val="en-US" w:eastAsia="zh-CN"/>
              </w:rPr>
              <w:t>”</w:t>
            </w:r>
            <w:r>
              <w:rPr>
                <w:rFonts w:hint="default"/>
                <w:lang w:val="en-US" w:eastAsia="zh-CN"/>
              </w:rPr>
              <w:t>及排污许可等制度，落实各项污染防治措施要求，对周边环境影响可以接受</w:t>
            </w:r>
            <w:r>
              <w:rPr>
                <w:rFonts w:hint="eastAsia"/>
                <w:lang w:val="en-US" w:eastAsia="zh-CN"/>
              </w:rPr>
              <w:t>，环境风险可控</w:t>
            </w:r>
            <w:r>
              <w:rPr>
                <w:rFonts w:hint="default"/>
                <w:lang w:val="en-US" w:eastAsia="zh-CN"/>
              </w:rPr>
              <w:t>。从环保角度分析，本项目建设可行。</w:t>
            </w:r>
          </w:p>
        </w:tc>
      </w:tr>
    </w:tbl>
    <w:p w14:paraId="329A8898">
      <w:pPr>
        <w:bidi w:val="0"/>
        <w:ind w:left="0" w:leftChars="0" w:firstLine="0" w:firstLineChars="0"/>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7DC9C77">
      <w:pPr>
        <w:bidi w:val="0"/>
        <w:ind w:left="0" w:leftChars="0" w:firstLine="0" w:firstLineChars="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附表</w:t>
      </w:r>
    </w:p>
    <w:p w14:paraId="31E83CAA">
      <w:pPr>
        <w:pStyle w:val="2"/>
        <w:bidi w:val="0"/>
        <w:rPr>
          <w:rFonts w:hint="eastAsia"/>
          <w:color w:val="0000FF"/>
          <w:lang w:val="en-US" w:eastAsia="zh-CN"/>
        </w:rPr>
      </w:pPr>
      <w:bookmarkStart w:id="17" w:name="_Toc17938"/>
      <w:r>
        <w:rPr>
          <w:rFonts w:hint="eastAsia"/>
          <w:color w:val="0000FF"/>
          <w:lang w:val="en-US" w:eastAsia="zh-CN"/>
        </w:rPr>
        <w:t>建设项目污染物排放量汇总表</w:t>
      </w:r>
      <w:bookmarkEnd w:id="17"/>
    </w:p>
    <w:tbl>
      <w:tblPr>
        <w:tblStyle w:val="24"/>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1304"/>
        <w:gridCol w:w="1786"/>
        <w:gridCol w:w="1298"/>
        <w:gridCol w:w="1815"/>
        <w:gridCol w:w="1827"/>
        <w:gridCol w:w="1758"/>
        <w:gridCol w:w="1875"/>
        <w:gridCol w:w="1309"/>
      </w:tblGrid>
      <w:tr w14:paraId="0A3B4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tcBorders>
              <w:tl2br w:val="single" w:color="auto" w:sz="4" w:space="0"/>
            </w:tcBorders>
            <w:vAlign w:val="center"/>
          </w:tcPr>
          <w:p w14:paraId="3DA629CC">
            <w:pPr>
              <w:pStyle w:val="33"/>
              <w:bidi w:val="0"/>
              <w:jc w:val="right"/>
              <w:rPr>
                <w:rFonts w:hint="eastAsia"/>
                <w:vertAlign w:val="baseline"/>
                <w:lang w:val="en-US" w:eastAsia="zh-CN"/>
              </w:rPr>
            </w:pPr>
            <w:r>
              <w:rPr>
                <w:rFonts w:hint="eastAsia"/>
                <w:vertAlign w:val="baseline"/>
                <w:lang w:val="en-US" w:eastAsia="zh-CN"/>
              </w:rPr>
              <w:t>项目</w:t>
            </w:r>
          </w:p>
          <w:p w14:paraId="4F6BD797">
            <w:pPr>
              <w:pStyle w:val="33"/>
              <w:bidi w:val="0"/>
              <w:jc w:val="left"/>
              <w:rPr>
                <w:rFonts w:hint="default"/>
                <w:vertAlign w:val="baseline"/>
                <w:lang w:val="en-US" w:eastAsia="zh-CN"/>
              </w:rPr>
            </w:pPr>
            <w:r>
              <w:rPr>
                <w:rFonts w:hint="eastAsia"/>
                <w:vertAlign w:val="baseline"/>
                <w:lang w:val="en-US" w:eastAsia="zh-CN"/>
              </w:rPr>
              <w:t>分类</w:t>
            </w:r>
          </w:p>
        </w:tc>
        <w:tc>
          <w:tcPr>
            <w:tcW w:w="1304" w:type="dxa"/>
            <w:vAlign w:val="center"/>
          </w:tcPr>
          <w:p w14:paraId="2C3EF1FA">
            <w:pPr>
              <w:pStyle w:val="33"/>
              <w:bidi w:val="0"/>
              <w:jc w:val="center"/>
              <w:rPr>
                <w:rFonts w:hint="eastAsia"/>
                <w:vertAlign w:val="baseline"/>
                <w:lang w:val="en-US" w:eastAsia="zh-CN"/>
              </w:rPr>
            </w:pPr>
            <w:r>
              <w:rPr>
                <w:rFonts w:hint="eastAsia"/>
                <w:vertAlign w:val="baseline"/>
                <w:lang w:val="en-US" w:eastAsia="zh-CN"/>
              </w:rPr>
              <w:t>污染物名称</w:t>
            </w:r>
          </w:p>
        </w:tc>
        <w:tc>
          <w:tcPr>
            <w:tcW w:w="1786" w:type="dxa"/>
            <w:vAlign w:val="center"/>
          </w:tcPr>
          <w:p w14:paraId="4F4F4894">
            <w:pPr>
              <w:pStyle w:val="33"/>
              <w:bidi w:val="0"/>
              <w:jc w:val="center"/>
              <w:rPr>
                <w:rFonts w:hint="eastAsia"/>
                <w:vertAlign w:val="baseline"/>
                <w:lang w:val="en-US" w:eastAsia="zh-CN"/>
              </w:rPr>
            </w:pPr>
            <w:r>
              <w:rPr>
                <w:rFonts w:hint="eastAsia"/>
                <w:vertAlign w:val="baseline"/>
                <w:lang w:val="en-US" w:eastAsia="zh-CN"/>
              </w:rPr>
              <w:t>现有工程</w:t>
            </w:r>
          </w:p>
          <w:p w14:paraId="3514F37B">
            <w:pPr>
              <w:pStyle w:val="33"/>
              <w:bidi w:val="0"/>
              <w:jc w:val="center"/>
              <w:rPr>
                <w:rFonts w:hint="eastAsia"/>
                <w:vertAlign w:val="baseline"/>
                <w:lang w:val="en-US" w:eastAsia="zh-CN"/>
              </w:rPr>
            </w:pPr>
            <w:r>
              <w:rPr>
                <w:rFonts w:hint="eastAsia"/>
                <w:vertAlign w:val="baseline"/>
                <w:lang w:val="en-US" w:eastAsia="zh-CN"/>
              </w:rPr>
              <w:t>排放量（固体废物产生量）</w:t>
            </w:r>
            <w:r>
              <w:rPr>
                <w:rFonts w:hint="eastAsia"/>
                <w:vertAlign w:val="baseline"/>
                <w:lang w:val="en-US" w:eastAsia="zh-CN"/>
              </w:rPr>
              <w:fldChar w:fldCharType="begin"/>
            </w:r>
            <w:r>
              <w:rPr>
                <w:rFonts w:hint="eastAsia"/>
                <w:vertAlign w:val="baseline"/>
                <w:lang w:val="en-US" w:eastAsia="zh-CN"/>
              </w:rPr>
              <w:instrText xml:space="preserve"> = 1 \* GB3 \* MERGEFORMAT </w:instrText>
            </w:r>
            <w:r>
              <w:rPr>
                <w:rFonts w:hint="eastAsia"/>
                <w:vertAlign w:val="baseline"/>
                <w:lang w:val="en-US" w:eastAsia="zh-CN"/>
              </w:rPr>
              <w:fldChar w:fldCharType="separate"/>
            </w:r>
            <w:r>
              <w:rPr>
                <w:rFonts w:hint="eastAsia"/>
                <w:vertAlign w:val="baseline"/>
                <w:lang w:val="en-US" w:eastAsia="zh-CN"/>
              </w:rPr>
              <w:t>①</w:t>
            </w:r>
            <w:r>
              <w:rPr>
                <w:rFonts w:hint="eastAsia"/>
                <w:vertAlign w:val="baseline"/>
                <w:lang w:val="en-US" w:eastAsia="zh-CN"/>
              </w:rPr>
              <w:fldChar w:fldCharType="end"/>
            </w:r>
          </w:p>
        </w:tc>
        <w:tc>
          <w:tcPr>
            <w:tcW w:w="1298" w:type="dxa"/>
            <w:vAlign w:val="center"/>
          </w:tcPr>
          <w:p w14:paraId="4E53F30C">
            <w:pPr>
              <w:pStyle w:val="33"/>
              <w:bidi w:val="0"/>
              <w:jc w:val="center"/>
              <w:rPr>
                <w:rFonts w:hint="eastAsia"/>
                <w:vertAlign w:val="baseline"/>
                <w:lang w:val="en-US" w:eastAsia="zh-CN"/>
              </w:rPr>
            </w:pPr>
            <w:r>
              <w:rPr>
                <w:rFonts w:hint="eastAsia"/>
                <w:vertAlign w:val="baseline"/>
                <w:lang w:val="en-US" w:eastAsia="zh-CN"/>
              </w:rPr>
              <w:t>现有工程</w:t>
            </w:r>
          </w:p>
          <w:p w14:paraId="4C15D7E8">
            <w:pPr>
              <w:pStyle w:val="33"/>
              <w:bidi w:val="0"/>
              <w:jc w:val="center"/>
              <w:rPr>
                <w:rFonts w:hint="eastAsia"/>
                <w:vertAlign w:val="baseline"/>
                <w:lang w:val="en-US" w:eastAsia="zh-CN"/>
              </w:rPr>
            </w:pPr>
            <w:r>
              <w:rPr>
                <w:rFonts w:hint="eastAsia"/>
                <w:vertAlign w:val="baseline"/>
                <w:lang w:val="en-US" w:eastAsia="zh-CN"/>
              </w:rPr>
              <w:t>许可排放量</w:t>
            </w:r>
            <w:r>
              <w:rPr>
                <w:rFonts w:hint="eastAsia"/>
                <w:vertAlign w:val="baseline"/>
                <w:lang w:val="en-US" w:eastAsia="zh-CN"/>
              </w:rPr>
              <w:fldChar w:fldCharType="begin"/>
            </w:r>
            <w:r>
              <w:rPr>
                <w:rFonts w:hint="eastAsia"/>
                <w:vertAlign w:val="baseline"/>
                <w:lang w:val="en-US" w:eastAsia="zh-CN"/>
              </w:rPr>
              <w:instrText xml:space="preserve"> = 2 \* GB3 \* MERGEFORMAT </w:instrText>
            </w:r>
            <w:r>
              <w:rPr>
                <w:rFonts w:hint="eastAsia"/>
                <w:vertAlign w:val="baseline"/>
                <w:lang w:val="en-US" w:eastAsia="zh-CN"/>
              </w:rPr>
              <w:fldChar w:fldCharType="separate"/>
            </w:r>
            <w:r>
              <w:rPr>
                <w:rFonts w:hint="eastAsia"/>
                <w:vertAlign w:val="baseline"/>
                <w:lang w:val="en-US" w:eastAsia="zh-CN"/>
              </w:rPr>
              <w:t>②</w:t>
            </w:r>
            <w:r>
              <w:rPr>
                <w:rFonts w:hint="eastAsia"/>
                <w:vertAlign w:val="baseline"/>
                <w:lang w:val="en-US" w:eastAsia="zh-CN"/>
              </w:rPr>
              <w:fldChar w:fldCharType="end"/>
            </w:r>
          </w:p>
        </w:tc>
        <w:tc>
          <w:tcPr>
            <w:tcW w:w="1815" w:type="dxa"/>
            <w:vAlign w:val="center"/>
          </w:tcPr>
          <w:p w14:paraId="2A81D7D0">
            <w:pPr>
              <w:pStyle w:val="33"/>
              <w:bidi w:val="0"/>
              <w:jc w:val="center"/>
              <w:rPr>
                <w:rFonts w:hint="eastAsia"/>
                <w:vertAlign w:val="baseline"/>
                <w:lang w:val="en-US" w:eastAsia="zh-CN"/>
              </w:rPr>
            </w:pPr>
            <w:r>
              <w:rPr>
                <w:rFonts w:hint="eastAsia"/>
                <w:vertAlign w:val="baseline"/>
                <w:lang w:val="en-US" w:eastAsia="zh-CN"/>
              </w:rPr>
              <w:t>在建工程</w:t>
            </w:r>
          </w:p>
          <w:p w14:paraId="16347E11">
            <w:pPr>
              <w:pStyle w:val="33"/>
              <w:bidi w:val="0"/>
              <w:jc w:val="center"/>
              <w:rPr>
                <w:rFonts w:hint="eastAsia"/>
                <w:vertAlign w:val="baseline"/>
                <w:lang w:val="en-US" w:eastAsia="zh-CN"/>
              </w:rPr>
            </w:pPr>
            <w:r>
              <w:rPr>
                <w:rFonts w:hint="eastAsia"/>
                <w:vertAlign w:val="baseline"/>
                <w:lang w:val="en-US" w:eastAsia="zh-CN"/>
              </w:rPr>
              <w:t>排放量（固体废物产生量）</w:t>
            </w:r>
            <w:r>
              <w:rPr>
                <w:rFonts w:hint="eastAsia"/>
                <w:vertAlign w:val="baseline"/>
                <w:lang w:val="en-US" w:eastAsia="zh-CN"/>
              </w:rPr>
              <w:fldChar w:fldCharType="begin"/>
            </w:r>
            <w:r>
              <w:rPr>
                <w:rFonts w:hint="eastAsia"/>
                <w:vertAlign w:val="baseline"/>
                <w:lang w:val="en-US" w:eastAsia="zh-CN"/>
              </w:rPr>
              <w:instrText xml:space="preserve"> = 3 \* GB3 \* MERGEFORMAT </w:instrText>
            </w:r>
            <w:r>
              <w:rPr>
                <w:rFonts w:hint="eastAsia"/>
                <w:vertAlign w:val="baseline"/>
                <w:lang w:val="en-US" w:eastAsia="zh-CN"/>
              </w:rPr>
              <w:fldChar w:fldCharType="separate"/>
            </w:r>
            <w:r>
              <w:rPr>
                <w:rFonts w:hint="eastAsia"/>
                <w:vertAlign w:val="baseline"/>
                <w:lang w:val="en-US" w:eastAsia="zh-CN"/>
              </w:rPr>
              <w:t>③</w:t>
            </w:r>
            <w:r>
              <w:rPr>
                <w:rFonts w:hint="eastAsia"/>
                <w:vertAlign w:val="baseline"/>
                <w:lang w:val="en-US" w:eastAsia="zh-CN"/>
              </w:rPr>
              <w:fldChar w:fldCharType="end"/>
            </w:r>
          </w:p>
        </w:tc>
        <w:tc>
          <w:tcPr>
            <w:tcW w:w="1827" w:type="dxa"/>
            <w:vAlign w:val="center"/>
          </w:tcPr>
          <w:p w14:paraId="1CABE136">
            <w:pPr>
              <w:pStyle w:val="33"/>
              <w:bidi w:val="0"/>
              <w:jc w:val="center"/>
              <w:rPr>
                <w:rFonts w:hint="eastAsia"/>
                <w:vertAlign w:val="baseline"/>
                <w:lang w:val="en-US" w:eastAsia="zh-CN"/>
              </w:rPr>
            </w:pPr>
            <w:r>
              <w:rPr>
                <w:rFonts w:hint="eastAsia"/>
                <w:vertAlign w:val="baseline"/>
                <w:lang w:val="en-US" w:eastAsia="zh-CN"/>
              </w:rPr>
              <w:t>本项目</w:t>
            </w:r>
          </w:p>
          <w:p w14:paraId="3C5F0DAE">
            <w:pPr>
              <w:pStyle w:val="33"/>
              <w:bidi w:val="0"/>
              <w:jc w:val="center"/>
              <w:rPr>
                <w:rFonts w:hint="eastAsia"/>
                <w:vertAlign w:val="baseline"/>
                <w:lang w:val="en-US" w:eastAsia="zh-CN"/>
              </w:rPr>
            </w:pPr>
            <w:r>
              <w:rPr>
                <w:rFonts w:hint="eastAsia"/>
                <w:vertAlign w:val="baseline"/>
                <w:lang w:val="en-US" w:eastAsia="zh-CN"/>
              </w:rPr>
              <w:t>排放量（固体废物产生量）</w:t>
            </w:r>
            <w:r>
              <w:rPr>
                <w:rFonts w:hint="eastAsia"/>
                <w:vertAlign w:val="baseline"/>
                <w:lang w:val="en-US" w:eastAsia="zh-CN"/>
              </w:rPr>
              <w:fldChar w:fldCharType="begin"/>
            </w:r>
            <w:r>
              <w:rPr>
                <w:rFonts w:hint="eastAsia"/>
                <w:vertAlign w:val="baseline"/>
                <w:lang w:val="en-US" w:eastAsia="zh-CN"/>
              </w:rPr>
              <w:instrText xml:space="preserve"> = 4 \* GB3 \* MERGEFORMAT </w:instrText>
            </w:r>
            <w:r>
              <w:rPr>
                <w:rFonts w:hint="eastAsia"/>
                <w:vertAlign w:val="baseline"/>
                <w:lang w:val="en-US" w:eastAsia="zh-CN"/>
              </w:rPr>
              <w:fldChar w:fldCharType="separate"/>
            </w:r>
            <w:r>
              <w:rPr>
                <w:rFonts w:hint="eastAsia"/>
                <w:vertAlign w:val="baseline"/>
                <w:lang w:val="en-US" w:eastAsia="zh-CN"/>
              </w:rPr>
              <w:t>④</w:t>
            </w:r>
            <w:r>
              <w:rPr>
                <w:rFonts w:hint="eastAsia"/>
                <w:vertAlign w:val="baseline"/>
                <w:lang w:val="en-US" w:eastAsia="zh-CN"/>
              </w:rPr>
              <w:fldChar w:fldCharType="end"/>
            </w:r>
          </w:p>
        </w:tc>
        <w:tc>
          <w:tcPr>
            <w:tcW w:w="1758" w:type="dxa"/>
            <w:vAlign w:val="center"/>
          </w:tcPr>
          <w:p w14:paraId="5A41DED7">
            <w:pPr>
              <w:pStyle w:val="33"/>
              <w:bidi w:val="0"/>
              <w:jc w:val="center"/>
              <w:rPr>
                <w:rFonts w:hint="eastAsia"/>
                <w:vertAlign w:val="baseline"/>
                <w:lang w:val="en-US" w:eastAsia="zh-CN"/>
              </w:rPr>
            </w:pPr>
            <w:r>
              <w:rPr>
                <w:rFonts w:hint="eastAsia"/>
                <w:vertAlign w:val="baseline"/>
                <w:lang w:val="en-US" w:eastAsia="zh-CN"/>
              </w:rPr>
              <w:t>以新带老削减量</w:t>
            </w:r>
          </w:p>
          <w:p w14:paraId="7DE09782">
            <w:pPr>
              <w:pStyle w:val="33"/>
              <w:bidi w:val="0"/>
              <w:jc w:val="center"/>
              <w:rPr>
                <w:rFonts w:hint="eastAsia"/>
                <w:vertAlign w:val="baseline"/>
                <w:lang w:val="en-US" w:eastAsia="zh-CN"/>
              </w:rPr>
            </w:pPr>
            <w:r>
              <w:rPr>
                <w:rFonts w:hint="eastAsia"/>
                <w:vertAlign w:val="baseline"/>
                <w:lang w:val="en-US" w:eastAsia="zh-CN"/>
              </w:rPr>
              <w:t>（新建项目不填）</w:t>
            </w:r>
            <w:r>
              <w:rPr>
                <w:rFonts w:hint="eastAsia"/>
                <w:vertAlign w:val="baseline"/>
                <w:lang w:val="en-US" w:eastAsia="zh-CN"/>
              </w:rPr>
              <w:fldChar w:fldCharType="begin"/>
            </w:r>
            <w:r>
              <w:rPr>
                <w:rFonts w:hint="eastAsia"/>
                <w:vertAlign w:val="baseline"/>
                <w:lang w:val="en-US" w:eastAsia="zh-CN"/>
              </w:rPr>
              <w:instrText xml:space="preserve"> = 5 \* GB3 \* MERGEFORMAT </w:instrText>
            </w:r>
            <w:r>
              <w:rPr>
                <w:rFonts w:hint="eastAsia"/>
                <w:vertAlign w:val="baseline"/>
                <w:lang w:val="en-US" w:eastAsia="zh-CN"/>
              </w:rPr>
              <w:fldChar w:fldCharType="separate"/>
            </w:r>
            <w:r>
              <w:rPr>
                <w:rFonts w:hint="eastAsia"/>
                <w:vertAlign w:val="baseline"/>
                <w:lang w:val="en-US" w:eastAsia="zh-CN"/>
              </w:rPr>
              <w:t>⑤</w:t>
            </w:r>
            <w:r>
              <w:rPr>
                <w:rFonts w:hint="eastAsia"/>
                <w:vertAlign w:val="baseline"/>
                <w:lang w:val="en-US" w:eastAsia="zh-CN"/>
              </w:rPr>
              <w:fldChar w:fldCharType="end"/>
            </w:r>
          </w:p>
        </w:tc>
        <w:tc>
          <w:tcPr>
            <w:tcW w:w="1875" w:type="dxa"/>
            <w:vAlign w:val="center"/>
          </w:tcPr>
          <w:p w14:paraId="6F213C6F">
            <w:pPr>
              <w:pStyle w:val="33"/>
              <w:bidi w:val="0"/>
              <w:rPr>
                <w:rFonts w:hint="default"/>
                <w:lang w:val="en-US" w:eastAsia="zh-CN"/>
              </w:rPr>
            </w:pPr>
            <w:r>
              <w:rPr>
                <w:rFonts w:hint="eastAsia"/>
                <w:lang w:val="en-US" w:eastAsia="zh-CN"/>
              </w:rPr>
              <w:t>本项目建成后全厂排放量（固体废物产生量）⑥</w:t>
            </w:r>
          </w:p>
        </w:tc>
        <w:tc>
          <w:tcPr>
            <w:tcW w:w="1309" w:type="dxa"/>
            <w:vAlign w:val="center"/>
          </w:tcPr>
          <w:p w14:paraId="66D910C0">
            <w:pPr>
              <w:pStyle w:val="33"/>
              <w:bidi w:val="0"/>
              <w:jc w:val="center"/>
              <w:rPr>
                <w:rFonts w:hint="default"/>
                <w:vertAlign w:val="baseline"/>
                <w:lang w:val="en-US" w:eastAsia="zh-CN"/>
              </w:rPr>
            </w:pPr>
            <w:r>
              <w:rPr>
                <w:rFonts w:hint="eastAsia"/>
                <w:vertAlign w:val="baseline"/>
                <w:lang w:val="en-US" w:eastAsia="zh-CN"/>
              </w:rPr>
              <w:t>变化量⑦</w:t>
            </w:r>
          </w:p>
        </w:tc>
      </w:tr>
      <w:tr w14:paraId="39DE6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202" w:type="dxa"/>
            <w:vAlign w:val="center"/>
          </w:tcPr>
          <w:p w14:paraId="53335DD4">
            <w:pPr>
              <w:pStyle w:val="33"/>
              <w:bidi w:val="0"/>
              <w:jc w:val="center"/>
              <w:rPr>
                <w:rFonts w:hint="default"/>
                <w:vertAlign w:val="baseline"/>
                <w:lang w:val="en-US" w:eastAsia="zh-CN"/>
              </w:rPr>
            </w:pPr>
            <w:r>
              <w:rPr>
                <w:rFonts w:hint="eastAsia"/>
                <w:vertAlign w:val="baseline"/>
                <w:lang w:val="en-US" w:eastAsia="zh-CN"/>
              </w:rPr>
              <w:t>废气</w:t>
            </w:r>
          </w:p>
        </w:tc>
        <w:tc>
          <w:tcPr>
            <w:tcW w:w="1304" w:type="dxa"/>
            <w:vAlign w:val="center"/>
          </w:tcPr>
          <w:p w14:paraId="07180395">
            <w:pPr>
              <w:pStyle w:val="33"/>
              <w:bidi w:val="0"/>
              <w:jc w:val="center"/>
              <w:rPr>
                <w:rFonts w:hint="default"/>
                <w:color w:val="auto"/>
                <w:highlight w:val="none"/>
                <w:u w:val="none"/>
                <w:vertAlign w:val="baseline"/>
                <w:lang w:val="en-US" w:eastAsia="zh-CN"/>
              </w:rPr>
            </w:pPr>
            <w:r>
              <w:rPr>
                <w:rFonts w:hint="eastAsia"/>
                <w:color w:val="auto"/>
                <w:highlight w:val="none"/>
                <w:u w:val="none"/>
                <w:vertAlign w:val="baseline"/>
                <w:lang w:val="en-US" w:eastAsia="zh-CN"/>
              </w:rPr>
              <w:t>颗粒物</w:t>
            </w:r>
          </w:p>
        </w:tc>
        <w:tc>
          <w:tcPr>
            <w:tcW w:w="1786" w:type="dxa"/>
            <w:vAlign w:val="center"/>
          </w:tcPr>
          <w:p w14:paraId="0187490D">
            <w:pPr>
              <w:pStyle w:val="33"/>
              <w:bidi w:val="0"/>
              <w:jc w:val="center"/>
              <w:rPr>
                <w:rFonts w:hint="default"/>
                <w:color w:val="auto"/>
                <w:highlight w:val="none"/>
                <w:u w:val="none"/>
                <w:vertAlign w:val="baseline"/>
                <w:lang w:val="en-US" w:eastAsia="zh-CN"/>
              </w:rPr>
            </w:pPr>
            <w:r>
              <w:rPr>
                <w:rFonts w:hint="eastAsia"/>
                <w:color w:val="auto"/>
                <w:highlight w:val="none"/>
                <w:u w:val="none"/>
                <w:vertAlign w:val="baseline"/>
                <w:lang w:val="en-US" w:eastAsia="zh-CN"/>
              </w:rPr>
              <w:t>/</w:t>
            </w:r>
          </w:p>
        </w:tc>
        <w:tc>
          <w:tcPr>
            <w:tcW w:w="1298" w:type="dxa"/>
            <w:vAlign w:val="center"/>
          </w:tcPr>
          <w:p w14:paraId="162F41B0">
            <w:pPr>
              <w:pStyle w:val="33"/>
              <w:bidi w:val="0"/>
              <w:ind w:firstLine="0" w:firstLineChars="0"/>
              <w:jc w:val="center"/>
              <w:rPr>
                <w:rFonts w:hint="eastAsia" w:ascii="Times New Roman" w:hAnsi="Times New Roman" w:eastAsia="宋体" w:cs="Times New Roman"/>
                <w:color w:val="auto"/>
                <w:kern w:val="2"/>
                <w:sz w:val="21"/>
                <w:szCs w:val="36"/>
                <w:highlight w:val="none"/>
                <w:u w:val="none"/>
                <w:vertAlign w:val="baseline"/>
                <w:lang w:val="en-US" w:eastAsia="zh-CN" w:bidi="ar-SA"/>
              </w:rPr>
            </w:pPr>
            <w:r>
              <w:rPr>
                <w:rFonts w:hint="eastAsia"/>
                <w:color w:val="auto"/>
                <w:highlight w:val="none"/>
                <w:u w:val="none"/>
                <w:vertAlign w:val="baseline"/>
                <w:lang w:val="en-US" w:eastAsia="zh-CN"/>
              </w:rPr>
              <w:t>/</w:t>
            </w:r>
          </w:p>
        </w:tc>
        <w:tc>
          <w:tcPr>
            <w:tcW w:w="1815" w:type="dxa"/>
            <w:vAlign w:val="center"/>
          </w:tcPr>
          <w:p w14:paraId="1622A28F">
            <w:pPr>
              <w:pStyle w:val="33"/>
              <w:bidi w:val="0"/>
              <w:ind w:firstLine="0" w:firstLineChars="0"/>
              <w:jc w:val="center"/>
              <w:rPr>
                <w:rFonts w:hint="eastAsia" w:ascii="Times New Roman" w:hAnsi="Times New Roman" w:eastAsia="宋体" w:cs="Times New Roman"/>
                <w:color w:val="auto"/>
                <w:kern w:val="2"/>
                <w:sz w:val="21"/>
                <w:szCs w:val="36"/>
                <w:highlight w:val="none"/>
                <w:u w:val="none"/>
                <w:vertAlign w:val="baseline"/>
                <w:lang w:val="en-US" w:eastAsia="zh-CN" w:bidi="ar-SA"/>
              </w:rPr>
            </w:pPr>
            <w:r>
              <w:rPr>
                <w:rFonts w:hint="eastAsia"/>
                <w:color w:val="auto"/>
                <w:highlight w:val="none"/>
                <w:u w:val="none"/>
                <w:vertAlign w:val="baseline"/>
                <w:lang w:val="en-US" w:eastAsia="zh-CN"/>
              </w:rPr>
              <w:t>/</w:t>
            </w:r>
          </w:p>
        </w:tc>
        <w:tc>
          <w:tcPr>
            <w:tcW w:w="1827" w:type="dxa"/>
            <w:vAlign w:val="center"/>
          </w:tcPr>
          <w:p w14:paraId="19B6BFDB">
            <w:pPr>
              <w:pStyle w:val="33"/>
              <w:bidi w:val="0"/>
              <w:jc w:val="center"/>
              <w:rPr>
                <w:rFonts w:hint="default"/>
                <w:color w:val="auto"/>
                <w:highlight w:val="none"/>
                <w:u w:val="none"/>
                <w:vertAlign w:val="baseline"/>
                <w:lang w:val="en-US" w:eastAsia="zh-CN"/>
              </w:rPr>
            </w:pPr>
            <w:r>
              <w:rPr>
                <w:rFonts w:hint="eastAsia"/>
                <w:color w:val="auto"/>
                <w:highlight w:val="none"/>
                <w:u w:val="none"/>
                <w:vertAlign w:val="baseline"/>
                <w:lang w:val="en-US" w:eastAsia="zh-CN"/>
              </w:rPr>
              <w:t>5.222t/a</w:t>
            </w:r>
          </w:p>
        </w:tc>
        <w:tc>
          <w:tcPr>
            <w:tcW w:w="1758" w:type="dxa"/>
            <w:vAlign w:val="center"/>
          </w:tcPr>
          <w:p w14:paraId="0D3E0415">
            <w:pPr>
              <w:pStyle w:val="33"/>
              <w:bidi w:val="0"/>
              <w:ind w:firstLine="0" w:firstLineChars="0"/>
              <w:jc w:val="center"/>
              <w:rPr>
                <w:rFonts w:hint="eastAsia" w:ascii="Times New Roman" w:hAnsi="Times New Roman" w:eastAsia="宋体" w:cs="Times New Roman"/>
                <w:color w:val="auto"/>
                <w:kern w:val="2"/>
                <w:sz w:val="21"/>
                <w:szCs w:val="36"/>
                <w:highlight w:val="none"/>
                <w:u w:val="none"/>
                <w:vertAlign w:val="baseline"/>
                <w:lang w:val="en-US" w:eastAsia="zh-CN" w:bidi="ar-SA"/>
              </w:rPr>
            </w:pPr>
            <w:r>
              <w:rPr>
                <w:rFonts w:hint="eastAsia"/>
                <w:color w:val="auto"/>
                <w:highlight w:val="none"/>
                <w:u w:val="none"/>
                <w:vertAlign w:val="baseline"/>
                <w:lang w:val="en-US" w:eastAsia="zh-CN"/>
              </w:rPr>
              <w:t>/</w:t>
            </w:r>
          </w:p>
        </w:tc>
        <w:tc>
          <w:tcPr>
            <w:tcW w:w="1875" w:type="dxa"/>
            <w:vAlign w:val="center"/>
          </w:tcPr>
          <w:p w14:paraId="6809658E">
            <w:pPr>
              <w:pStyle w:val="33"/>
              <w:bidi w:val="0"/>
              <w:ind w:firstLine="0" w:firstLineChars="0"/>
              <w:jc w:val="center"/>
              <w:rPr>
                <w:rFonts w:hint="eastAsia" w:ascii="Times New Roman" w:hAnsi="Times New Roman" w:eastAsia="宋体" w:cs="Times New Roman"/>
                <w:color w:val="auto"/>
                <w:kern w:val="2"/>
                <w:sz w:val="21"/>
                <w:szCs w:val="36"/>
                <w:highlight w:val="none"/>
                <w:u w:val="none"/>
                <w:vertAlign w:val="baseline"/>
                <w:lang w:val="en-US" w:eastAsia="zh-CN" w:bidi="ar-SA"/>
              </w:rPr>
            </w:pPr>
            <w:r>
              <w:rPr>
                <w:rFonts w:hint="eastAsia"/>
                <w:color w:val="auto"/>
                <w:highlight w:val="none"/>
                <w:u w:val="none"/>
                <w:vertAlign w:val="baseline"/>
                <w:lang w:val="en-US" w:eastAsia="zh-CN"/>
              </w:rPr>
              <w:t>5.222t/a</w:t>
            </w:r>
          </w:p>
        </w:tc>
        <w:tc>
          <w:tcPr>
            <w:tcW w:w="1309" w:type="dxa"/>
            <w:vAlign w:val="center"/>
          </w:tcPr>
          <w:p w14:paraId="50D32514">
            <w:pPr>
              <w:pStyle w:val="33"/>
              <w:bidi w:val="0"/>
              <w:ind w:firstLine="0" w:firstLineChars="0"/>
              <w:jc w:val="center"/>
              <w:rPr>
                <w:rFonts w:hint="eastAsia" w:ascii="Times New Roman" w:hAnsi="Times New Roman" w:eastAsia="宋体" w:cs="Times New Roman"/>
                <w:color w:val="auto"/>
                <w:kern w:val="2"/>
                <w:sz w:val="21"/>
                <w:szCs w:val="36"/>
                <w:highlight w:val="none"/>
                <w:u w:val="none"/>
                <w:vertAlign w:val="baseline"/>
                <w:lang w:val="en-US" w:eastAsia="zh-CN" w:bidi="ar-SA"/>
              </w:rPr>
            </w:pPr>
            <w:r>
              <w:rPr>
                <w:rFonts w:hint="eastAsia"/>
                <w:color w:val="auto"/>
                <w:highlight w:val="none"/>
                <w:u w:val="none"/>
                <w:vertAlign w:val="baseline"/>
                <w:lang w:val="en-US" w:eastAsia="zh-CN"/>
              </w:rPr>
              <w:t>+5.222t/a</w:t>
            </w:r>
          </w:p>
        </w:tc>
      </w:tr>
      <w:tr w14:paraId="3D230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202" w:type="dxa"/>
            <w:vMerge w:val="restart"/>
            <w:vAlign w:val="center"/>
          </w:tcPr>
          <w:p w14:paraId="02911F8E">
            <w:pPr>
              <w:pStyle w:val="33"/>
              <w:bidi w:val="0"/>
              <w:jc w:val="center"/>
              <w:rPr>
                <w:rFonts w:hint="default"/>
                <w:vertAlign w:val="baseline"/>
                <w:lang w:val="en-US" w:eastAsia="zh-CN"/>
              </w:rPr>
            </w:pPr>
            <w:r>
              <w:rPr>
                <w:rFonts w:hint="eastAsia"/>
                <w:vertAlign w:val="baseline"/>
                <w:lang w:val="en-US" w:eastAsia="zh-CN"/>
              </w:rPr>
              <w:t>废水</w:t>
            </w:r>
          </w:p>
        </w:tc>
        <w:tc>
          <w:tcPr>
            <w:tcW w:w="1304" w:type="dxa"/>
            <w:vAlign w:val="center"/>
          </w:tcPr>
          <w:p w14:paraId="6A9FE19B">
            <w:pPr>
              <w:pStyle w:val="33"/>
              <w:bidi w:val="0"/>
              <w:jc w:val="center"/>
              <w:rPr>
                <w:rFonts w:hint="default"/>
                <w:vertAlign w:val="baseline"/>
                <w:lang w:val="en-US" w:eastAsia="zh-CN"/>
              </w:rPr>
            </w:pPr>
            <w:r>
              <w:rPr>
                <w:rFonts w:hint="eastAsia"/>
                <w:vertAlign w:val="baseline"/>
                <w:lang w:val="en-US" w:eastAsia="zh-CN"/>
              </w:rPr>
              <w:t>废水量</w:t>
            </w:r>
          </w:p>
        </w:tc>
        <w:tc>
          <w:tcPr>
            <w:tcW w:w="1786" w:type="dxa"/>
            <w:vAlign w:val="center"/>
          </w:tcPr>
          <w:p w14:paraId="68645D23">
            <w:pPr>
              <w:pStyle w:val="33"/>
              <w:bidi w:val="0"/>
              <w:ind w:firstLine="0" w:firstLineChars="0"/>
              <w:jc w:val="center"/>
              <w:rPr>
                <w:rFonts w:hint="eastAsia"/>
                <w:vertAlign w:val="baseline"/>
                <w:lang w:val="en-US" w:eastAsia="zh-CN"/>
              </w:rPr>
            </w:pPr>
            <w:r>
              <w:rPr>
                <w:rFonts w:hint="eastAsia"/>
                <w:color w:val="auto"/>
                <w:highlight w:val="none"/>
                <w:u w:val="none"/>
                <w:vertAlign w:val="baseline"/>
                <w:lang w:val="en-US" w:eastAsia="zh-CN"/>
              </w:rPr>
              <w:t>/</w:t>
            </w:r>
          </w:p>
        </w:tc>
        <w:tc>
          <w:tcPr>
            <w:tcW w:w="1298" w:type="dxa"/>
            <w:vAlign w:val="center"/>
          </w:tcPr>
          <w:p w14:paraId="7C06D3BA">
            <w:pPr>
              <w:pStyle w:val="33"/>
              <w:bidi w:val="0"/>
              <w:ind w:firstLine="0" w:firstLineChars="0"/>
              <w:jc w:val="center"/>
              <w:rPr>
                <w:rFonts w:hint="eastAsia"/>
                <w:vertAlign w:val="baseline"/>
                <w:lang w:val="en-US" w:eastAsia="zh-CN"/>
              </w:rPr>
            </w:pPr>
            <w:r>
              <w:rPr>
                <w:rFonts w:hint="eastAsia"/>
                <w:color w:val="auto"/>
                <w:highlight w:val="none"/>
                <w:u w:val="none"/>
                <w:vertAlign w:val="baseline"/>
                <w:lang w:val="en-US" w:eastAsia="zh-CN"/>
              </w:rPr>
              <w:t>/</w:t>
            </w:r>
          </w:p>
        </w:tc>
        <w:tc>
          <w:tcPr>
            <w:tcW w:w="1815" w:type="dxa"/>
            <w:vAlign w:val="center"/>
          </w:tcPr>
          <w:p w14:paraId="0349CE04">
            <w:pPr>
              <w:pStyle w:val="33"/>
              <w:bidi w:val="0"/>
              <w:ind w:firstLine="0" w:firstLineChars="0"/>
              <w:jc w:val="center"/>
              <w:rPr>
                <w:rFonts w:hint="eastAsia"/>
                <w:vertAlign w:val="baseline"/>
                <w:lang w:val="en-US" w:eastAsia="zh-CN"/>
              </w:rPr>
            </w:pPr>
            <w:r>
              <w:rPr>
                <w:rFonts w:hint="eastAsia"/>
                <w:color w:val="auto"/>
                <w:highlight w:val="none"/>
                <w:u w:val="none"/>
                <w:vertAlign w:val="baseline"/>
                <w:lang w:val="en-US" w:eastAsia="zh-CN"/>
              </w:rPr>
              <w:t>/</w:t>
            </w:r>
          </w:p>
        </w:tc>
        <w:tc>
          <w:tcPr>
            <w:tcW w:w="1827" w:type="dxa"/>
            <w:vAlign w:val="center"/>
          </w:tcPr>
          <w:p w14:paraId="1D05EA84">
            <w:pPr>
              <w:pStyle w:val="33"/>
              <w:bidi w:val="0"/>
              <w:jc w:val="center"/>
              <w:rPr>
                <w:rFonts w:hint="default"/>
                <w:vertAlign w:val="baseline"/>
                <w:lang w:val="en-US" w:eastAsia="zh-CN"/>
              </w:rPr>
            </w:pPr>
            <w:r>
              <w:rPr>
                <w:rFonts w:hint="eastAsia"/>
                <w:vertAlign w:val="baseline"/>
                <w:lang w:val="en-US" w:eastAsia="zh-CN"/>
              </w:rPr>
              <w:t>120m</w:t>
            </w:r>
            <w:r>
              <w:rPr>
                <w:rFonts w:hint="eastAsia"/>
                <w:vertAlign w:val="superscript"/>
                <w:lang w:val="en-US" w:eastAsia="zh-CN"/>
              </w:rPr>
              <w:t>3</w:t>
            </w:r>
            <w:r>
              <w:rPr>
                <w:rFonts w:hint="eastAsia"/>
                <w:vertAlign w:val="baseline"/>
                <w:lang w:val="en-US" w:eastAsia="zh-CN"/>
              </w:rPr>
              <w:t>/a</w:t>
            </w:r>
          </w:p>
        </w:tc>
        <w:tc>
          <w:tcPr>
            <w:tcW w:w="1758" w:type="dxa"/>
            <w:vAlign w:val="center"/>
          </w:tcPr>
          <w:p w14:paraId="02DC1BF0">
            <w:pPr>
              <w:pStyle w:val="33"/>
              <w:bidi w:val="0"/>
              <w:ind w:firstLine="0" w:firstLineChars="0"/>
              <w:jc w:val="center"/>
              <w:rPr>
                <w:rFonts w:hint="default"/>
                <w:vertAlign w:val="baseline"/>
                <w:lang w:val="en-US" w:eastAsia="zh-CN"/>
              </w:rPr>
            </w:pPr>
            <w:r>
              <w:rPr>
                <w:rFonts w:hint="eastAsia"/>
                <w:vertAlign w:val="baseline"/>
                <w:lang w:val="en-US" w:eastAsia="zh-CN"/>
              </w:rPr>
              <w:t>/</w:t>
            </w:r>
          </w:p>
        </w:tc>
        <w:tc>
          <w:tcPr>
            <w:tcW w:w="1875" w:type="dxa"/>
            <w:vAlign w:val="center"/>
          </w:tcPr>
          <w:p w14:paraId="7CBB7322">
            <w:pPr>
              <w:pStyle w:val="33"/>
              <w:bidi w:val="0"/>
              <w:ind w:firstLine="0" w:firstLineChars="0"/>
              <w:jc w:val="center"/>
              <w:rPr>
                <w:rFonts w:hint="eastAsia"/>
                <w:vertAlign w:val="baseline"/>
                <w:lang w:val="en-US" w:eastAsia="zh-CN"/>
              </w:rPr>
            </w:pPr>
            <w:r>
              <w:rPr>
                <w:rFonts w:hint="eastAsia"/>
                <w:vertAlign w:val="baseline"/>
                <w:lang w:val="en-US" w:eastAsia="zh-CN"/>
              </w:rPr>
              <w:t>120m</w:t>
            </w:r>
            <w:r>
              <w:rPr>
                <w:rFonts w:hint="eastAsia"/>
                <w:vertAlign w:val="superscript"/>
                <w:lang w:val="en-US" w:eastAsia="zh-CN"/>
              </w:rPr>
              <w:t>3</w:t>
            </w:r>
            <w:r>
              <w:rPr>
                <w:rFonts w:hint="eastAsia"/>
                <w:vertAlign w:val="baseline"/>
                <w:lang w:val="en-US" w:eastAsia="zh-CN"/>
              </w:rPr>
              <w:t>/a</w:t>
            </w:r>
          </w:p>
        </w:tc>
        <w:tc>
          <w:tcPr>
            <w:tcW w:w="1309" w:type="dxa"/>
            <w:vAlign w:val="center"/>
          </w:tcPr>
          <w:p w14:paraId="06CA1925">
            <w:pPr>
              <w:pStyle w:val="33"/>
              <w:bidi w:val="0"/>
              <w:ind w:firstLine="0" w:firstLineChars="0"/>
              <w:jc w:val="center"/>
              <w:rPr>
                <w:rFonts w:hint="eastAsia"/>
                <w:vertAlign w:val="baseline"/>
                <w:lang w:val="en-US" w:eastAsia="zh-CN"/>
              </w:rPr>
            </w:pPr>
            <w:r>
              <w:rPr>
                <w:rFonts w:hint="eastAsia"/>
                <w:vertAlign w:val="baseline"/>
                <w:lang w:val="en-US" w:eastAsia="zh-CN"/>
              </w:rPr>
              <w:t>+120m</w:t>
            </w:r>
            <w:r>
              <w:rPr>
                <w:rFonts w:hint="eastAsia"/>
                <w:vertAlign w:val="superscript"/>
                <w:lang w:val="en-US" w:eastAsia="zh-CN"/>
              </w:rPr>
              <w:t>3</w:t>
            </w:r>
            <w:r>
              <w:rPr>
                <w:rFonts w:hint="eastAsia"/>
                <w:vertAlign w:val="baseline"/>
                <w:lang w:val="en-US" w:eastAsia="zh-CN"/>
              </w:rPr>
              <w:t>/a</w:t>
            </w:r>
          </w:p>
        </w:tc>
      </w:tr>
      <w:tr w14:paraId="0D103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202" w:type="dxa"/>
            <w:vMerge w:val="continue"/>
            <w:vAlign w:val="center"/>
          </w:tcPr>
          <w:p w14:paraId="43E0E9C6">
            <w:pPr>
              <w:pStyle w:val="33"/>
              <w:bidi w:val="0"/>
              <w:jc w:val="center"/>
              <w:rPr>
                <w:rFonts w:hint="default"/>
                <w:vertAlign w:val="baseline"/>
                <w:lang w:val="en-US" w:eastAsia="zh-CN"/>
              </w:rPr>
            </w:pPr>
          </w:p>
        </w:tc>
        <w:tc>
          <w:tcPr>
            <w:tcW w:w="1304" w:type="dxa"/>
            <w:vAlign w:val="center"/>
          </w:tcPr>
          <w:p w14:paraId="41C68263">
            <w:pPr>
              <w:pStyle w:val="33"/>
              <w:bidi w:val="0"/>
              <w:jc w:val="center"/>
              <w:rPr>
                <w:rFonts w:hint="default"/>
                <w:vertAlign w:val="baseline"/>
                <w:lang w:val="en-US" w:eastAsia="zh-CN"/>
              </w:rPr>
            </w:pPr>
            <w:r>
              <w:rPr>
                <w:rFonts w:hint="eastAsia"/>
                <w:vertAlign w:val="baseline"/>
                <w:lang w:val="en-US" w:eastAsia="zh-CN"/>
              </w:rPr>
              <w:t>COD</w:t>
            </w:r>
          </w:p>
        </w:tc>
        <w:tc>
          <w:tcPr>
            <w:tcW w:w="1786" w:type="dxa"/>
            <w:vAlign w:val="center"/>
          </w:tcPr>
          <w:p w14:paraId="5B361A17">
            <w:pPr>
              <w:pStyle w:val="33"/>
              <w:bidi w:val="0"/>
              <w:jc w:val="center"/>
              <w:rPr>
                <w:rFonts w:hint="default"/>
                <w:vertAlign w:val="baseline"/>
                <w:lang w:val="en-US" w:eastAsia="zh-CN"/>
              </w:rPr>
            </w:pPr>
            <w:r>
              <w:rPr>
                <w:rFonts w:hint="eastAsia"/>
                <w:vertAlign w:val="baseline"/>
                <w:lang w:val="en-US" w:eastAsia="zh-CN"/>
              </w:rPr>
              <w:t>/</w:t>
            </w:r>
          </w:p>
        </w:tc>
        <w:tc>
          <w:tcPr>
            <w:tcW w:w="1298" w:type="dxa"/>
            <w:vAlign w:val="center"/>
          </w:tcPr>
          <w:p w14:paraId="6AEC25E4">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15" w:type="dxa"/>
            <w:vAlign w:val="center"/>
          </w:tcPr>
          <w:p w14:paraId="355856BF">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27" w:type="dxa"/>
            <w:vAlign w:val="center"/>
          </w:tcPr>
          <w:p w14:paraId="1DC7816C">
            <w:pPr>
              <w:pStyle w:val="33"/>
              <w:bidi w:val="0"/>
              <w:jc w:val="center"/>
              <w:rPr>
                <w:rFonts w:hint="default"/>
                <w:vertAlign w:val="baseline"/>
                <w:lang w:val="en-US" w:eastAsia="zh-CN"/>
              </w:rPr>
            </w:pPr>
            <w:r>
              <w:rPr>
                <w:rFonts w:hint="eastAsia"/>
                <w:vertAlign w:val="baseline"/>
                <w:lang w:val="en-US" w:eastAsia="zh-CN"/>
              </w:rPr>
              <w:t>0.0041</w:t>
            </w:r>
            <w:r>
              <w:rPr>
                <w:rFonts w:hint="eastAsia"/>
                <w:color w:val="auto"/>
                <w:lang w:val="en-US" w:eastAsia="zh-CN"/>
              </w:rPr>
              <w:t>t/a</w:t>
            </w:r>
          </w:p>
        </w:tc>
        <w:tc>
          <w:tcPr>
            <w:tcW w:w="1758" w:type="dxa"/>
            <w:vAlign w:val="center"/>
          </w:tcPr>
          <w:p w14:paraId="54A0ADE2">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75" w:type="dxa"/>
            <w:vAlign w:val="center"/>
          </w:tcPr>
          <w:p w14:paraId="2CD814C2">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0.041</w:t>
            </w:r>
            <w:r>
              <w:rPr>
                <w:rFonts w:hint="eastAsia"/>
                <w:color w:val="auto"/>
                <w:lang w:val="en-US" w:eastAsia="zh-CN"/>
              </w:rPr>
              <w:t>t/a</w:t>
            </w:r>
          </w:p>
        </w:tc>
        <w:tc>
          <w:tcPr>
            <w:tcW w:w="1309" w:type="dxa"/>
            <w:vAlign w:val="center"/>
          </w:tcPr>
          <w:p w14:paraId="3FF4C1E8">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+0.041</w:t>
            </w:r>
            <w:r>
              <w:rPr>
                <w:rFonts w:hint="eastAsia"/>
                <w:color w:val="auto"/>
                <w:lang w:val="en-US" w:eastAsia="zh-CN"/>
              </w:rPr>
              <w:t>t/a</w:t>
            </w:r>
          </w:p>
        </w:tc>
      </w:tr>
      <w:tr w14:paraId="1B239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202" w:type="dxa"/>
            <w:vMerge w:val="continue"/>
            <w:vAlign w:val="center"/>
          </w:tcPr>
          <w:p w14:paraId="56C78B3B">
            <w:pPr>
              <w:pStyle w:val="33"/>
              <w:bidi w:val="0"/>
              <w:jc w:val="center"/>
              <w:rPr>
                <w:rFonts w:hint="eastAsia"/>
                <w:vertAlign w:val="baseline"/>
                <w:lang w:val="en-US" w:eastAsia="zh-CN"/>
              </w:rPr>
            </w:pPr>
          </w:p>
        </w:tc>
        <w:tc>
          <w:tcPr>
            <w:tcW w:w="1304" w:type="dxa"/>
            <w:vAlign w:val="center"/>
          </w:tcPr>
          <w:p w14:paraId="3FA8EEB0">
            <w:pPr>
              <w:pStyle w:val="33"/>
              <w:bidi w:val="0"/>
              <w:ind w:firstLine="0" w:firstLineChars="0"/>
              <w:jc w:val="center"/>
              <w:rPr>
                <w:rFonts w:hint="default" w:ascii="Times New Roman" w:hAnsi="Times New Roman" w:eastAsia="宋体" w:cs="Times New Roman"/>
                <w:kern w:val="2"/>
                <w:sz w:val="21"/>
                <w:szCs w:val="36"/>
                <w:u w:val="none"/>
                <w:vertAlign w:val="subscript"/>
                <w:lang w:val="en-US" w:eastAsia="zh-CN" w:bidi="ar-SA"/>
              </w:rPr>
            </w:pPr>
            <w:r>
              <w:rPr>
                <w:rFonts w:hint="eastAsia" w:cs="Times New Roman"/>
                <w:kern w:val="2"/>
                <w:sz w:val="21"/>
                <w:szCs w:val="36"/>
                <w:u w:val="none"/>
                <w:vertAlign w:val="baseline"/>
                <w:lang w:val="en-US" w:eastAsia="zh-CN" w:bidi="ar-SA"/>
              </w:rPr>
              <w:t>BOD</w:t>
            </w:r>
            <w:r>
              <w:rPr>
                <w:rFonts w:hint="eastAsia" w:cs="Times New Roman"/>
                <w:kern w:val="2"/>
                <w:sz w:val="21"/>
                <w:szCs w:val="36"/>
                <w:u w:val="none"/>
                <w:vertAlign w:val="subscript"/>
                <w:lang w:val="en-US" w:eastAsia="zh-CN" w:bidi="ar-SA"/>
              </w:rPr>
              <w:t>5</w:t>
            </w:r>
          </w:p>
        </w:tc>
        <w:tc>
          <w:tcPr>
            <w:tcW w:w="1786" w:type="dxa"/>
            <w:vAlign w:val="center"/>
          </w:tcPr>
          <w:p w14:paraId="1CD9E073">
            <w:pPr>
              <w:pStyle w:val="33"/>
              <w:bidi w:val="0"/>
              <w:jc w:val="center"/>
              <w:rPr>
                <w:rFonts w:hint="default"/>
                <w:vertAlign w:val="baseline"/>
                <w:lang w:val="en-US" w:eastAsia="zh-CN"/>
              </w:rPr>
            </w:pPr>
            <w:r>
              <w:rPr>
                <w:rFonts w:hint="eastAsia"/>
                <w:vertAlign w:val="baseline"/>
                <w:lang w:val="en-US" w:eastAsia="zh-CN"/>
              </w:rPr>
              <w:t>/</w:t>
            </w:r>
          </w:p>
        </w:tc>
        <w:tc>
          <w:tcPr>
            <w:tcW w:w="1298" w:type="dxa"/>
            <w:vAlign w:val="center"/>
          </w:tcPr>
          <w:p w14:paraId="57126459">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15" w:type="dxa"/>
            <w:vAlign w:val="center"/>
          </w:tcPr>
          <w:p w14:paraId="363A32FF">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27" w:type="dxa"/>
            <w:vAlign w:val="center"/>
          </w:tcPr>
          <w:p w14:paraId="0B27A779">
            <w:pPr>
              <w:pStyle w:val="33"/>
              <w:bidi w:val="0"/>
              <w:jc w:val="center"/>
              <w:rPr>
                <w:rFonts w:hint="default"/>
                <w:vertAlign w:val="baseline"/>
                <w:lang w:val="en-US" w:eastAsia="zh-CN"/>
              </w:rPr>
            </w:pPr>
            <w:r>
              <w:rPr>
                <w:rFonts w:hint="eastAsia"/>
                <w:vertAlign w:val="baseline"/>
                <w:lang w:val="en-US" w:eastAsia="zh-CN"/>
              </w:rPr>
              <w:t>0.0011</w:t>
            </w:r>
            <w:r>
              <w:rPr>
                <w:rFonts w:hint="eastAsia"/>
                <w:color w:val="auto"/>
                <w:lang w:val="en-US" w:eastAsia="zh-CN"/>
              </w:rPr>
              <w:t>t/a</w:t>
            </w:r>
          </w:p>
        </w:tc>
        <w:tc>
          <w:tcPr>
            <w:tcW w:w="1758" w:type="dxa"/>
            <w:vAlign w:val="center"/>
          </w:tcPr>
          <w:p w14:paraId="235EFE0F">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75" w:type="dxa"/>
            <w:vAlign w:val="center"/>
          </w:tcPr>
          <w:p w14:paraId="5BF8D1AD">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0.0011</w:t>
            </w:r>
            <w:r>
              <w:rPr>
                <w:rFonts w:hint="eastAsia"/>
                <w:color w:val="auto"/>
                <w:lang w:val="en-US" w:eastAsia="zh-CN"/>
              </w:rPr>
              <w:t>t/a</w:t>
            </w:r>
          </w:p>
        </w:tc>
        <w:tc>
          <w:tcPr>
            <w:tcW w:w="1309" w:type="dxa"/>
            <w:vAlign w:val="center"/>
          </w:tcPr>
          <w:p w14:paraId="6A3156E7">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+0.0011</w:t>
            </w:r>
            <w:r>
              <w:rPr>
                <w:rFonts w:hint="eastAsia"/>
                <w:color w:val="auto"/>
                <w:lang w:val="en-US" w:eastAsia="zh-CN"/>
              </w:rPr>
              <w:t>t/a</w:t>
            </w:r>
          </w:p>
        </w:tc>
      </w:tr>
      <w:tr w14:paraId="0ED49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02" w:type="dxa"/>
            <w:vMerge w:val="continue"/>
            <w:vAlign w:val="center"/>
          </w:tcPr>
          <w:p w14:paraId="4D8F4302">
            <w:pPr>
              <w:pStyle w:val="33"/>
              <w:bidi w:val="0"/>
              <w:jc w:val="center"/>
              <w:rPr>
                <w:rFonts w:hint="eastAsia"/>
                <w:vertAlign w:val="baseline"/>
                <w:lang w:val="en-US" w:eastAsia="zh-CN"/>
              </w:rPr>
            </w:pPr>
          </w:p>
        </w:tc>
        <w:tc>
          <w:tcPr>
            <w:tcW w:w="1304" w:type="dxa"/>
            <w:vAlign w:val="center"/>
          </w:tcPr>
          <w:p w14:paraId="43E7C312">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SS</w:t>
            </w:r>
          </w:p>
        </w:tc>
        <w:tc>
          <w:tcPr>
            <w:tcW w:w="1786" w:type="dxa"/>
            <w:vAlign w:val="center"/>
          </w:tcPr>
          <w:p w14:paraId="715DD5E8">
            <w:pPr>
              <w:pStyle w:val="33"/>
              <w:bidi w:val="0"/>
              <w:jc w:val="center"/>
              <w:rPr>
                <w:rFonts w:hint="default"/>
                <w:vertAlign w:val="baseline"/>
                <w:lang w:val="en-US" w:eastAsia="zh-CN"/>
              </w:rPr>
            </w:pPr>
            <w:r>
              <w:rPr>
                <w:rFonts w:hint="eastAsia"/>
                <w:vertAlign w:val="baseline"/>
                <w:lang w:val="en-US" w:eastAsia="zh-CN"/>
              </w:rPr>
              <w:t>/</w:t>
            </w:r>
          </w:p>
        </w:tc>
        <w:tc>
          <w:tcPr>
            <w:tcW w:w="1298" w:type="dxa"/>
            <w:vAlign w:val="center"/>
          </w:tcPr>
          <w:p w14:paraId="0E86B75C">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15" w:type="dxa"/>
            <w:vAlign w:val="center"/>
          </w:tcPr>
          <w:p w14:paraId="361EF8A9">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27" w:type="dxa"/>
            <w:vAlign w:val="center"/>
          </w:tcPr>
          <w:p w14:paraId="1CC582A5">
            <w:pPr>
              <w:pStyle w:val="33"/>
              <w:bidi w:val="0"/>
              <w:jc w:val="center"/>
              <w:rPr>
                <w:rFonts w:hint="default"/>
                <w:vertAlign w:val="baseline"/>
                <w:lang w:val="en-US" w:eastAsia="zh-CN"/>
              </w:rPr>
            </w:pPr>
            <w:r>
              <w:rPr>
                <w:rFonts w:hint="eastAsia"/>
                <w:vertAlign w:val="baseline"/>
                <w:lang w:val="en-US" w:eastAsia="zh-CN"/>
              </w:rPr>
              <w:t>0.0022</w:t>
            </w:r>
            <w:r>
              <w:rPr>
                <w:rFonts w:hint="eastAsia"/>
                <w:color w:val="auto"/>
                <w:lang w:val="en-US" w:eastAsia="zh-CN"/>
              </w:rPr>
              <w:t>t/a</w:t>
            </w:r>
          </w:p>
        </w:tc>
        <w:tc>
          <w:tcPr>
            <w:tcW w:w="1758" w:type="dxa"/>
            <w:vAlign w:val="center"/>
          </w:tcPr>
          <w:p w14:paraId="710C593F">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75" w:type="dxa"/>
            <w:vAlign w:val="center"/>
          </w:tcPr>
          <w:p w14:paraId="15F5BEF3">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0.0022</w:t>
            </w:r>
            <w:r>
              <w:rPr>
                <w:rFonts w:hint="eastAsia"/>
                <w:color w:val="auto"/>
                <w:lang w:val="en-US" w:eastAsia="zh-CN"/>
              </w:rPr>
              <w:t>t/a</w:t>
            </w:r>
          </w:p>
        </w:tc>
        <w:tc>
          <w:tcPr>
            <w:tcW w:w="1309" w:type="dxa"/>
            <w:vAlign w:val="center"/>
          </w:tcPr>
          <w:p w14:paraId="471DB179">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+0.0022</w:t>
            </w:r>
            <w:r>
              <w:rPr>
                <w:rFonts w:hint="eastAsia"/>
                <w:color w:val="auto"/>
                <w:lang w:val="en-US" w:eastAsia="zh-CN"/>
              </w:rPr>
              <w:t>t/a</w:t>
            </w:r>
          </w:p>
        </w:tc>
      </w:tr>
      <w:tr w14:paraId="68C3A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202" w:type="dxa"/>
            <w:vMerge w:val="continue"/>
            <w:vAlign w:val="center"/>
          </w:tcPr>
          <w:p w14:paraId="774DE4C5">
            <w:pPr>
              <w:pStyle w:val="33"/>
              <w:bidi w:val="0"/>
              <w:jc w:val="center"/>
              <w:rPr>
                <w:rFonts w:hint="eastAsia"/>
                <w:vertAlign w:val="baseline"/>
                <w:lang w:val="en-US" w:eastAsia="zh-CN"/>
              </w:rPr>
            </w:pPr>
          </w:p>
        </w:tc>
        <w:tc>
          <w:tcPr>
            <w:tcW w:w="1304" w:type="dxa"/>
            <w:vAlign w:val="center"/>
          </w:tcPr>
          <w:p w14:paraId="25F7A659">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氨氮</w:t>
            </w:r>
          </w:p>
        </w:tc>
        <w:tc>
          <w:tcPr>
            <w:tcW w:w="1786" w:type="dxa"/>
            <w:vAlign w:val="center"/>
          </w:tcPr>
          <w:p w14:paraId="596ED022">
            <w:pPr>
              <w:pStyle w:val="33"/>
              <w:bidi w:val="0"/>
              <w:jc w:val="center"/>
              <w:rPr>
                <w:rFonts w:hint="default"/>
                <w:vertAlign w:val="baseline"/>
                <w:lang w:val="en-US" w:eastAsia="zh-CN"/>
              </w:rPr>
            </w:pPr>
            <w:r>
              <w:rPr>
                <w:rFonts w:hint="eastAsia"/>
                <w:vertAlign w:val="baseline"/>
                <w:lang w:val="en-US" w:eastAsia="zh-CN"/>
              </w:rPr>
              <w:t>/</w:t>
            </w:r>
          </w:p>
        </w:tc>
        <w:tc>
          <w:tcPr>
            <w:tcW w:w="1298" w:type="dxa"/>
            <w:vAlign w:val="center"/>
          </w:tcPr>
          <w:p w14:paraId="3B8ABDBB">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15" w:type="dxa"/>
            <w:vAlign w:val="center"/>
          </w:tcPr>
          <w:p w14:paraId="2B578AD2">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27" w:type="dxa"/>
            <w:vAlign w:val="center"/>
          </w:tcPr>
          <w:p w14:paraId="700AE1BE">
            <w:pPr>
              <w:pStyle w:val="33"/>
              <w:bidi w:val="0"/>
              <w:jc w:val="center"/>
              <w:rPr>
                <w:rFonts w:hint="default"/>
                <w:vertAlign w:val="baseline"/>
                <w:lang w:val="en-US" w:eastAsia="zh-CN"/>
              </w:rPr>
            </w:pPr>
            <w:r>
              <w:rPr>
                <w:rFonts w:hint="eastAsia"/>
                <w:vertAlign w:val="baseline"/>
                <w:lang w:val="en-US" w:eastAsia="zh-CN"/>
              </w:rPr>
              <w:t>0.0009</w:t>
            </w:r>
            <w:r>
              <w:rPr>
                <w:rFonts w:hint="eastAsia"/>
                <w:color w:val="auto"/>
                <w:lang w:val="en-US" w:eastAsia="zh-CN"/>
              </w:rPr>
              <w:t>t/a</w:t>
            </w:r>
          </w:p>
        </w:tc>
        <w:tc>
          <w:tcPr>
            <w:tcW w:w="1758" w:type="dxa"/>
            <w:vAlign w:val="center"/>
          </w:tcPr>
          <w:p w14:paraId="5A67A9F0">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75" w:type="dxa"/>
            <w:vAlign w:val="center"/>
          </w:tcPr>
          <w:p w14:paraId="4FDB8B3C">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0.0009</w:t>
            </w:r>
            <w:r>
              <w:rPr>
                <w:rFonts w:hint="eastAsia"/>
                <w:color w:val="auto"/>
                <w:lang w:val="en-US" w:eastAsia="zh-CN"/>
              </w:rPr>
              <w:t>t/a</w:t>
            </w:r>
          </w:p>
        </w:tc>
        <w:tc>
          <w:tcPr>
            <w:tcW w:w="1309" w:type="dxa"/>
            <w:vAlign w:val="center"/>
          </w:tcPr>
          <w:p w14:paraId="3F0DC505">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+0.0009</w:t>
            </w:r>
            <w:r>
              <w:rPr>
                <w:rFonts w:hint="eastAsia"/>
                <w:color w:val="auto"/>
                <w:lang w:val="en-US" w:eastAsia="zh-CN"/>
              </w:rPr>
              <w:t>t/a</w:t>
            </w:r>
          </w:p>
        </w:tc>
      </w:tr>
      <w:tr w14:paraId="5F4BC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202" w:type="dxa"/>
            <w:vMerge w:val="continue"/>
            <w:vAlign w:val="center"/>
          </w:tcPr>
          <w:p w14:paraId="76B8ABF4">
            <w:pPr>
              <w:pStyle w:val="33"/>
              <w:bidi w:val="0"/>
              <w:jc w:val="center"/>
              <w:rPr>
                <w:rFonts w:hint="eastAsia"/>
                <w:vertAlign w:val="baseline"/>
                <w:lang w:val="en-US" w:eastAsia="zh-CN"/>
              </w:rPr>
            </w:pPr>
          </w:p>
        </w:tc>
        <w:tc>
          <w:tcPr>
            <w:tcW w:w="1304" w:type="dxa"/>
            <w:vAlign w:val="center"/>
          </w:tcPr>
          <w:p w14:paraId="3A93D0C7">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动植物油</w:t>
            </w:r>
          </w:p>
        </w:tc>
        <w:tc>
          <w:tcPr>
            <w:tcW w:w="1786" w:type="dxa"/>
            <w:vAlign w:val="center"/>
          </w:tcPr>
          <w:p w14:paraId="2B3CDDA1">
            <w:pPr>
              <w:pStyle w:val="33"/>
              <w:bidi w:val="0"/>
              <w:jc w:val="center"/>
              <w:rPr>
                <w:rFonts w:hint="default"/>
                <w:vertAlign w:val="baseline"/>
                <w:lang w:val="en-US" w:eastAsia="zh-CN"/>
              </w:rPr>
            </w:pPr>
            <w:r>
              <w:rPr>
                <w:rFonts w:hint="eastAsia"/>
                <w:vertAlign w:val="baseline"/>
                <w:lang w:val="en-US" w:eastAsia="zh-CN"/>
              </w:rPr>
              <w:t>/</w:t>
            </w:r>
          </w:p>
        </w:tc>
        <w:tc>
          <w:tcPr>
            <w:tcW w:w="1298" w:type="dxa"/>
            <w:vAlign w:val="center"/>
          </w:tcPr>
          <w:p w14:paraId="2979452E">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15" w:type="dxa"/>
            <w:vAlign w:val="center"/>
          </w:tcPr>
          <w:p w14:paraId="08145EF8">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27" w:type="dxa"/>
            <w:vAlign w:val="center"/>
          </w:tcPr>
          <w:p w14:paraId="0EB24D34">
            <w:pPr>
              <w:pStyle w:val="33"/>
              <w:bidi w:val="0"/>
              <w:jc w:val="center"/>
              <w:rPr>
                <w:rFonts w:hint="default"/>
                <w:vertAlign w:val="baseline"/>
                <w:lang w:val="en-US" w:eastAsia="zh-CN"/>
              </w:rPr>
            </w:pPr>
            <w:r>
              <w:rPr>
                <w:rFonts w:hint="eastAsia"/>
                <w:vertAlign w:val="baseline"/>
                <w:lang w:val="en-US" w:eastAsia="zh-CN"/>
              </w:rPr>
              <w:t>0.0007</w:t>
            </w:r>
            <w:r>
              <w:rPr>
                <w:rFonts w:hint="eastAsia"/>
                <w:color w:val="auto"/>
                <w:lang w:val="en-US" w:eastAsia="zh-CN"/>
              </w:rPr>
              <w:t>t/a</w:t>
            </w:r>
          </w:p>
        </w:tc>
        <w:tc>
          <w:tcPr>
            <w:tcW w:w="1758" w:type="dxa"/>
            <w:vAlign w:val="center"/>
          </w:tcPr>
          <w:p w14:paraId="3ACA6DAA">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75" w:type="dxa"/>
            <w:vAlign w:val="center"/>
          </w:tcPr>
          <w:p w14:paraId="6F9D896F">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0.0007</w:t>
            </w:r>
            <w:r>
              <w:rPr>
                <w:rFonts w:hint="eastAsia"/>
                <w:color w:val="auto"/>
                <w:lang w:val="en-US" w:eastAsia="zh-CN"/>
              </w:rPr>
              <w:t>t/a</w:t>
            </w:r>
          </w:p>
        </w:tc>
        <w:tc>
          <w:tcPr>
            <w:tcW w:w="1309" w:type="dxa"/>
            <w:vAlign w:val="center"/>
          </w:tcPr>
          <w:p w14:paraId="34C56962">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+0.0007</w:t>
            </w:r>
            <w:r>
              <w:rPr>
                <w:rFonts w:hint="eastAsia"/>
                <w:color w:val="auto"/>
                <w:lang w:val="en-US" w:eastAsia="zh-CN"/>
              </w:rPr>
              <w:t>t/a</w:t>
            </w:r>
          </w:p>
        </w:tc>
      </w:tr>
      <w:tr w14:paraId="6A611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202" w:type="dxa"/>
            <w:vMerge w:val="continue"/>
            <w:vAlign w:val="center"/>
          </w:tcPr>
          <w:p w14:paraId="32E943A4">
            <w:pPr>
              <w:pStyle w:val="33"/>
              <w:bidi w:val="0"/>
              <w:jc w:val="center"/>
              <w:rPr>
                <w:rFonts w:hint="eastAsia"/>
                <w:vertAlign w:val="baseline"/>
                <w:lang w:val="en-US" w:eastAsia="zh-CN"/>
              </w:rPr>
            </w:pPr>
          </w:p>
        </w:tc>
        <w:tc>
          <w:tcPr>
            <w:tcW w:w="1304" w:type="dxa"/>
            <w:vAlign w:val="center"/>
          </w:tcPr>
          <w:p w14:paraId="7AB5AC74">
            <w:pPr>
              <w:pStyle w:val="33"/>
              <w:bidi w:val="0"/>
              <w:ind w:firstLine="0" w:firstLineChars="0"/>
              <w:jc w:val="center"/>
              <w:rPr>
                <w:rFonts w:hint="default"/>
                <w:vertAlign w:val="baseline"/>
                <w:lang w:val="en-US" w:eastAsia="zh-CN"/>
              </w:rPr>
            </w:pPr>
            <w:r>
              <w:rPr>
                <w:rFonts w:hint="eastAsia"/>
                <w:vertAlign w:val="baseline"/>
                <w:lang w:val="en-US" w:eastAsia="zh-CN"/>
              </w:rPr>
              <w:t>总磷</w:t>
            </w:r>
          </w:p>
        </w:tc>
        <w:tc>
          <w:tcPr>
            <w:tcW w:w="1786" w:type="dxa"/>
            <w:vAlign w:val="center"/>
          </w:tcPr>
          <w:p w14:paraId="3352E130">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298" w:type="dxa"/>
            <w:vAlign w:val="center"/>
          </w:tcPr>
          <w:p w14:paraId="1094827E">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15" w:type="dxa"/>
            <w:vAlign w:val="center"/>
          </w:tcPr>
          <w:p w14:paraId="267E37F4">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27" w:type="dxa"/>
            <w:vAlign w:val="center"/>
          </w:tcPr>
          <w:p w14:paraId="4B381B81">
            <w:pPr>
              <w:pStyle w:val="33"/>
              <w:bidi w:val="0"/>
              <w:ind w:firstLine="0" w:firstLineChars="0"/>
              <w:jc w:val="center"/>
              <w:rPr>
                <w:rFonts w:hint="default"/>
                <w:vertAlign w:val="baseline"/>
                <w:lang w:val="en-US" w:eastAsia="zh-CN"/>
              </w:rPr>
            </w:pPr>
            <w:r>
              <w:rPr>
                <w:rFonts w:hint="eastAsia"/>
                <w:vertAlign w:val="baseline"/>
                <w:lang w:val="en-US" w:eastAsia="zh-CN"/>
              </w:rPr>
              <w:t>0.0003</w:t>
            </w:r>
            <w:r>
              <w:rPr>
                <w:rFonts w:hint="eastAsia"/>
                <w:color w:val="auto"/>
                <w:lang w:val="en-US" w:eastAsia="zh-CN"/>
              </w:rPr>
              <w:t>t/a</w:t>
            </w:r>
          </w:p>
        </w:tc>
        <w:tc>
          <w:tcPr>
            <w:tcW w:w="1758" w:type="dxa"/>
            <w:vAlign w:val="center"/>
          </w:tcPr>
          <w:p w14:paraId="7B6D7EB0">
            <w:pPr>
              <w:pStyle w:val="33"/>
              <w:bidi w:val="0"/>
              <w:ind w:firstLine="0" w:firstLineChars="0"/>
              <w:jc w:val="center"/>
              <w:rPr>
                <w:rFonts w:hint="eastAsia"/>
                <w:vertAlign w:val="baseline"/>
                <w:lang w:val="en-US" w:eastAsia="zh-CN"/>
              </w:rPr>
            </w:pPr>
            <w:r>
              <w:rPr>
                <w:rFonts w:hint="eastAsia"/>
                <w:vertAlign w:val="baseline"/>
                <w:lang w:val="en-US" w:eastAsia="zh-CN"/>
              </w:rPr>
              <w:t>/</w:t>
            </w:r>
          </w:p>
        </w:tc>
        <w:tc>
          <w:tcPr>
            <w:tcW w:w="1875" w:type="dxa"/>
            <w:vAlign w:val="center"/>
          </w:tcPr>
          <w:p w14:paraId="7540D061">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0.0003</w:t>
            </w:r>
            <w:r>
              <w:rPr>
                <w:rFonts w:hint="eastAsia"/>
                <w:color w:val="auto"/>
                <w:lang w:val="en-US" w:eastAsia="zh-CN"/>
              </w:rPr>
              <w:t>t/a</w:t>
            </w:r>
          </w:p>
        </w:tc>
        <w:tc>
          <w:tcPr>
            <w:tcW w:w="1309" w:type="dxa"/>
            <w:vAlign w:val="center"/>
          </w:tcPr>
          <w:p w14:paraId="6CF42AB0">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+0.0003</w:t>
            </w:r>
            <w:r>
              <w:rPr>
                <w:rFonts w:hint="eastAsia"/>
                <w:color w:val="auto"/>
                <w:lang w:val="en-US" w:eastAsia="zh-CN"/>
              </w:rPr>
              <w:t>t/a</w:t>
            </w:r>
          </w:p>
        </w:tc>
      </w:tr>
      <w:tr w14:paraId="0A913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202" w:type="dxa"/>
            <w:vMerge w:val="restart"/>
            <w:vAlign w:val="center"/>
          </w:tcPr>
          <w:p w14:paraId="2F0A466A">
            <w:pPr>
              <w:pStyle w:val="33"/>
              <w:bidi w:val="0"/>
              <w:jc w:val="center"/>
              <w:rPr>
                <w:rFonts w:hint="eastAsia"/>
                <w:vertAlign w:val="baseline"/>
                <w:lang w:val="en-US" w:eastAsia="zh-CN"/>
              </w:rPr>
            </w:pPr>
            <w:r>
              <w:rPr>
                <w:rFonts w:hint="eastAsia"/>
                <w:vertAlign w:val="baseline"/>
                <w:lang w:val="en-US" w:eastAsia="zh-CN"/>
              </w:rPr>
              <w:t>一般工业</w:t>
            </w:r>
          </w:p>
          <w:p w14:paraId="5156B928">
            <w:pPr>
              <w:pStyle w:val="33"/>
              <w:bidi w:val="0"/>
              <w:jc w:val="center"/>
              <w:rPr>
                <w:rFonts w:hint="default"/>
                <w:vertAlign w:val="baseline"/>
                <w:lang w:val="en-US" w:eastAsia="zh-CN"/>
              </w:rPr>
            </w:pPr>
            <w:r>
              <w:rPr>
                <w:rFonts w:hint="eastAsia"/>
                <w:vertAlign w:val="baseline"/>
                <w:lang w:val="en-US" w:eastAsia="zh-CN"/>
              </w:rPr>
              <w:t>固体废物</w:t>
            </w:r>
          </w:p>
        </w:tc>
        <w:tc>
          <w:tcPr>
            <w:tcW w:w="1304" w:type="dxa"/>
            <w:vAlign w:val="center"/>
          </w:tcPr>
          <w:p w14:paraId="0689D2C8">
            <w:pPr>
              <w:pStyle w:val="33"/>
              <w:bidi w:val="0"/>
              <w:ind w:firstLine="0" w:firstLineChars="0"/>
              <w:rPr>
                <w:rFonts w:hint="eastAsia" w:ascii="Times New Roman" w:hAnsi="Times New Roman" w:eastAsia="宋体" w:cs="Times New Roman"/>
                <w:color w:val="auto"/>
                <w:kern w:val="2"/>
                <w:sz w:val="21"/>
                <w:szCs w:val="36"/>
                <w:u w:val="none"/>
                <w:lang w:val="en-US" w:eastAsia="zh-CN" w:bidi="ar-SA"/>
              </w:rPr>
            </w:pPr>
            <w:r>
              <w:rPr>
                <w:rFonts w:hint="eastAsia"/>
                <w:color w:val="auto"/>
                <w:lang w:val="en-US" w:eastAsia="zh-CN"/>
              </w:rPr>
              <w:t>生活垃圾</w:t>
            </w:r>
          </w:p>
        </w:tc>
        <w:tc>
          <w:tcPr>
            <w:tcW w:w="1786" w:type="dxa"/>
            <w:vAlign w:val="center"/>
          </w:tcPr>
          <w:p w14:paraId="4E8D8F51">
            <w:pPr>
              <w:pStyle w:val="33"/>
              <w:bidi w:val="0"/>
              <w:jc w:val="center"/>
              <w:rPr>
                <w:rFonts w:hint="default"/>
                <w:vertAlign w:val="baseline"/>
                <w:lang w:val="en-US" w:eastAsia="zh-CN"/>
              </w:rPr>
            </w:pPr>
            <w:r>
              <w:rPr>
                <w:rFonts w:hint="eastAsia"/>
                <w:vertAlign w:val="baseline"/>
                <w:lang w:val="en-US" w:eastAsia="zh-CN"/>
              </w:rPr>
              <w:t>/</w:t>
            </w:r>
          </w:p>
        </w:tc>
        <w:tc>
          <w:tcPr>
            <w:tcW w:w="1298" w:type="dxa"/>
            <w:vAlign w:val="center"/>
          </w:tcPr>
          <w:p w14:paraId="02A59089">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15" w:type="dxa"/>
            <w:vAlign w:val="center"/>
          </w:tcPr>
          <w:p w14:paraId="41FEA338">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27" w:type="dxa"/>
            <w:vAlign w:val="center"/>
          </w:tcPr>
          <w:p w14:paraId="76106AD6">
            <w:pPr>
              <w:pStyle w:val="33"/>
              <w:bidi w:val="0"/>
              <w:ind w:firstLine="0" w:firstLineChars="0"/>
              <w:rPr>
                <w:rFonts w:hint="default"/>
                <w:color w:val="auto"/>
                <w:lang w:val="en-US" w:eastAsia="zh-CN"/>
              </w:rPr>
            </w:pPr>
            <w:r>
              <w:rPr>
                <w:rFonts w:hint="eastAsia"/>
                <w:color w:val="auto"/>
                <w:lang w:val="en-US" w:eastAsia="zh-CN"/>
              </w:rPr>
              <w:t>0.75t/a</w:t>
            </w:r>
          </w:p>
        </w:tc>
        <w:tc>
          <w:tcPr>
            <w:tcW w:w="1758" w:type="dxa"/>
            <w:vAlign w:val="center"/>
          </w:tcPr>
          <w:p w14:paraId="501504D9">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75" w:type="dxa"/>
            <w:vAlign w:val="center"/>
          </w:tcPr>
          <w:p w14:paraId="29E3A2A3">
            <w:pPr>
              <w:pStyle w:val="33"/>
              <w:bidi w:val="0"/>
              <w:ind w:firstLine="0" w:firstLineChars="0"/>
              <w:rPr>
                <w:rFonts w:hint="eastAsia" w:ascii="Times New Roman" w:hAnsi="Times New Roman" w:eastAsia="宋体" w:cs="Times New Roman"/>
                <w:color w:val="auto"/>
                <w:kern w:val="2"/>
                <w:sz w:val="21"/>
                <w:szCs w:val="36"/>
                <w:u w:val="none"/>
                <w:lang w:val="en-US" w:eastAsia="zh-CN" w:bidi="ar-SA"/>
              </w:rPr>
            </w:pPr>
            <w:r>
              <w:rPr>
                <w:rFonts w:hint="eastAsia"/>
                <w:color w:val="auto"/>
                <w:lang w:val="en-US" w:eastAsia="zh-CN"/>
              </w:rPr>
              <w:t>0.75t/a</w:t>
            </w:r>
          </w:p>
        </w:tc>
        <w:tc>
          <w:tcPr>
            <w:tcW w:w="1309" w:type="dxa"/>
            <w:vAlign w:val="center"/>
          </w:tcPr>
          <w:p w14:paraId="777DE97B">
            <w:pPr>
              <w:pStyle w:val="33"/>
              <w:bidi w:val="0"/>
              <w:ind w:firstLine="0" w:firstLineChars="0"/>
              <w:rPr>
                <w:rFonts w:hint="eastAsia" w:ascii="Times New Roman" w:hAnsi="Times New Roman" w:eastAsia="宋体" w:cs="Times New Roman"/>
                <w:color w:val="auto"/>
                <w:kern w:val="2"/>
                <w:sz w:val="21"/>
                <w:szCs w:val="36"/>
                <w:u w:val="none"/>
                <w:lang w:val="en-US" w:eastAsia="zh-CN" w:bidi="ar-SA"/>
              </w:rPr>
            </w:pPr>
            <w:r>
              <w:rPr>
                <w:rFonts w:hint="eastAsia"/>
                <w:color w:val="auto"/>
                <w:lang w:val="en-US" w:eastAsia="zh-CN"/>
              </w:rPr>
              <w:t>+0.75t/a</w:t>
            </w:r>
          </w:p>
        </w:tc>
      </w:tr>
      <w:tr w14:paraId="576D2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202" w:type="dxa"/>
            <w:vMerge w:val="continue"/>
            <w:vAlign w:val="center"/>
          </w:tcPr>
          <w:p w14:paraId="20C615A7">
            <w:pPr>
              <w:pStyle w:val="33"/>
              <w:bidi w:val="0"/>
              <w:jc w:val="center"/>
              <w:rPr>
                <w:rFonts w:hint="eastAsia"/>
                <w:vertAlign w:val="baseline"/>
                <w:lang w:val="en-US" w:eastAsia="zh-CN"/>
              </w:rPr>
            </w:pPr>
          </w:p>
        </w:tc>
        <w:tc>
          <w:tcPr>
            <w:tcW w:w="1304" w:type="dxa"/>
            <w:vAlign w:val="center"/>
          </w:tcPr>
          <w:p w14:paraId="666C6A03">
            <w:pPr>
              <w:pStyle w:val="33"/>
              <w:bidi w:val="0"/>
              <w:ind w:firstLine="0" w:firstLineChars="0"/>
              <w:rPr>
                <w:rFonts w:hint="eastAsia" w:ascii="Times New Roman" w:hAnsi="Times New Roman" w:eastAsia="宋体" w:cs="Times New Roman"/>
                <w:color w:val="auto"/>
                <w:kern w:val="2"/>
                <w:sz w:val="21"/>
                <w:szCs w:val="36"/>
                <w:highlight w:val="none"/>
                <w:u w:val="none"/>
                <w:lang w:val="en-US" w:eastAsia="zh-CN" w:bidi="ar-SA"/>
              </w:rPr>
            </w:pPr>
            <w:r>
              <w:rPr>
                <w:rFonts w:hint="eastAsia"/>
                <w:color w:val="auto"/>
                <w:highlight w:val="none"/>
                <w:lang w:val="en-US" w:eastAsia="zh-CN"/>
              </w:rPr>
              <w:t>初期雨水池沉渣、沉淀池沉渣</w:t>
            </w:r>
          </w:p>
        </w:tc>
        <w:tc>
          <w:tcPr>
            <w:tcW w:w="1786" w:type="dxa"/>
            <w:vAlign w:val="center"/>
          </w:tcPr>
          <w:p w14:paraId="72DD9F66">
            <w:pPr>
              <w:pStyle w:val="33"/>
              <w:bidi w:val="0"/>
              <w:jc w:val="center"/>
              <w:rPr>
                <w:rFonts w:hint="default"/>
                <w:vertAlign w:val="baseline"/>
                <w:lang w:val="en-US" w:eastAsia="zh-CN"/>
              </w:rPr>
            </w:pPr>
            <w:r>
              <w:rPr>
                <w:rFonts w:hint="eastAsia"/>
                <w:vertAlign w:val="baseline"/>
                <w:lang w:val="en-US" w:eastAsia="zh-CN"/>
              </w:rPr>
              <w:t>/</w:t>
            </w:r>
          </w:p>
        </w:tc>
        <w:tc>
          <w:tcPr>
            <w:tcW w:w="1298" w:type="dxa"/>
            <w:vAlign w:val="center"/>
          </w:tcPr>
          <w:p w14:paraId="26C851B5">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15" w:type="dxa"/>
            <w:vAlign w:val="center"/>
          </w:tcPr>
          <w:p w14:paraId="3C6684D9">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27" w:type="dxa"/>
            <w:vAlign w:val="center"/>
          </w:tcPr>
          <w:p w14:paraId="7F6A8576">
            <w:pPr>
              <w:pStyle w:val="33"/>
              <w:bidi w:val="0"/>
              <w:ind w:firstLine="0" w:firstLineChars="0"/>
              <w:rPr>
                <w:rFonts w:hint="eastAsia" w:ascii="Times New Roman" w:hAnsi="Times New Roman" w:eastAsia="宋体" w:cs="Times New Roman"/>
                <w:color w:val="auto"/>
                <w:kern w:val="2"/>
                <w:sz w:val="21"/>
                <w:szCs w:val="36"/>
                <w:u w:val="none"/>
                <w:lang w:val="en-US" w:eastAsia="zh-CN" w:bidi="ar-SA"/>
              </w:rPr>
            </w:pPr>
            <w:r>
              <w:rPr>
                <w:rFonts w:hint="eastAsia"/>
                <w:color w:val="auto"/>
                <w:lang w:val="en-US" w:eastAsia="zh-CN"/>
              </w:rPr>
              <w:t>5.126t/a</w:t>
            </w:r>
          </w:p>
        </w:tc>
        <w:tc>
          <w:tcPr>
            <w:tcW w:w="1758" w:type="dxa"/>
            <w:vAlign w:val="center"/>
          </w:tcPr>
          <w:p w14:paraId="7A9C474C">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75" w:type="dxa"/>
            <w:vAlign w:val="center"/>
          </w:tcPr>
          <w:p w14:paraId="6CE69E44">
            <w:pPr>
              <w:pStyle w:val="33"/>
              <w:bidi w:val="0"/>
              <w:ind w:firstLine="0" w:firstLineChars="0"/>
              <w:rPr>
                <w:rFonts w:hint="eastAsia" w:ascii="Times New Roman" w:hAnsi="Times New Roman" w:eastAsia="宋体" w:cs="Times New Roman"/>
                <w:color w:val="auto"/>
                <w:kern w:val="2"/>
                <w:sz w:val="21"/>
                <w:szCs w:val="36"/>
                <w:u w:val="none"/>
                <w:lang w:val="en-US" w:eastAsia="zh-CN" w:bidi="ar-SA"/>
              </w:rPr>
            </w:pPr>
            <w:r>
              <w:rPr>
                <w:rFonts w:hint="eastAsia"/>
                <w:color w:val="auto"/>
                <w:lang w:val="en-US" w:eastAsia="zh-CN"/>
              </w:rPr>
              <w:t>5.126t/a</w:t>
            </w:r>
          </w:p>
        </w:tc>
        <w:tc>
          <w:tcPr>
            <w:tcW w:w="1309" w:type="dxa"/>
            <w:vAlign w:val="center"/>
          </w:tcPr>
          <w:p w14:paraId="75F18F81">
            <w:pPr>
              <w:pStyle w:val="33"/>
              <w:bidi w:val="0"/>
              <w:ind w:firstLine="0" w:firstLineChars="0"/>
              <w:rPr>
                <w:rFonts w:hint="eastAsia" w:ascii="Times New Roman" w:hAnsi="Times New Roman" w:eastAsia="宋体" w:cs="Times New Roman"/>
                <w:color w:val="auto"/>
                <w:kern w:val="2"/>
                <w:sz w:val="21"/>
                <w:szCs w:val="36"/>
                <w:u w:val="none"/>
                <w:lang w:val="en-US" w:eastAsia="zh-CN" w:bidi="ar-SA"/>
              </w:rPr>
            </w:pPr>
            <w:r>
              <w:rPr>
                <w:rFonts w:hint="eastAsia"/>
                <w:color w:val="auto"/>
                <w:lang w:val="en-US" w:eastAsia="zh-CN"/>
              </w:rPr>
              <w:t>+5.126t/a</w:t>
            </w:r>
          </w:p>
        </w:tc>
      </w:tr>
      <w:tr w14:paraId="11E6D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202" w:type="dxa"/>
            <w:vMerge w:val="continue"/>
            <w:vAlign w:val="center"/>
          </w:tcPr>
          <w:p w14:paraId="2CD592DC">
            <w:pPr>
              <w:pStyle w:val="33"/>
              <w:bidi w:val="0"/>
              <w:jc w:val="center"/>
              <w:rPr>
                <w:rFonts w:hint="eastAsia"/>
                <w:vertAlign w:val="baseline"/>
                <w:lang w:val="en-US" w:eastAsia="zh-CN"/>
              </w:rPr>
            </w:pPr>
          </w:p>
        </w:tc>
        <w:tc>
          <w:tcPr>
            <w:tcW w:w="1304" w:type="dxa"/>
            <w:vAlign w:val="center"/>
          </w:tcPr>
          <w:p w14:paraId="3DE140B1">
            <w:pPr>
              <w:pStyle w:val="33"/>
              <w:bidi w:val="0"/>
              <w:ind w:firstLine="0" w:firstLineChars="0"/>
              <w:jc w:val="center"/>
              <w:rPr>
                <w:rFonts w:hint="eastAsia" w:ascii="Times New Roman" w:hAnsi="Times New Roman" w:eastAsia="宋体" w:cs="Times New Roman"/>
                <w:color w:val="auto"/>
                <w:kern w:val="2"/>
                <w:sz w:val="21"/>
                <w:szCs w:val="36"/>
                <w:highlight w:val="none"/>
                <w:u w:val="none"/>
                <w:lang w:val="en-US" w:eastAsia="zh-CN" w:bidi="ar-SA"/>
              </w:rPr>
            </w:pPr>
            <w:r>
              <w:rPr>
                <w:rFonts w:hint="eastAsia" w:ascii="Times New Roman" w:hAnsi="Times New Roman" w:eastAsia="宋体" w:cs="Times New Roman"/>
                <w:color w:val="auto"/>
                <w:kern w:val="2"/>
                <w:sz w:val="21"/>
                <w:szCs w:val="36"/>
                <w:highlight w:val="none"/>
                <w:u w:val="none"/>
                <w:lang w:val="en-US" w:eastAsia="zh-CN" w:bidi="ar-SA"/>
              </w:rPr>
              <w:t>化粪池污泥</w:t>
            </w:r>
          </w:p>
        </w:tc>
        <w:tc>
          <w:tcPr>
            <w:tcW w:w="1786" w:type="dxa"/>
            <w:vAlign w:val="center"/>
          </w:tcPr>
          <w:p w14:paraId="610E0730">
            <w:pPr>
              <w:pStyle w:val="33"/>
              <w:bidi w:val="0"/>
              <w:jc w:val="center"/>
              <w:rPr>
                <w:rFonts w:hint="default"/>
                <w:vertAlign w:val="baseline"/>
                <w:lang w:val="en-US" w:eastAsia="zh-CN"/>
              </w:rPr>
            </w:pPr>
            <w:r>
              <w:rPr>
                <w:rFonts w:hint="eastAsia"/>
                <w:vertAlign w:val="baseline"/>
                <w:lang w:val="en-US" w:eastAsia="zh-CN"/>
              </w:rPr>
              <w:t>/</w:t>
            </w:r>
          </w:p>
        </w:tc>
        <w:tc>
          <w:tcPr>
            <w:tcW w:w="1298" w:type="dxa"/>
            <w:vAlign w:val="center"/>
          </w:tcPr>
          <w:p w14:paraId="202A2D08">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15" w:type="dxa"/>
            <w:vAlign w:val="center"/>
          </w:tcPr>
          <w:p w14:paraId="0BD3DD52">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27" w:type="dxa"/>
            <w:vAlign w:val="center"/>
          </w:tcPr>
          <w:p w14:paraId="0845B0A6">
            <w:pPr>
              <w:pStyle w:val="33"/>
              <w:bidi w:val="0"/>
              <w:ind w:firstLine="0" w:firstLineChars="0"/>
              <w:jc w:val="center"/>
              <w:rPr>
                <w:rFonts w:hint="eastAsia" w:ascii="Times New Roman" w:hAnsi="Times New Roman" w:eastAsia="宋体" w:cs="Times New Roman"/>
                <w:color w:val="auto"/>
                <w:kern w:val="2"/>
                <w:sz w:val="21"/>
                <w:szCs w:val="36"/>
                <w:highlight w:val="none"/>
                <w:u w:val="none"/>
                <w:lang w:val="en-US" w:eastAsia="zh-CN" w:bidi="ar-SA"/>
              </w:rPr>
            </w:pPr>
            <w:r>
              <w:rPr>
                <w:rFonts w:hint="eastAsia" w:ascii="Times New Roman" w:hAnsi="Times New Roman" w:eastAsia="宋体" w:cs="Times New Roman"/>
                <w:color w:val="auto"/>
                <w:kern w:val="2"/>
                <w:sz w:val="21"/>
                <w:szCs w:val="36"/>
                <w:highlight w:val="none"/>
                <w:u w:val="none"/>
                <w:lang w:val="en-US" w:eastAsia="zh-CN" w:bidi="ar-SA"/>
              </w:rPr>
              <w:t>0.</w:t>
            </w:r>
            <w:r>
              <w:rPr>
                <w:rFonts w:hint="eastAsia" w:cs="Times New Roman"/>
                <w:color w:val="auto"/>
                <w:kern w:val="2"/>
                <w:sz w:val="21"/>
                <w:szCs w:val="36"/>
                <w:highlight w:val="none"/>
                <w:u w:val="none"/>
                <w:lang w:val="en-US" w:eastAsia="zh-CN" w:bidi="ar-SA"/>
              </w:rPr>
              <w:t>1</w:t>
            </w:r>
            <w:r>
              <w:rPr>
                <w:rFonts w:hint="eastAsia" w:ascii="Times New Roman" w:hAnsi="Times New Roman" w:eastAsia="宋体" w:cs="Times New Roman"/>
                <w:color w:val="auto"/>
                <w:kern w:val="2"/>
                <w:sz w:val="21"/>
                <w:szCs w:val="36"/>
                <w:highlight w:val="none"/>
                <w:u w:val="none"/>
                <w:lang w:val="en-US" w:eastAsia="zh-CN" w:bidi="ar-SA"/>
              </w:rPr>
              <w:t>2</w:t>
            </w:r>
            <w:r>
              <w:rPr>
                <w:rFonts w:hint="eastAsia"/>
                <w:color w:val="auto"/>
                <w:lang w:val="en-US" w:eastAsia="zh-CN"/>
              </w:rPr>
              <w:t>t/a</w:t>
            </w:r>
          </w:p>
        </w:tc>
        <w:tc>
          <w:tcPr>
            <w:tcW w:w="1758" w:type="dxa"/>
            <w:vAlign w:val="center"/>
          </w:tcPr>
          <w:p w14:paraId="66EAB71C">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75" w:type="dxa"/>
            <w:vAlign w:val="center"/>
          </w:tcPr>
          <w:p w14:paraId="1B7733F1">
            <w:pPr>
              <w:pStyle w:val="33"/>
              <w:bidi w:val="0"/>
              <w:ind w:firstLine="0" w:firstLineChars="0"/>
              <w:jc w:val="center"/>
              <w:rPr>
                <w:rFonts w:hint="eastAsia" w:ascii="Times New Roman" w:hAnsi="Times New Roman" w:eastAsia="宋体" w:cs="Times New Roman"/>
                <w:color w:val="auto"/>
                <w:kern w:val="2"/>
                <w:sz w:val="21"/>
                <w:szCs w:val="36"/>
                <w:highlight w:val="none"/>
                <w:u w:val="none"/>
                <w:lang w:val="en-US" w:eastAsia="zh-CN" w:bidi="ar-SA"/>
              </w:rPr>
            </w:pPr>
            <w:r>
              <w:rPr>
                <w:rFonts w:hint="eastAsia" w:ascii="Times New Roman" w:hAnsi="Times New Roman" w:eastAsia="宋体" w:cs="Times New Roman"/>
                <w:color w:val="auto"/>
                <w:kern w:val="2"/>
                <w:sz w:val="21"/>
                <w:szCs w:val="36"/>
                <w:highlight w:val="none"/>
                <w:u w:val="none"/>
                <w:lang w:val="en-US" w:eastAsia="zh-CN" w:bidi="ar-SA"/>
              </w:rPr>
              <w:t>0.</w:t>
            </w:r>
            <w:r>
              <w:rPr>
                <w:rFonts w:hint="eastAsia" w:cs="Times New Roman"/>
                <w:color w:val="auto"/>
                <w:kern w:val="2"/>
                <w:sz w:val="21"/>
                <w:szCs w:val="36"/>
                <w:highlight w:val="none"/>
                <w:u w:val="none"/>
                <w:lang w:val="en-US" w:eastAsia="zh-CN" w:bidi="ar-SA"/>
              </w:rPr>
              <w:t>1</w:t>
            </w:r>
            <w:r>
              <w:rPr>
                <w:rFonts w:hint="eastAsia" w:ascii="Times New Roman" w:hAnsi="Times New Roman" w:eastAsia="宋体" w:cs="Times New Roman"/>
                <w:color w:val="auto"/>
                <w:kern w:val="2"/>
                <w:sz w:val="21"/>
                <w:szCs w:val="36"/>
                <w:highlight w:val="none"/>
                <w:u w:val="none"/>
                <w:lang w:val="en-US" w:eastAsia="zh-CN" w:bidi="ar-SA"/>
              </w:rPr>
              <w:t>2</w:t>
            </w:r>
            <w:r>
              <w:rPr>
                <w:rFonts w:hint="eastAsia"/>
                <w:color w:val="auto"/>
                <w:lang w:val="en-US" w:eastAsia="zh-CN"/>
              </w:rPr>
              <w:t>t/a</w:t>
            </w:r>
          </w:p>
        </w:tc>
        <w:tc>
          <w:tcPr>
            <w:tcW w:w="1309" w:type="dxa"/>
            <w:vAlign w:val="center"/>
          </w:tcPr>
          <w:p w14:paraId="1D0088BC">
            <w:pPr>
              <w:pStyle w:val="33"/>
              <w:bidi w:val="0"/>
              <w:ind w:firstLine="0" w:firstLineChars="0"/>
              <w:jc w:val="center"/>
              <w:rPr>
                <w:rFonts w:hint="eastAsia" w:ascii="Times New Roman" w:hAnsi="Times New Roman" w:eastAsia="宋体" w:cs="Times New Roman"/>
                <w:color w:val="auto"/>
                <w:kern w:val="2"/>
                <w:sz w:val="21"/>
                <w:szCs w:val="36"/>
                <w:highlight w:val="none"/>
                <w:u w:val="none"/>
                <w:lang w:val="en-US" w:eastAsia="zh-CN" w:bidi="ar-SA"/>
              </w:rPr>
            </w:pPr>
            <w:r>
              <w:rPr>
                <w:rFonts w:hint="eastAsia" w:cs="Times New Roman"/>
                <w:color w:val="auto"/>
                <w:kern w:val="2"/>
                <w:sz w:val="21"/>
                <w:szCs w:val="36"/>
                <w:highlight w:val="none"/>
                <w:u w:val="none"/>
                <w:lang w:val="en-US" w:eastAsia="zh-CN" w:bidi="ar-SA"/>
              </w:rPr>
              <w:t>+</w:t>
            </w:r>
            <w:r>
              <w:rPr>
                <w:rFonts w:hint="eastAsia" w:ascii="Times New Roman" w:hAnsi="Times New Roman" w:eastAsia="宋体" w:cs="Times New Roman"/>
                <w:color w:val="auto"/>
                <w:kern w:val="2"/>
                <w:sz w:val="21"/>
                <w:szCs w:val="36"/>
                <w:highlight w:val="none"/>
                <w:u w:val="none"/>
                <w:lang w:val="en-US" w:eastAsia="zh-CN" w:bidi="ar-SA"/>
              </w:rPr>
              <w:t>0.</w:t>
            </w:r>
            <w:r>
              <w:rPr>
                <w:rFonts w:hint="eastAsia" w:cs="Times New Roman"/>
                <w:color w:val="auto"/>
                <w:kern w:val="2"/>
                <w:sz w:val="21"/>
                <w:szCs w:val="36"/>
                <w:highlight w:val="none"/>
                <w:u w:val="none"/>
                <w:lang w:val="en-US" w:eastAsia="zh-CN" w:bidi="ar-SA"/>
              </w:rPr>
              <w:t>1</w:t>
            </w:r>
            <w:r>
              <w:rPr>
                <w:rFonts w:hint="eastAsia" w:ascii="Times New Roman" w:hAnsi="Times New Roman" w:eastAsia="宋体" w:cs="Times New Roman"/>
                <w:color w:val="auto"/>
                <w:kern w:val="2"/>
                <w:sz w:val="21"/>
                <w:szCs w:val="36"/>
                <w:highlight w:val="none"/>
                <w:u w:val="none"/>
                <w:lang w:val="en-US" w:eastAsia="zh-CN" w:bidi="ar-SA"/>
              </w:rPr>
              <w:t>2</w:t>
            </w:r>
            <w:r>
              <w:rPr>
                <w:rFonts w:hint="eastAsia"/>
                <w:color w:val="auto"/>
                <w:lang w:val="en-US" w:eastAsia="zh-CN"/>
              </w:rPr>
              <w:t>t/a</w:t>
            </w:r>
          </w:p>
        </w:tc>
      </w:tr>
      <w:tr w14:paraId="0B535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202" w:type="dxa"/>
            <w:vAlign w:val="center"/>
          </w:tcPr>
          <w:p w14:paraId="1F041E58">
            <w:pPr>
              <w:pStyle w:val="33"/>
              <w:bidi w:val="0"/>
              <w:jc w:val="center"/>
              <w:rPr>
                <w:rFonts w:hint="default"/>
                <w:vertAlign w:val="baseline"/>
                <w:lang w:val="en-US" w:eastAsia="zh-CN"/>
              </w:rPr>
            </w:pPr>
            <w:r>
              <w:rPr>
                <w:rFonts w:hint="eastAsia"/>
                <w:vertAlign w:val="baseline"/>
                <w:lang w:val="en-US" w:eastAsia="zh-CN"/>
              </w:rPr>
              <w:t>危险废物</w:t>
            </w:r>
          </w:p>
        </w:tc>
        <w:tc>
          <w:tcPr>
            <w:tcW w:w="1304" w:type="dxa"/>
            <w:vAlign w:val="center"/>
          </w:tcPr>
          <w:p w14:paraId="7F1F5818">
            <w:pPr>
              <w:pStyle w:val="33"/>
              <w:bidi w:val="0"/>
              <w:jc w:val="center"/>
              <w:rPr>
                <w:rFonts w:hint="eastAsia"/>
                <w:vertAlign w:val="baseline"/>
                <w:lang w:val="en-US" w:eastAsia="zh-CN"/>
              </w:rPr>
            </w:pPr>
            <w:r>
              <w:rPr>
                <w:rFonts w:hint="eastAsia" w:ascii="Times New Roman" w:hAnsi="Times New Roman" w:eastAsia="宋体" w:cs="Times New Roman"/>
                <w:color w:val="auto"/>
                <w:kern w:val="2"/>
                <w:sz w:val="21"/>
                <w:szCs w:val="36"/>
                <w:highlight w:val="none"/>
                <w:u w:val="none"/>
                <w:lang w:val="en-US" w:eastAsia="zh-CN" w:bidi="ar-SA"/>
              </w:rPr>
              <w:t>废机油</w:t>
            </w:r>
          </w:p>
        </w:tc>
        <w:tc>
          <w:tcPr>
            <w:tcW w:w="1786" w:type="dxa"/>
            <w:vAlign w:val="center"/>
          </w:tcPr>
          <w:p w14:paraId="3B734131">
            <w:pPr>
              <w:pStyle w:val="33"/>
              <w:bidi w:val="0"/>
              <w:jc w:val="center"/>
              <w:rPr>
                <w:rFonts w:hint="default"/>
                <w:vertAlign w:val="baseline"/>
                <w:lang w:val="en-US" w:eastAsia="zh-CN"/>
              </w:rPr>
            </w:pPr>
            <w:r>
              <w:rPr>
                <w:rFonts w:hint="eastAsia"/>
                <w:vertAlign w:val="baseline"/>
                <w:lang w:val="en-US" w:eastAsia="zh-CN"/>
              </w:rPr>
              <w:t>/</w:t>
            </w:r>
          </w:p>
        </w:tc>
        <w:tc>
          <w:tcPr>
            <w:tcW w:w="1298" w:type="dxa"/>
            <w:vAlign w:val="center"/>
          </w:tcPr>
          <w:p w14:paraId="7CC5CA8F">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15" w:type="dxa"/>
            <w:vAlign w:val="center"/>
          </w:tcPr>
          <w:p w14:paraId="7D44BB86">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27" w:type="dxa"/>
            <w:vAlign w:val="center"/>
          </w:tcPr>
          <w:p w14:paraId="0A3B794B">
            <w:pPr>
              <w:pStyle w:val="33"/>
              <w:bidi w:val="0"/>
              <w:ind w:firstLine="0" w:firstLineChars="0"/>
              <w:jc w:val="center"/>
              <w:rPr>
                <w:rFonts w:hint="eastAsia" w:ascii="Times New Roman" w:hAnsi="Times New Roman" w:eastAsia="宋体" w:cs="Times New Roman"/>
                <w:color w:val="auto"/>
                <w:kern w:val="2"/>
                <w:sz w:val="21"/>
                <w:szCs w:val="36"/>
                <w:u w:val="none"/>
                <w:lang w:val="en-US" w:eastAsia="zh-CN" w:bidi="ar-SA"/>
              </w:rPr>
            </w:pPr>
            <w:r>
              <w:rPr>
                <w:rFonts w:hint="eastAsia"/>
                <w:color w:val="auto"/>
                <w:lang w:val="en-US" w:eastAsia="zh-CN"/>
              </w:rPr>
              <w:t>0.20t/a</w:t>
            </w:r>
          </w:p>
        </w:tc>
        <w:tc>
          <w:tcPr>
            <w:tcW w:w="1758" w:type="dxa"/>
            <w:vAlign w:val="center"/>
          </w:tcPr>
          <w:p w14:paraId="3FCB9ACB">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75" w:type="dxa"/>
            <w:vAlign w:val="center"/>
          </w:tcPr>
          <w:p w14:paraId="4F12AD3E">
            <w:pPr>
              <w:pStyle w:val="33"/>
              <w:bidi w:val="0"/>
              <w:ind w:firstLine="0" w:firstLineChars="0"/>
              <w:jc w:val="center"/>
              <w:rPr>
                <w:rFonts w:hint="eastAsia" w:ascii="Times New Roman" w:hAnsi="Times New Roman" w:eastAsia="宋体" w:cs="Times New Roman"/>
                <w:color w:val="auto"/>
                <w:kern w:val="2"/>
                <w:sz w:val="21"/>
                <w:szCs w:val="36"/>
                <w:u w:val="none"/>
                <w:lang w:val="en-US" w:eastAsia="zh-CN" w:bidi="ar-SA"/>
              </w:rPr>
            </w:pPr>
            <w:r>
              <w:rPr>
                <w:rFonts w:hint="eastAsia"/>
                <w:color w:val="auto"/>
                <w:lang w:val="en-US" w:eastAsia="zh-CN"/>
              </w:rPr>
              <w:t>0.20t/a</w:t>
            </w:r>
          </w:p>
        </w:tc>
        <w:tc>
          <w:tcPr>
            <w:tcW w:w="1309" w:type="dxa"/>
            <w:vAlign w:val="center"/>
          </w:tcPr>
          <w:p w14:paraId="19762E92">
            <w:pPr>
              <w:pStyle w:val="33"/>
              <w:bidi w:val="0"/>
              <w:ind w:firstLine="0" w:firstLineChars="0"/>
              <w:jc w:val="center"/>
              <w:rPr>
                <w:rFonts w:hint="eastAsia" w:ascii="Times New Roman" w:hAnsi="Times New Roman" w:eastAsia="宋体" w:cs="Times New Roman"/>
                <w:color w:val="auto"/>
                <w:kern w:val="2"/>
                <w:sz w:val="21"/>
                <w:szCs w:val="36"/>
                <w:u w:val="none"/>
                <w:lang w:val="en-US" w:eastAsia="zh-CN" w:bidi="ar-SA"/>
              </w:rPr>
            </w:pPr>
            <w:r>
              <w:rPr>
                <w:rFonts w:hint="eastAsia"/>
                <w:color w:val="auto"/>
                <w:lang w:val="en-US" w:eastAsia="zh-CN"/>
              </w:rPr>
              <w:t>+0.20t/a</w:t>
            </w:r>
          </w:p>
        </w:tc>
      </w:tr>
    </w:tbl>
    <w:p w14:paraId="34AD5F25">
      <w:pPr>
        <w:pStyle w:val="33"/>
        <w:bidi w:val="0"/>
        <w:jc w:val="both"/>
        <w:rPr>
          <w:rFonts w:hint="eastAsia" w:eastAsia="宋体"/>
          <w:color w:val="auto"/>
          <w:highlight w:val="none"/>
          <w:lang w:val="en-US" w:eastAsia="zh-CN"/>
        </w:rPr>
        <w:sectPr>
          <w:footerReference r:id="rId8" w:type="default"/>
          <w:pgSz w:w="16838" w:h="11906" w:orient="landscape"/>
          <w:pgMar w:top="1701" w:right="1134" w:bottom="1701" w:left="1134" w:header="851" w:footer="992" w:gutter="0"/>
          <w:pgBorders>
            <w:top w:val="none" w:sz="0" w:space="0"/>
            <w:left w:val="none" w:sz="0" w:space="0"/>
            <w:bottom w:val="none" w:sz="0" w:space="0"/>
            <w:right w:val="none" w:sz="0" w:space="0"/>
          </w:pgBorders>
          <w:pgNumType w:fmt="decimal"/>
          <w:cols w:space="0" w:num="1"/>
          <w:rtlGutter w:val="0"/>
          <w:docGrid w:type="lines" w:linePitch="327" w:charSpace="0"/>
        </w:sectPr>
      </w:pPr>
      <w:r>
        <w:rPr>
          <w:rFonts w:hint="eastAsia"/>
          <w:lang w:val="en-US" w:eastAsia="zh-CN"/>
        </w:rPr>
        <w:t>注：⑥=①+③+④-⑤；⑦=⑥-①</w:t>
      </w:r>
    </w:p>
    <w:p w14:paraId="69147CF9">
      <w:pPr>
        <w:spacing w:afterAutospacing="0" w:line="240" w:lineRule="auto"/>
        <w:ind w:left="0" w:leftChars="0" w:firstLine="0" w:firstLineChars="0"/>
        <w:rPr>
          <w:rFonts w:hint="eastAsia"/>
          <w:lang w:val="en-US" w:eastAsia="zh-CN"/>
        </w:rPr>
      </w:pPr>
    </w:p>
    <w:sectPr>
      <w:pgSz w:w="16838" w:h="11906" w:orient="landscape"/>
      <w:pgMar w:top="1701" w:right="1134" w:bottom="1701" w:left="1134" w:header="851" w:footer="992" w:gutter="0"/>
      <w:pgBorders>
        <w:top w:val="none" w:sz="0" w:space="0"/>
        <w:left w:val="none" w:sz="0" w:space="0"/>
        <w:bottom w:val="none" w:sz="0" w:space="0"/>
        <w:right w:val="none" w:sz="0" w:space="0"/>
      </w:pgBorders>
      <w:pgNumType w:fmt="decimal"/>
      <w:cols w:space="0" w:num="1"/>
      <w:rtlGutter w:val="0"/>
      <w:docGrid w:type="lines"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Rounded MT Bold">
    <w:altName w:val="Arial"/>
    <w:panose1 w:val="020F0704030504030204"/>
    <w:charset w:val="00"/>
    <w:family w:val="swiss"/>
    <w:pitch w:val="default"/>
    <w:sig w:usb0="00000000" w:usb1="00000000" w:usb2="00000000" w:usb3="00000000" w:csb0="20000001" w:csb1="00000000"/>
  </w:font>
  <w:font w:name="宋体.">
    <w:altName w:val="宋体"/>
    <w:panose1 w:val="00000000000000000000"/>
    <w:charset w:val="86"/>
    <w:family w:val="roma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5020102010507070707"/>
    <w:charset w:val="00"/>
    <w:family w:val="auto"/>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Wingdings">
    <w:panose1 w:val="05000000000000000000"/>
    <w:charset w:val="00"/>
    <w:family w:val="auto"/>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13B3B">
    <w:pPr>
      <w:pStyle w:val="1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8596E">
    <w:pPr>
      <w:pStyle w:val="18"/>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2C45D">
    <w:pPr>
      <w:pStyle w:val="18"/>
      <w:ind w:right="360" w:firstLine="360"/>
      <w:jc w:val="both"/>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13F51C">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713F51C">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A80F7">
    <w:pPr>
      <w:pStyle w:val="18"/>
      <w:ind w:right="360" w:firstLine="36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363EDD"/>
    <w:multiLevelType w:val="singleLevel"/>
    <w:tmpl w:val="8A363EDD"/>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64"/>
  <w:displayHorizontalDrawingGridEvery w:val="1"/>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yMWI5MTUzMWI3YWI3NzBiZTMyYzQ0M2MxYzYyMjMifQ=="/>
  </w:docVars>
  <w:rsids>
    <w:rsidRoot w:val="00000000"/>
    <w:rsid w:val="002877B6"/>
    <w:rsid w:val="005B3398"/>
    <w:rsid w:val="04950D4F"/>
    <w:rsid w:val="04B9158C"/>
    <w:rsid w:val="056360C4"/>
    <w:rsid w:val="060578DA"/>
    <w:rsid w:val="0621750B"/>
    <w:rsid w:val="06D1175F"/>
    <w:rsid w:val="07454807"/>
    <w:rsid w:val="07E06245"/>
    <w:rsid w:val="08275C22"/>
    <w:rsid w:val="08B66FA6"/>
    <w:rsid w:val="090E293E"/>
    <w:rsid w:val="09B01C47"/>
    <w:rsid w:val="0A7C2A1D"/>
    <w:rsid w:val="0B13248D"/>
    <w:rsid w:val="0B8F5DFB"/>
    <w:rsid w:val="0BC24E8D"/>
    <w:rsid w:val="0C4F3999"/>
    <w:rsid w:val="0C742F6E"/>
    <w:rsid w:val="0D250889"/>
    <w:rsid w:val="0E25165B"/>
    <w:rsid w:val="0F1856FB"/>
    <w:rsid w:val="108A5F33"/>
    <w:rsid w:val="10FD1185"/>
    <w:rsid w:val="122827A1"/>
    <w:rsid w:val="136664AF"/>
    <w:rsid w:val="1391124B"/>
    <w:rsid w:val="13A03979"/>
    <w:rsid w:val="16BA1030"/>
    <w:rsid w:val="16CF7CB8"/>
    <w:rsid w:val="175C1663"/>
    <w:rsid w:val="17CD4792"/>
    <w:rsid w:val="185C244B"/>
    <w:rsid w:val="18B15BA9"/>
    <w:rsid w:val="190F64E9"/>
    <w:rsid w:val="194F5030"/>
    <w:rsid w:val="1C2F2E9F"/>
    <w:rsid w:val="1C366C15"/>
    <w:rsid w:val="1C895C0D"/>
    <w:rsid w:val="1D232A04"/>
    <w:rsid w:val="1D382954"/>
    <w:rsid w:val="1E911048"/>
    <w:rsid w:val="1EC30710"/>
    <w:rsid w:val="1F763D6E"/>
    <w:rsid w:val="1FDF698A"/>
    <w:rsid w:val="201A561B"/>
    <w:rsid w:val="20803CC9"/>
    <w:rsid w:val="20FC0A8A"/>
    <w:rsid w:val="2237485C"/>
    <w:rsid w:val="239E4CF6"/>
    <w:rsid w:val="23EA5BAE"/>
    <w:rsid w:val="259318C3"/>
    <w:rsid w:val="2645013F"/>
    <w:rsid w:val="27806CA5"/>
    <w:rsid w:val="27D02D8B"/>
    <w:rsid w:val="27EA3888"/>
    <w:rsid w:val="27FE5E40"/>
    <w:rsid w:val="285A367B"/>
    <w:rsid w:val="294A756A"/>
    <w:rsid w:val="2A0616E3"/>
    <w:rsid w:val="2AC13EE6"/>
    <w:rsid w:val="2B0B708D"/>
    <w:rsid w:val="2B7663F5"/>
    <w:rsid w:val="2D4B511A"/>
    <w:rsid w:val="2DA354EC"/>
    <w:rsid w:val="2DE75388"/>
    <w:rsid w:val="2F4522AF"/>
    <w:rsid w:val="2FB6236A"/>
    <w:rsid w:val="30A57E63"/>
    <w:rsid w:val="313E2427"/>
    <w:rsid w:val="3393482A"/>
    <w:rsid w:val="33B55CC1"/>
    <w:rsid w:val="33F87DD0"/>
    <w:rsid w:val="345624BE"/>
    <w:rsid w:val="348A1163"/>
    <w:rsid w:val="34930DBC"/>
    <w:rsid w:val="34C85192"/>
    <w:rsid w:val="354C2E3B"/>
    <w:rsid w:val="35B16948"/>
    <w:rsid w:val="36B129D7"/>
    <w:rsid w:val="36B86B92"/>
    <w:rsid w:val="36C7028A"/>
    <w:rsid w:val="37431878"/>
    <w:rsid w:val="39DE7BAC"/>
    <w:rsid w:val="3A7152A8"/>
    <w:rsid w:val="3B24701C"/>
    <w:rsid w:val="3C995DC4"/>
    <w:rsid w:val="3D281519"/>
    <w:rsid w:val="3E112B03"/>
    <w:rsid w:val="3E1474ED"/>
    <w:rsid w:val="3E432AAE"/>
    <w:rsid w:val="3FDC63A7"/>
    <w:rsid w:val="408A2695"/>
    <w:rsid w:val="41095CC0"/>
    <w:rsid w:val="42156510"/>
    <w:rsid w:val="45034894"/>
    <w:rsid w:val="45D82E39"/>
    <w:rsid w:val="46F337F6"/>
    <w:rsid w:val="47A9154D"/>
    <w:rsid w:val="48651873"/>
    <w:rsid w:val="4A490FFE"/>
    <w:rsid w:val="4BAD143D"/>
    <w:rsid w:val="4CB14DA0"/>
    <w:rsid w:val="4D4B1EB9"/>
    <w:rsid w:val="4E0946D6"/>
    <w:rsid w:val="4E7B2225"/>
    <w:rsid w:val="4EBC7D13"/>
    <w:rsid w:val="4EC93202"/>
    <w:rsid w:val="4F0269D0"/>
    <w:rsid w:val="4F6D488C"/>
    <w:rsid w:val="4F942E88"/>
    <w:rsid w:val="4FE442AD"/>
    <w:rsid w:val="50F96FFC"/>
    <w:rsid w:val="51102D0F"/>
    <w:rsid w:val="51497F84"/>
    <w:rsid w:val="51B2428C"/>
    <w:rsid w:val="52224EA4"/>
    <w:rsid w:val="52374081"/>
    <w:rsid w:val="52F543A6"/>
    <w:rsid w:val="54071A30"/>
    <w:rsid w:val="542A2FBE"/>
    <w:rsid w:val="54622402"/>
    <w:rsid w:val="579D1F49"/>
    <w:rsid w:val="57FE0666"/>
    <w:rsid w:val="597C28E0"/>
    <w:rsid w:val="5A8C09CF"/>
    <w:rsid w:val="5AAE12B9"/>
    <w:rsid w:val="5AFF16B3"/>
    <w:rsid w:val="5B637E94"/>
    <w:rsid w:val="5C6B52E5"/>
    <w:rsid w:val="5ED22049"/>
    <w:rsid w:val="5F044953"/>
    <w:rsid w:val="611841B3"/>
    <w:rsid w:val="627C783B"/>
    <w:rsid w:val="62A52B40"/>
    <w:rsid w:val="62E33669"/>
    <w:rsid w:val="630C48EC"/>
    <w:rsid w:val="63BD1BDC"/>
    <w:rsid w:val="64BE613B"/>
    <w:rsid w:val="65B512EC"/>
    <w:rsid w:val="65C03D35"/>
    <w:rsid w:val="67513297"/>
    <w:rsid w:val="677B2ABB"/>
    <w:rsid w:val="67BB2B61"/>
    <w:rsid w:val="67C97159"/>
    <w:rsid w:val="67D53EC8"/>
    <w:rsid w:val="68E87E88"/>
    <w:rsid w:val="693D3DF0"/>
    <w:rsid w:val="696075A1"/>
    <w:rsid w:val="696116AD"/>
    <w:rsid w:val="698F572F"/>
    <w:rsid w:val="6B38510A"/>
    <w:rsid w:val="6D2E6460"/>
    <w:rsid w:val="6D89145E"/>
    <w:rsid w:val="6ECE5CF9"/>
    <w:rsid w:val="6F55769C"/>
    <w:rsid w:val="6F8C45F4"/>
    <w:rsid w:val="70303107"/>
    <w:rsid w:val="70803BDF"/>
    <w:rsid w:val="71902C0D"/>
    <w:rsid w:val="71C3681E"/>
    <w:rsid w:val="720D425E"/>
    <w:rsid w:val="72BC491B"/>
    <w:rsid w:val="730E5F4E"/>
    <w:rsid w:val="73754CED"/>
    <w:rsid w:val="73CA2A2C"/>
    <w:rsid w:val="74AA5A49"/>
    <w:rsid w:val="75243D99"/>
    <w:rsid w:val="757514DF"/>
    <w:rsid w:val="757B7008"/>
    <w:rsid w:val="794837A4"/>
    <w:rsid w:val="79755705"/>
    <w:rsid w:val="79B80F53"/>
    <w:rsid w:val="7A5C7A4B"/>
    <w:rsid w:val="7AD87AFF"/>
    <w:rsid w:val="7B6A3EEE"/>
    <w:rsid w:val="7B8C6B3B"/>
    <w:rsid w:val="7C7D04B4"/>
    <w:rsid w:val="7D032E2D"/>
    <w:rsid w:val="7D3048DA"/>
    <w:rsid w:val="7E5D7099"/>
    <w:rsid w:val="7E665422"/>
    <w:rsid w:val="7E977CD1"/>
    <w:rsid w:val="7FB614B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keepLines/>
      <w:spacing w:before="120" w:beforeLines="0" w:beforeAutospacing="0" w:after="120" w:afterLines="0" w:afterAutospacing="0" w:line="360" w:lineRule="auto"/>
      <w:jc w:val="center"/>
      <w:outlineLvl w:val="0"/>
    </w:pPr>
    <w:rPr>
      <w:rFonts w:eastAsia="黑体"/>
      <w:b/>
      <w:kern w:val="44"/>
      <w:sz w:val="30"/>
    </w:rPr>
  </w:style>
  <w:style w:type="paragraph" w:styleId="3">
    <w:name w:val="heading 3"/>
    <w:basedOn w:val="1"/>
    <w:next w:val="1"/>
    <w:qFormat/>
    <w:uiPriority w:val="0"/>
    <w:pPr>
      <w:spacing w:before="0" w:after="0" w:line="480" w:lineRule="atLeast"/>
      <w:outlineLvl w:val="2"/>
    </w:pPr>
    <w:rPr>
      <w:rFonts w:ascii="黑体" w:hAnsi="Arial Rounded MT Bold" w:eastAsia="黑体"/>
      <w:b/>
      <w:bCs/>
      <w:spacing w:val="10"/>
      <w:kern w:val="0"/>
      <w:sz w:val="28"/>
      <w:szCs w:val="20"/>
      <w:lang w:val="en-US" w:eastAsia="zh-CN"/>
    </w:rPr>
  </w:style>
  <w:style w:type="paragraph" w:styleId="4">
    <w:name w:val="heading 4"/>
    <w:basedOn w:val="1"/>
    <w:next w:val="1"/>
    <w:qFormat/>
    <w:uiPriority w:val="0"/>
    <w:pPr>
      <w:keepNext/>
      <w:keepLines/>
      <w:spacing w:before="280" w:beforeLines="0" w:after="290" w:afterLines="0" w:line="374" w:lineRule="auto"/>
      <w:outlineLvl w:val="3"/>
    </w:pPr>
    <w:rPr>
      <w:rFonts w:ascii="Arial" w:hAnsi="Arial" w:eastAsia="黑体"/>
      <w:b/>
      <w:bCs/>
      <w:sz w:val="28"/>
      <w:szCs w:val="28"/>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style>
  <w:style w:type="paragraph" w:styleId="6">
    <w:name w:val="toa heading"/>
    <w:basedOn w:val="1"/>
    <w:next w:val="1"/>
    <w:qFormat/>
    <w:uiPriority w:val="0"/>
    <w:pPr>
      <w:spacing w:before="120" w:beforeLines="0" w:beforeAutospacing="0"/>
    </w:pPr>
    <w:rPr>
      <w:rFonts w:ascii="Arial" w:hAnsi="Arial"/>
      <w:sz w:val="24"/>
    </w:rPr>
  </w:style>
  <w:style w:type="paragraph" w:styleId="7">
    <w:name w:val="annotation text"/>
    <w:basedOn w:val="1"/>
    <w:qFormat/>
    <w:uiPriority w:val="0"/>
    <w:pPr>
      <w:jc w:val="left"/>
    </w:pPr>
    <w:rPr>
      <w:kern w:val="0"/>
      <w:sz w:val="24"/>
      <w:szCs w:val="20"/>
    </w:rPr>
  </w:style>
  <w:style w:type="paragraph" w:styleId="8">
    <w:name w:val="Salutation"/>
    <w:basedOn w:val="1"/>
    <w:next w:val="1"/>
    <w:qFormat/>
    <w:uiPriority w:val="0"/>
  </w:style>
  <w:style w:type="paragraph" w:styleId="9">
    <w:name w:val="Body Text"/>
    <w:basedOn w:val="1"/>
    <w:next w:val="10"/>
    <w:link w:val="41"/>
    <w:qFormat/>
    <w:uiPriority w:val="0"/>
    <w:rPr>
      <w:rFonts w:ascii="Arial" w:hAnsi="Arial" w:eastAsia="Arial" w:cs="Arial"/>
      <w:sz w:val="21"/>
      <w:szCs w:val="21"/>
      <w:lang w:val="en-US" w:eastAsia="en-US" w:bidi="ar-SA"/>
    </w:rPr>
  </w:style>
  <w:style w:type="paragraph" w:customStyle="1" w:styleId="10">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11">
    <w:name w:val="Body Text Indent"/>
    <w:basedOn w:val="1"/>
    <w:next w:val="5"/>
    <w:qFormat/>
    <w:uiPriority w:val="0"/>
    <w:pPr>
      <w:widowControl/>
      <w:spacing w:after="120"/>
      <w:ind w:left="420" w:leftChars="200"/>
      <w:jc w:val="left"/>
    </w:pPr>
    <w:rPr>
      <w:kern w:val="0"/>
      <w:sz w:val="24"/>
    </w:rPr>
  </w:style>
  <w:style w:type="paragraph" w:styleId="12">
    <w:name w:val="Plain Text"/>
    <w:basedOn w:val="1"/>
    <w:next w:val="13"/>
    <w:qFormat/>
    <w:uiPriority w:val="0"/>
    <w:pPr>
      <w:spacing w:line="240" w:lineRule="atLeast"/>
    </w:pPr>
    <w:rPr>
      <w:rFonts w:ascii="宋体" w:hAnsi="宋体" w:eastAsia="宋体"/>
      <w:sz w:val="24"/>
    </w:rPr>
  </w:style>
  <w:style w:type="paragraph" w:customStyle="1" w:styleId="13">
    <w:name w:val="Default"/>
    <w:basedOn w:val="14"/>
    <w:next w:val="15"/>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
    <w:name w:val="纯文本1"/>
    <w:basedOn w:val="1"/>
    <w:autoRedefine/>
    <w:qFormat/>
    <w:uiPriority w:val="0"/>
    <w:pPr>
      <w:adjustRightInd w:val="0"/>
      <w:textAlignment w:val="baseline"/>
    </w:pPr>
    <w:rPr>
      <w:rFonts w:ascii="宋体" w:hAnsi="Courier New"/>
      <w:szCs w:val="20"/>
    </w:rPr>
  </w:style>
  <w:style w:type="paragraph" w:styleId="15">
    <w:name w:val="Body Text First Indent 2"/>
    <w:basedOn w:val="11"/>
    <w:next w:val="16"/>
    <w:qFormat/>
    <w:uiPriority w:val="0"/>
    <w:pPr>
      <w:widowControl w:val="0"/>
      <w:ind w:firstLine="420" w:firstLineChars="200"/>
      <w:jc w:val="both"/>
    </w:pPr>
    <w:rPr>
      <w:kern w:val="2"/>
      <w:sz w:val="21"/>
    </w:rPr>
  </w:style>
  <w:style w:type="paragraph" w:styleId="16">
    <w:name w:val="Body Text First Indent"/>
    <w:basedOn w:val="9"/>
    <w:next w:val="1"/>
    <w:qFormat/>
    <w:uiPriority w:val="0"/>
    <w:pPr>
      <w:ind w:firstLine="420" w:firstLineChars="100"/>
    </w:pPr>
    <w:rPr>
      <w:sz w:val="24"/>
    </w:rPr>
  </w:style>
  <w:style w:type="paragraph" w:styleId="17">
    <w:name w:val="Date"/>
    <w:basedOn w:val="1"/>
    <w:next w:val="1"/>
    <w:qFormat/>
    <w:uiPriority w:val="0"/>
    <w:rPr>
      <w:sz w:val="24"/>
      <w:szCs w:val="20"/>
    </w:rPr>
  </w:style>
  <w:style w:type="paragraph" w:styleId="18">
    <w:name w:val="footer"/>
    <w:basedOn w:val="1"/>
    <w:qFormat/>
    <w:uiPriority w:val="99"/>
    <w:pPr>
      <w:tabs>
        <w:tab w:val="center" w:pos="4153"/>
        <w:tab w:val="right" w:pos="8306"/>
      </w:tabs>
      <w:snapToGrid w:val="0"/>
      <w:jc w:val="left"/>
    </w:pPr>
    <w:rPr>
      <w:kern w:val="0"/>
      <w:sz w:val="18"/>
      <w:szCs w:val="20"/>
    </w:rPr>
  </w:style>
  <w:style w:type="paragraph" w:styleId="19">
    <w:name w:val="header"/>
    <w:basedOn w:val="1"/>
    <w:next w:val="2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0">
    <w:name w:val="index heading"/>
    <w:basedOn w:val="1"/>
    <w:next w:val="21"/>
    <w:qFormat/>
    <w:uiPriority w:val="0"/>
    <w:rPr>
      <w:rFonts w:ascii="Arial" w:hAnsi="Arial"/>
      <w:b/>
    </w:rPr>
  </w:style>
  <w:style w:type="paragraph" w:styleId="21">
    <w:name w:val="index 1"/>
    <w:basedOn w:val="1"/>
    <w:next w:val="1"/>
    <w:semiHidden/>
    <w:qFormat/>
    <w:uiPriority w:val="0"/>
    <w:pPr>
      <w:adjustRightInd w:val="0"/>
      <w:snapToGrid w:val="0"/>
      <w:ind w:firstLine="823" w:firstLineChars="358"/>
      <w:jc w:val="left"/>
    </w:pPr>
    <w:rPr>
      <w:rFonts w:ascii="宋体" w:hAnsi="宋体"/>
      <w:spacing w:val="10"/>
    </w:rPr>
  </w:style>
  <w:style w:type="paragraph" w:styleId="22">
    <w:name w:val="Normal (Web)"/>
    <w:basedOn w:val="1"/>
    <w:qFormat/>
    <w:uiPriority w:val="0"/>
    <w:pPr>
      <w:widowControl/>
      <w:spacing w:before="100" w:beforeAutospacing="1" w:after="100" w:afterAutospacing="1"/>
      <w:jc w:val="left"/>
    </w:pPr>
    <w:rPr>
      <w:rFonts w:ascii="宋体" w:hAnsi="宋体"/>
      <w:kern w:val="0"/>
      <w:sz w:val="24"/>
      <w:szCs w:val="20"/>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0"/>
  </w:style>
  <w:style w:type="character" w:styleId="27">
    <w:name w:val="annotation reference"/>
    <w:semiHidden/>
    <w:qFormat/>
    <w:uiPriority w:val="0"/>
    <w:rPr>
      <w:sz w:val="21"/>
    </w:rPr>
  </w:style>
  <w:style w:type="paragraph" w:customStyle="1" w:styleId="28">
    <w:name w:val="批注文字1"/>
    <w:qFormat/>
    <w:uiPriority w:val="0"/>
    <w:pPr>
      <w:widowControl w:val="0"/>
    </w:pPr>
    <w:rPr>
      <w:rFonts w:ascii="Calibri" w:hAnsi="Calibri" w:eastAsia="Calibri" w:cs="Times New Roman"/>
      <w:color w:val="000000"/>
      <w:kern w:val="2"/>
      <w:sz w:val="21"/>
      <w:szCs w:val="24"/>
      <w:lang w:val="en-US" w:eastAsia="zh-CN" w:bidi="ar-SA"/>
    </w:rPr>
  </w:style>
  <w:style w:type="paragraph" w:customStyle="1" w:styleId="29">
    <w:name w:val="表头"/>
    <w:basedOn w:val="30"/>
    <w:qFormat/>
    <w:uiPriority w:val="0"/>
    <w:pPr>
      <w:adjustRightInd w:val="0"/>
      <w:snapToGrid w:val="0"/>
      <w:spacing w:before="50" w:beforeLines="50" w:line="240" w:lineRule="auto"/>
      <w:ind w:firstLine="0" w:firstLineChars="0"/>
      <w:jc w:val="center"/>
    </w:pPr>
    <w:rPr>
      <w:rFonts w:hint="eastAsia" w:eastAsia="黑体"/>
      <w:szCs w:val="36"/>
      <w:u w:val="none"/>
    </w:rPr>
  </w:style>
  <w:style w:type="paragraph" w:customStyle="1" w:styleId="30">
    <w:name w:val="正文d"/>
    <w:basedOn w:val="1"/>
    <w:qFormat/>
    <w:uiPriority w:val="0"/>
    <w:pPr>
      <w:autoSpaceDE w:val="0"/>
      <w:autoSpaceDN w:val="0"/>
      <w:adjustRightInd w:val="0"/>
      <w:snapToGrid w:val="0"/>
      <w:spacing w:line="360" w:lineRule="auto"/>
      <w:ind w:firstLine="200" w:firstLineChars="200"/>
    </w:pPr>
    <w:rPr>
      <w:rFonts w:cs="宋体"/>
      <w:kern w:val="0"/>
      <w:szCs w:val="21"/>
    </w:rPr>
  </w:style>
  <w:style w:type="paragraph" w:customStyle="1" w:styleId="31">
    <w:name w:val="二级正文"/>
    <w:basedOn w:val="32"/>
    <w:next w:val="1"/>
    <w:qFormat/>
    <w:uiPriority w:val="0"/>
    <w:pPr>
      <w:ind w:firstLine="562" w:firstLineChars="200"/>
    </w:pPr>
  </w:style>
  <w:style w:type="paragraph" w:customStyle="1" w:styleId="32">
    <w:name w:val="一级正文"/>
    <w:basedOn w:val="1"/>
    <w:next w:val="1"/>
    <w:qFormat/>
    <w:uiPriority w:val="0"/>
    <w:rPr>
      <w:b/>
    </w:rPr>
  </w:style>
  <w:style w:type="paragraph" w:customStyle="1" w:styleId="33">
    <w:name w:val="表格文字"/>
    <w:basedOn w:val="34"/>
    <w:qFormat/>
    <w:uiPriority w:val="0"/>
    <w:pPr>
      <w:adjustRightInd w:val="0"/>
      <w:snapToGrid w:val="0"/>
      <w:spacing w:line="240" w:lineRule="auto"/>
      <w:ind w:firstLine="0" w:firstLineChars="0"/>
      <w:jc w:val="center"/>
    </w:pPr>
    <w:rPr>
      <w:rFonts w:hint="eastAsia"/>
      <w:sz w:val="21"/>
      <w:szCs w:val="36"/>
      <w:u w:val="none"/>
    </w:rPr>
  </w:style>
  <w:style w:type="paragraph" w:customStyle="1" w:styleId="34">
    <w:name w:val="No Spacing"/>
    <w:qFormat/>
    <w:uiPriority w:val="1"/>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35">
    <w:name w:val="图号"/>
    <w:basedOn w:val="34"/>
    <w:qFormat/>
    <w:uiPriority w:val="0"/>
    <w:pPr>
      <w:adjustRightInd w:val="0"/>
      <w:snapToGrid w:val="0"/>
      <w:spacing w:after="50" w:afterLines="50" w:line="240" w:lineRule="auto"/>
      <w:ind w:firstLine="0" w:firstLineChars="0"/>
      <w:jc w:val="center"/>
    </w:pPr>
    <w:rPr>
      <w:rFonts w:hint="eastAsia" w:eastAsia="黑体"/>
      <w:b/>
      <w:szCs w:val="36"/>
      <w:u w:val="none"/>
    </w:rPr>
  </w:style>
  <w:style w:type="paragraph" w:customStyle="1" w:styleId="36">
    <w:name w:val="正文111"/>
    <w:basedOn w:val="1"/>
    <w:qFormat/>
    <w:uiPriority w:val="0"/>
    <w:pPr>
      <w:spacing w:line="360" w:lineRule="auto"/>
      <w:ind w:firstLine="420" w:firstLineChars="200"/>
    </w:pPr>
    <w:rPr>
      <w:rFonts w:ascii="Times New Roman" w:hAnsi="Times New Roman"/>
      <w:sz w:val="24"/>
    </w:rPr>
  </w:style>
  <w:style w:type="paragraph" w:customStyle="1" w:styleId="37">
    <w:name w:val="正文(首行缩进)"/>
    <w:basedOn w:val="1"/>
    <w:qFormat/>
    <w:uiPriority w:val="0"/>
    <w:pPr>
      <w:adjustRightInd w:val="0"/>
      <w:snapToGrid w:val="0"/>
      <w:spacing w:line="360" w:lineRule="auto"/>
      <w:ind w:firstLine="200" w:firstLineChars="200"/>
    </w:pPr>
    <w:rPr>
      <w:rFonts w:ascii="Times New Roman" w:hAnsi="Times New Roman" w:eastAsia="宋体"/>
      <w:kern w:val="0"/>
      <w:sz w:val="24"/>
    </w:rPr>
  </w:style>
  <w:style w:type="paragraph" w:customStyle="1" w:styleId="38">
    <w:name w:val="List Paragraph"/>
    <w:basedOn w:val="1"/>
    <w:qFormat/>
    <w:uiPriority w:val="0"/>
    <w:pPr>
      <w:spacing w:beforeLines="50"/>
      <w:jc w:val="center"/>
    </w:pPr>
    <w:rPr>
      <w:rFonts w:eastAsia="黑体"/>
      <w:b/>
      <w:sz w:val="24"/>
    </w:rPr>
  </w:style>
  <w:style w:type="character" w:customStyle="1" w:styleId="39">
    <w:name w:val="列表段落 字符"/>
    <w:qFormat/>
    <w:locked/>
    <w:uiPriority w:val="0"/>
  </w:style>
  <w:style w:type="character" w:customStyle="1" w:styleId="40">
    <w:name w:val="正文文本 Char1"/>
    <w:qFormat/>
    <w:uiPriority w:val="0"/>
    <w:rPr>
      <w:rFonts w:eastAsia="宋体"/>
      <w:kern w:val="2"/>
      <w:sz w:val="28"/>
      <w:szCs w:val="24"/>
      <w:lang w:val="en-US" w:eastAsia="zh-CN" w:bidi="ar-SA"/>
    </w:rPr>
  </w:style>
  <w:style w:type="character" w:customStyle="1" w:styleId="41">
    <w:name w:val="正文文本 Char"/>
    <w:link w:val="9"/>
    <w:qFormat/>
    <w:locked/>
    <w:uiPriority w:val="0"/>
    <w:rPr>
      <w:rFonts w:ascii="Arial" w:hAnsi="Arial" w:eastAsia="Arial" w:cs="Arial"/>
      <w:sz w:val="21"/>
      <w:szCs w:val="21"/>
      <w:lang w:val="en-US" w:eastAsia="en-US" w:bidi="ar-SA"/>
    </w:rPr>
  </w:style>
  <w:style w:type="paragraph" w:customStyle="1" w:styleId="42">
    <w:name w:val="文本正文"/>
    <w:basedOn w:val="1"/>
    <w:qFormat/>
    <w:uiPriority w:val="0"/>
    <w:pPr>
      <w:snapToGrid w:val="0"/>
      <w:spacing w:line="360" w:lineRule="auto"/>
      <w:ind w:firstLine="510"/>
      <w:jc w:val="left"/>
    </w:pPr>
    <w:rPr>
      <w:spacing w:val="4"/>
      <w:kern w:val="24"/>
      <w:szCs w:val="24"/>
      <w:lang w:val="zh-CN"/>
    </w:rPr>
  </w:style>
  <w:style w:type="paragraph" w:customStyle="1" w:styleId="43">
    <w:name w:val="无间隔1"/>
    <w:qFormat/>
    <w:uiPriority w:val="1"/>
    <w:pPr>
      <w:widowControl w:val="0"/>
      <w:spacing w:beforeLines="50"/>
      <w:jc w:val="center"/>
    </w:pPr>
    <w:rPr>
      <w:rFonts w:ascii="Times New Roman" w:hAnsi="Times New Roman" w:eastAsia="黑体" w:cs="Times New Roman"/>
      <w:b/>
      <w:kern w:val="2"/>
      <w:sz w:val="24"/>
      <w:szCs w:val="22"/>
      <w:lang w:val="en-US" w:eastAsia="zh-CN" w:bidi="ar-SA"/>
    </w:rPr>
  </w:style>
  <w:style w:type="paragraph" w:customStyle="1" w:styleId="44">
    <w:name w:val="正文u"/>
    <w:basedOn w:val="1"/>
    <w:qFormat/>
    <w:uiPriority w:val="0"/>
    <w:pPr>
      <w:spacing w:line="360" w:lineRule="auto"/>
      <w:ind w:firstLine="720" w:firstLineChars="200"/>
      <w:jc w:val="left"/>
    </w:pPr>
    <w:rPr>
      <w:rFonts w:hint="eastAsia"/>
      <w:sz w:val="24"/>
    </w:rPr>
  </w:style>
  <w:style w:type="paragraph" w:customStyle="1" w:styleId="45">
    <w:name w:val="制表格"/>
    <w:basedOn w:val="1"/>
    <w:qFormat/>
    <w:uiPriority w:val="0"/>
    <w:pPr>
      <w:jc w:val="center"/>
    </w:pPr>
    <w:rPr>
      <w:rFonts w:ascii="Times New Roman" w:hAnsi="Times New Roman"/>
      <w:snapToGrid w:val="0"/>
      <w:kern w:val="0"/>
      <w:szCs w:val="28"/>
    </w:rPr>
  </w:style>
  <w:style w:type="character" w:customStyle="1" w:styleId="46">
    <w:name w:val="NormalCharacter"/>
    <w:qFormat/>
    <w:uiPriority w:val="0"/>
  </w:style>
  <w:style w:type="paragraph" w:customStyle="1" w:styleId="47">
    <w:name w:val="WPSOffice手动目录 1"/>
    <w:qFormat/>
    <w:uiPriority w:val="0"/>
    <w:pPr>
      <w:ind w:leftChars="0"/>
    </w:pPr>
    <w:rPr>
      <w:rFonts w:ascii="Times New Roman" w:hAnsi="Times New Roman" w:eastAsia="宋体" w:cs="Times New Roman"/>
      <w:sz w:val="20"/>
      <w:szCs w:val="20"/>
    </w:rPr>
  </w:style>
  <w:style w:type="paragraph" w:customStyle="1" w:styleId="48">
    <w:name w:val="Table Text"/>
    <w:basedOn w:val="1"/>
    <w:semiHidden/>
    <w:qFormat/>
    <w:uiPriority w:val="0"/>
    <w:rPr>
      <w:rFonts w:ascii="宋体" w:hAnsi="宋体" w:eastAsia="宋体" w:cs="宋体"/>
      <w:sz w:val="22"/>
      <w:szCs w:val="22"/>
      <w:lang w:val="en-US" w:eastAsia="en-US" w:bidi="ar-SA"/>
    </w:rPr>
  </w:style>
  <w:style w:type="paragraph" w:customStyle="1" w:styleId="49">
    <w:name w:val="表五号"/>
    <w:basedOn w:val="1"/>
    <w:qFormat/>
    <w:uiPriority w:val="0"/>
    <w:pPr>
      <w:widowControl/>
      <w:spacing w:line="312" w:lineRule="auto"/>
      <w:jc w:val="center"/>
    </w:pPr>
    <w:rPr>
      <w:kern w:val="0"/>
      <w:szCs w:val="21"/>
    </w:rPr>
  </w:style>
  <w:style w:type="paragraph" w:customStyle="1" w:styleId="50">
    <w:name w:val="报告表正文"/>
    <w:basedOn w:val="1"/>
    <w:qFormat/>
    <w:uiPriority w:val="0"/>
    <w:pPr>
      <w:spacing w:line="312" w:lineRule="auto"/>
      <w:ind w:left="113" w:right="113" w:firstLine="482"/>
      <w:jc w:val="left"/>
      <w:textAlignment w:val="baseline"/>
    </w:pPr>
    <w:rPr>
      <w:kern w:val="0"/>
      <w:sz w:val="24"/>
      <w:szCs w:val="20"/>
    </w:rPr>
  </w:style>
  <w:style w:type="paragraph" w:customStyle="1" w:styleId="51">
    <w:name w:val="Default1"/>
    <w:basedOn w:val="52"/>
    <w:next w:val="1"/>
    <w:qFormat/>
    <w:uiPriority w:val="0"/>
    <w:pPr>
      <w:widowControl w:val="0"/>
      <w:autoSpaceDE w:val="0"/>
      <w:autoSpaceDN w:val="0"/>
      <w:adjustRightInd w:val="0"/>
    </w:pPr>
    <w:rPr>
      <w:rFonts w:ascii="宋体" w:hAnsi="Times New Roman" w:eastAsia="宋体" w:cs="宋体"/>
      <w:color w:val="000000"/>
      <w:sz w:val="24"/>
      <w:szCs w:val="24"/>
      <w:lang w:val="en-US" w:eastAsia="zh-CN"/>
    </w:rPr>
  </w:style>
  <w:style w:type="paragraph" w:customStyle="1" w:styleId="52">
    <w:name w:val="Normal_14_0"/>
    <w:qFormat/>
    <w:uiPriority w:val="0"/>
    <w:pPr>
      <w:spacing w:before="120" w:after="240"/>
      <w:jc w:val="both"/>
    </w:pPr>
    <w:rPr>
      <w:rFonts w:ascii="Calibri" w:hAnsi="Calibri" w:eastAsia="Calibri" w:cs="Times New Roman"/>
      <w:sz w:val="22"/>
      <w:szCs w:val="22"/>
      <w:lang w:val="ru-RU" w:eastAsia="en-US" w:bidi="ar-SA"/>
    </w:rPr>
  </w:style>
  <w:style w:type="table" w:customStyle="1" w:styleId="53">
    <w:name w:val="Table Normal"/>
    <w:unhideWhenUsed/>
    <w:qFormat/>
    <w:uiPriority w:val="0"/>
    <w:tblPr>
      <w:tblCellMar>
        <w:top w:w="0" w:type="dxa"/>
        <w:left w:w="0" w:type="dxa"/>
        <w:bottom w:w="0" w:type="dxa"/>
        <w:right w:w="0" w:type="dxa"/>
      </w:tblCellMar>
    </w:tblPr>
  </w:style>
  <w:style w:type="paragraph" w:customStyle="1" w:styleId="54">
    <w:name w:val="文本22"/>
    <w:basedOn w:val="1"/>
    <w:qFormat/>
    <w:uiPriority w:val="0"/>
    <w:pPr>
      <w:autoSpaceDE w:val="0"/>
      <w:autoSpaceDN w:val="0"/>
      <w:adjustRightInd w:val="0"/>
      <w:spacing w:line="360" w:lineRule="auto"/>
      <w:ind w:firstLine="480" w:firstLineChars="200"/>
    </w:pPr>
    <w:rPr>
      <w:rFonts w:ascii="Times New Roman" w:hAnsi="Times New Roman"/>
      <w:sz w:val="24"/>
      <w:szCs w:val="24"/>
    </w:rPr>
  </w:style>
  <w:style w:type="paragraph" w:customStyle="1" w:styleId="55">
    <w:name w:val="样式 正文缩进正文缩进2正文缩进 Char Char正文缩进 Char Char Char Char正文缩进 Char ..."/>
    <w:basedOn w:val="5"/>
    <w:qFormat/>
    <w:uiPriority w:val="0"/>
    <w:pPr>
      <w:spacing w:line="360" w:lineRule="auto"/>
      <w:ind w:firstLine="200" w:firstLineChars="0"/>
    </w:pPr>
    <w:rPr>
      <w:rFonts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jpeg"/><Relationship Id="rId17" Type="http://schemas.openxmlformats.org/officeDocument/2006/relationships/image" Target="media/image4.emf"/><Relationship Id="rId16" Type="http://schemas.openxmlformats.org/officeDocument/2006/relationships/oleObject" Target="embeddings/oleObject4.bin"/><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69</Pages>
  <Words>484</Words>
  <Characters>518</Characters>
  <Lines>0</Lines>
  <Paragraphs>0</Paragraphs>
  <TotalTime>30</TotalTime>
  <ScaleCrop>false</ScaleCrop>
  <LinksUpToDate>false</LinksUpToDate>
  <CharactersWithSpaces>568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2022-08-08T10:29:00Z</dcterms:created>
  <dc:creator>我阔乐要加冰呀</dc:creator>
  <cp:lastModifiedBy>迪didi</cp:lastModifiedBy>
  <cp:lastPrinted>2023-12-12T01:40:00Z</cp:lastPrinted>
  <dcterms:modified xsi:type="dcterms:W3CDTF">2025-08-26T07:55:47Z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9F5D04D10B114F719CA6CDE4DFA41DA3_13</vt:lpwstr>
  </property>
  <property fmtid="{D5CDD505-2E9C-101B-9397-08002B2CF9AE}" pid="4" name="KSOTemplateDocerSaveRecord">
    <vt:lpwstr>eyJoZGlkIjoiNzliYWIzOWNkMzY4Mjk3N2MwOWY3YTY2NzU2ZDM2ODkiLCJ1c2VySWQiOiIzNTk0NzYxNTkifQ==</vt:lpwstr>
  </property>
</Properties>
</file>