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6A523">
      <w:pPr>
        <w:keepNext w:val="0"/>
        <w:keepLines w:val="0"/>
        <w:pageBreakBefore w:val="0"/>
        <w:widowControl w:val="0"/>
        <w:kinsoku/>
        <w:wordWrap/>
        <w:overflowPunct w:val="0"/>
        <w:topLinePunct w:val="0"/>
        <w:autoSpaceDE/>
        <w:autoSpaceDN/>
        <w:bidi w:val="0"/>
        <w:adjustRightInd/>
        <w:snapToGrid/>
        <w:spacing w:line="560" w:lineRule="exact"/>
        <w:ind w:left="0" w:leftChars="0" w:firstLine="803" w:firstLineChars="200"/>
        <w:jc w:val="center"/>
        <w:textAlignment w:val="auto"/>
        <w:outlineLvl w:val="0"/>
        <w:rPr>
          <w:rFonts w:hint="eastAsia" w:ascii="仿宋_GB2312" w:hAnsi="仿宋_GB2312" w:eastAsia="仿宋_GB2312" w:cs="仿宋_GB2312"/>
          <w:b/>
          <w:bCs/>
          <w:sz w:val="40"/>
          <w:szCs w:val="40"/>
        </w:rPr>
      </w:pPr>
      <w:bookmarkStart w:id="0" w:name="_Toc8646"/>
      <w:r>
        <w:rPr>
          <w:rFonts w:hint="eastAsia" w:ascii="仿宋_GB2312" w:hAnsi="仿宋_GB2312" w:eastAsia="仿宋_GB2312" w:cs="仿宋_GB2312"/>
          <w:b/>
          <w:bCs/>
          <w:sz w:val="40"/>
          <w:szCs w:val="40"/>
        </w:rPr>
        <w:t>寻甸回族彝族自治县</w:t>
      </w:r>
      <w:bookmarkStart w:id="1" w:name="_Toc28961"/>
      <w:bookmarkStart w:id="2" w:name="_Toc10035"/>
      <w:bookmarkStart w:id="3" w:name="_Toc27072"/>
      <w:bookmarkStart w:id="4" w:name="_Toc3129"/>
      <w:bookmarkStart w:id="5" w:name="_Toc6515"/>
      <w:bookmarkStart w:id="6" w:name="_Toc19253"/>
      <w:bookmarkStart w:id="7" w:name="_Toc28184"/>
      <w:bookmarkStart w:id="8" w:name="_Toc6928"/>
      <w:bookmarkStart w:id="9" w:name="_Toc29091"/>
      <w:bookmarkStart w:id="10" w:name="_Toc21190"/>
      <w:bookmarkStart w:id="11" w:name="_Toc2202"/>
      <w:bookmarkStart w:id="12" w:name="_Toc11507"/>
    </w:p>
    <w:p w14:paraId="742005EE">
      <w:pPr>
        <w:keepNext w:val="0"/>
        <w:keepLines w:val="0"/>
        <w:pageBreakBefore w:val="0"/>
        <w:widowControl w:val="0"/>
        <w:kinsoku/>
        <w:wordWrap/>
        <w:overflowPunct w:val="0"/>
        <w:topLinePunct w:val="0"/>
        <w:autoSpaceDE/>
        <w:autoSpaceDN/>
        <w:bidi w:val="0"/>
        <w:adjustRightInd/>
        <w:snapToGrid/>
        <w:spacing w:line="560" w:lineRule="exact"/>
        <w:ind w:left="0" w:leftChars="0" w:firstLine="803" w:firstLineChars="200"/>
        <w:jc w:val="center"/>
        <w:textAlignment w:val="auto"/>
        <w:outlineLvl w:val="0"/>
        <w:rPr>
          <w:rFonts w:hint="eastAsia" w:ascii="仿宋_GB2312" w:hAnsi="仿宋_GB2312" w:eastAsia="仿宋_GB2312" w:cs="仿宋_GB2312"/>
          <w:b/>
          <w:bCs/>
          <w:sz w:val="40"/>
          <w:szCs w:val="40"/>
        </w:rPr>
      </w:pPr>
      <w:r>
        <w:rPr>
          <w:rFonts w:hint="eastAsia" w:ascii="仿宋_GB2312" w:hAnsi="仿宋_GB2312" w:eastAsia="仿宋_GB2312" w:cs="仿宋_GB2312"/>
          <w:b/>
          <w:bCs/>
          <w:sz w:val="40"/>
          <w:szCs w:val="40"/>
        </w:rPr>
        <w:t>城乡绿化美化十年规划（2022—2031年）</w:t>
      </w:r>
      <w:bookmarkEnd w:id="1"/>
      <w:bookmarkEnd w:id="2"/>
      <w:bookmarkEnd w:id="3"/>
      <w:bookmarkEnd w:id="4"/>
      <w:bookmarkEnd w:id="5"/>
      <w:bookmarkEnd w:id="6"/>
      <w:bookmarkEnd w:id="7"/>
      <w:bookmarkEnd w:id="8"/>
      <w:bookmarkEnd w:id="9"/>
      <w:bookmarkEnd w:id="10"/>
      <w:bookmarkEnd w:id="11"/>
      <w:bookmarkEnd w:id="12"/>
    </w:p>
    <w:p w14:paraId="1612EF9A">
      <w:pPr>
        <w:jc w:val="right"/>
        <w:rPr>
          <w:rFonts w:ascii="黑体" w:hAnsi="黑体" w:eastAsia="黑体" w:cs="黑体"/>
          <w:b/>
          <w:bCs/>
        </w:rPr>
      </w:pPr>
    </w:p>
    <w:p w14:paraId="244B11D5">
      <w:pPr>
        <w:jc w:val="right"/>
        <w:rPr>
          <w:rFonts w:ascii="黑体" w:hAnsi="黑体" w:eastAsia="黑体" w:cs="黑体"/>
          <w:b/>
          <w:bCs/>
          <w:color w:val="FF0000"/>
        </w:rPr>
      </w:pPr>
    </w:p>
    <w:p w14:paraId="7DD5DF28">
      <w:pPr>
        <w:jc w:val="right"/>
        <w:rPr>
          <w:rFonts w:ascii="黑体" w:hAnsi="黑体" w:eastAsia="黑体" w:cs="黑体"/>
          <w:b/>
          <w:bCs/>
          <w:color w:val="FF0000"/>
        </w:rPr>
      </w:pPr>
    </w:p>
    <w:p w14:paraId="2359E0EB">
      <w:pPr>
        <w:jc w:val="right"/>
        <w:rPr>
          <w:rFonts w:ascii="黑体" w:hAnsi="黑体" w:eastAsia="黑体" w:cs="黑体"/>
          <w:b/>
          <w:bCs/>
          <w:color w:val="FF0000"/>
        </w:rPr>
      </w:pPr>
    </w:p>
    <w:p w14:paraId="0B767ED0">
      <w:pPr>
        <w:jc w:val="right"/>
        <w:rPr>
          <w:rFonts w:ascii="黑体" w:hAnsi="黑体" w:eastAsia="黑体" w:cs="黑体"/>
          <w:b/>
          <w:bCs/>
          <w:color w:val="FF0000"/>
        </w:rPr>
      </w:pPr>
    </w:p>
    <w:p w14:paraId="54AACB3D">
      <w:pPr>
        <w:jc w:val="right"/>
        <w:rPr>
          <w:rFonts w:ascii="黑体" w:hAnsi="黑体" w:eastAsia="黑体" w:cs="黑体"/>
          <w:b/>
          <w:bCs/>
          <w:color w:val="FF0000"/>
        </w:rPr>
      </w:pPr>
    </w:p>
    <w:p w14:paraId="3069625F">
      <w:pPr>
        <w:jc w:val="right"/>
        <w:rPr>
          <w:rFonts w:ascii="黑体" w:hAnsi="黑体" w:eastAsia="黑体" w:cs="黑体"/>
          <w:b/>
          <w:bCs/>
          <w:color w:val="FF0000"/>
        </w:rPr>
      </w:pPr>
    </w:p>
    <w:p w14:paraId="72D236CC">
      <w:pPr>
        <w:jc w:val="right"/>
        <w:rPr>
          <w:rFonts w:ascii="黑体" w:hAnsi="黑体" w:eastAsia="黑体" w:cs="黑体"/>
          <w:b/>
          <w:bCs/>
          <w:color w:val="FF0000"/>
        </w:rPr>
      </w:pPr>
    </w:p>
    <w:p w14:paraId="196D148E">
      <w:pPr>
        <w:jc w:val="right"/>
        <w:rPr>
          <w:rFonts w:ascii="黑体" w:hAnsi="黑体" w:eastAsia="黑体" w:cs="黑体"/>
          <w:b/>
          <w:bCs/>
        </w:rPr>
      </w:pPr>
    </w:p>
    <w:p w14:paraId="79FDF084">
      <w:pPr>
        <w:jc w:val="right"/>
        <w:rPr>
          <w:rFonts w:ascii="黑体" w:hAnsi="黑体" w:eastAsia="黑体" w:cs="黑体"/>
          <w:b/>
          <w:bCs/>
          <w:color w:val="FF0000"/>
        </w:rPr>
      </w:pPr>
    </w:p>
    <w:p w14:paraId="32F92961">
      <w:pPr>
        <w:jc w:val="right"/>
        <w:rPr>
          <w:rFonts w:ascii="黑体" w:hAnsi="黑体" w:eastAsia="黑体" w:cs="黑体"/>
          <w:b/>
          <w:bCs/>
          <w:color w:val="FF0000"/>
        </w:rPr>
      </w:pPr>
    </w:p>
    <w:p w14:paraId="60530E18">
      <w:pPr>
        <w:jc w:val="right"/>
        <w:rPr>
          <w:rFonts w:ascii="黑体" w:hAnsi="黑体" w:eastAsia="黑体" w:cs="黑体"/>
          <w:b/>
          <w:bCs/>
          <w:color w:val="FF0000"/>
        </w:rPr>
      </w:pPr>
    </w:p>
    <w:p w14:paraId="26996798">
      <w:pPr>
        <w:jc w:val="right"/>
        <w:rPr>
          <w:rFonts w:ascii="黑体" w:hAnsi="黑体" w:eastAsia="黑体" w:cs="黑体"/>
          <w:b/>
          <w:bCs/>
          <w:color w:val="FF0000"/>
        </w:rPr>
      </w:pPr>
    </w:p>
    <w:p w14:paraId="68190C69">
      <w:pPr>
        <w:jc w:val="right"/>
        <w:rPr>
          <w:rFonts w:ascii="黑体" w:hAnsi="黑体" w:eastAsia="黑体" w:cs="黑体"/>
          <w:b/>
          <w:bCs/>
          <w:color w:val="FF0000"/>
        </w:rPr>
      </w:pPr>
    </w:p>
    <w:p w14:paraId="563A46F2">
      <w:pPr>
        <w:jc w:val="right"/>
        <w:rPr>
          <w:rFonts w:ascii="黑体" w:hAnsi="黑体" w:eastAsia="黑体" w:cs="黑体"/>
          <w:b/>
          <w:bCs/>
          <w:color w:val="FF0000"/>
        </w:rPr>
      </w:pPr>
    </w:p>
    <w:p w14:paraId="77AF308B">
      <w:pPr>
        <w:jc w:val="right"/>
        <w:rPr>
          <w:rFonts w:ascii="黑体" w:hAnsi="黑体" w:eastAsia="黑体" w:cs="黑体"/>
          <w:b/>
          <w:bCs/>
          <w:color w:val="FF0000"/>
        </w:rPr>
      </w:pPr>
    </w:p>
    <w:p w14:paraId="309721AC">
      <w:pPr>
        <w:jc w:val="right"/>
        <w:rPr>
          <w:rFonts w:ascii="黑体" w:hAnsi="黑体" w:eastAsia="黑体" w:cs="黑体"/>
          <w:b/>
          <w:bCs/>
          <w:color w:val="FF0000"/>
        </w:rPr>
      </w:pPr>
    </w:p>
    <w:p w14:paraId="52256A33">
      <w:pPr>
        <w:jc w:val="right"/>
        <w:rPr>
          <w:rFonts w:ascii="黑体" w:hAnsi="黑体" w:eastAsia="黑体" w:cs="黑体"/>
          <w:b/>
          <w:bCs/>
          <w:color w:val="FF0000"/>
        </w:rPr>
      </w:pPr>
    </w:p>
    <w:p w14:paraId="384BEB80">
      <w:pPr>
        <w:jc w:val="right"/>
        <w:rPr>
          <w:rFonts w:ascii="黑体" w:hAnsi="黑体" w:eastAsia="黑体" w:cs="黑体"/>
          <w:b/>
          <w:bCs/>
          <w:color w:val="FF0000"/>
        </w:rPr>
      </w:pPr>
    </w:p>
    <w:p w14:paraId="17339383">
      <w:pPr>
        <w:jc w:val="right"/>
        <w:rPr>
          <w:rFonts w:ascii="黑体" w:hAnsi="黑体" w:eastAsia="黑体" w:cs="黑体"/>
          <w:b/>
          <w:bCs/>
          <w:color w:val="FF0000"/>
        </w:rPr>
      </w:pPr>
    </w:p>
    <w:p w14:paraId="7344DD1A">
      <w:pPr>
        <w:jc w:val="right"/>
        <w:rPr>
          <w:rFonts w:ascii="黑体" w:hAnsi="黑体" w:eastAsia="黑体" w:cs="黑体"/>
          <w:b/>
          <w:bCs/>
          <w:color w:val="FF0000"/>
        </w:rPr>
      </w:pPr>
    </w:p>
    <w:p w14:paraId="0307894A">
      <w:pPr>
        <w:jc w:val="right"/>
        <w:rPr>
          <w:rFonts w:ascii="黑体" w:hAnsi="黑体" w:eastAsia="黑体" w:cs="黑体"/>
          <w:b/>
          <w:bCs/>
          <w:color w:val="FF0000"/>
        </w:rPr>
      </w:pPr>
    </w:p>
    <w:p w14:paraId="78559652">
      <w:pPr>
        <w:jc w:val="center"/>
        <w:rPr>
          <w:rFonts w:ascii="黑体" w:hAnsi="黑体" w:eastAsia="黑体" w:cs="黑体"/>
          <w:b/>
          <w:bCs/>
          <w:color w:val="FF0000"/>
          <w:sz w:val="32"/>
          <w:szCs w:val="32"/>
        </w:rPr>
      </w:pPr>
      <w:bookmarkStart w:id="13" w:name="_Toc24995"/>
    </w:p>
    <w:p w14:paraId="4A2D6F63">
      <w:pPr>
        <w:jc w:val="center"/>
        <w:rPr>
          <w:rFonts w:ascii="黑体" w:hAnsi="黑体" w:eastAsia="黑体" w:cs="黑体"/>
          <w:b/>
          <w:bCs/>
          <w:sz w:val="32"/>
          <w:szCs w:val="32"/>
        </w:rPr>
      </w:pPr>
    </w:p>
    <w:p w14:paraId="3B4B55D7">
      <w:pPr>
        <w:pStyle w:val="3"/>
        <w:rPr>
          <w:rFonts w:ascii="黑体" w:hAnsi="黑体" w:eastAsia="黑体" w:cs="黑体"/>
          <w:b/>
          <w:bCs/>
          <w:sz w:val="32"/>
          <w:szCs w:val="32"/>
        </w:rPr>
      </w:pPr>
    </w:p>
    <w:p w14:paraId="62AAE875">
      <w:pPr>
        <w:rPr>
          <w:rFonts w:ascii="黑体" w:hAnsi="黑体" w:eastAsia="黑体" w:cs="黑体"/>
          <w:b/>
          <w:bCs/>
          <w:sz w:val="32"/>
          <w:szCs w:val="32"/>
        </w:rPr>
      </w:pPr>
    </w:p>
    <w:p w14:paraId="24D45DBD">
      <w:pPr>
        <w:pStyle w:val="2"/>
      </w:pPr>
    </w:p>
    <w:p w14:paraId="33729492"/>
    <w:p w14:paraId="714BDE52">
      <w:pPr>
        <w:pStyle w:val="9"/>
        <w:ind w:firstLine="480"/>
      </w:pPr>
    </w:p>
    <w:p w14:paraId="39CB523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sz w:val="32"/>
          <w:szCs w:val="32"/>
        </w:rPr>
      </w:pPr>
      <w:bookmarkStart w:id="14" w:name="_Toc16172"/>
      <w:bookmarkStart w:id="15" w:name="_Toc14026"/>
      <w:bookmarkStart w:id="16" w:name="_Toc15240"/>
      <w:bookmarkStart w:id="17" w:name="_Toc15661"/>
      <w:bookmarkStart w:id="18" w:name="_Toc27942"/>
      <w:bookmarkStart w:id="19" w:name="_Toc6939"/>
      <w:bookmarkStart w:id="20" w:name="_Toc23133"/>
      <w:bookmarkStart w:id="21" w:name="_Toc2935"/>
      <w:bookmarkStart w:id="22" w:name="_Toc2659"/>
      <w:bookmarkStart w:id="23" w:name="_Toc20504"/>
      <w:bookmarkStart w:id="24" w:name="_Toc4605"/>
      <w:bookmarkStart w:id="25" w:name="_Toc2403"/>
      <w:r>
        <w:rPr>
          <w:rFonts w:hint="eastAsia" w:ascii="仿宋_GB2312" w:hAnsi="仿宋_GB2312" w:eastAsia="仿宋_GB2312" w:cs="仿宋_GB2312"/>
          <w:sz w:val="32"/>
          <w:szCs w:val="32"/>
        </w:rPr>
        <w:t>寻甸回族彝族自治县发展和改革局</w:t>
      </w:r>
      <w:bookmarkEnd w:id="14"/>
      <w:bookmarkEnd w:id="15"/>
      <w:bookmarkEnd w:id="16"/>
      <w:bookmarkStart w:id="26" w:name="_Toc30515"/>
      <w:bookmarkStart w:id="27" w:name="_Toc30392"/>
      <w:bookmarkStart w:id="28" w:name="_Toc19339"/>
      <w:r>
        <w:rPr>
          <w:rFonts w:hint="eastAsia" w:ascii="仿宋_GB2312" w:hAnsi="仿宋_GB2312" w:eastAsia="仿宋_GB2312" w:cs="仿宋_GB2312"/>
          <w:sz w:val="32"/>
          <w:szCs w:val="32"/>
        </w:rPr>
        <w:t>编制</w:t>
      </w:r>
      <w:bookmarkEnd w:id="13"/>
      <w:bookmarkEnd w:id="17"/>
      <w:bookmarkEnd w:id="18"/>
      <w:bookmarkEnd w:id="19"/>
      <w:bookmarkEnd w:id="20"/>
      <w:bookmarkEnd w:id="21"/>
      <w:bookmarkEnd w:id="22"/>
      <w:bookmarkEnd w:id="23"/>
      <w:bookmarkEnd w:id="24"/>
      <w:bookmarkEnd w:id="25"/>
      <w:bookmarkEnd w:id="26"/>
      <w:bookmarkEnd w:id="27"/>
      <w:bookmarkEnd w:id="28"/>
    </w:p>
    <w:p w14:paraId="2B4C8F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二〇二三年</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月</w:t>
      </w:r>
    </w:p>
    <w:p w14:paraId="6318D5D8">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0"/>
        <w:rPr>
          <w:rFonts w:hint="eastAsia" w:ascii="仿宋_GB2312" w:hAnsi="仿宋_GB2312" w:eastAsia="仿宋_GB2312" w:cs="仿宋_GB2312"/>
          <w:b/>
          <w:bCs/>
          <w:sz w:val="36"/>
          <w:szCs w:val="36"/>
        </w:rPr>
      </w:pPr>
    </w:p>
    <w:p w14:paraId="42E5A83A">
      <w:pPr>
        <w:pStyle w:val="2"/>
        <w:rPr>
          <w:rFonts w:hint="eastAsia"/>
        </w:rPr>
      </w:pPr>
    </w:p>
    <w:p w14:paraId="0994A818">
      <w:pPr>
        <w:rPr>
          <w:rFonts w:hint="eastAsia"/>
        </w:rPr>
      </w:pPr>
    </w:p>
    <w:p w14:paraId="49CDD48C">
      <w:pPr>
        <w:keepNext w:val="0"/>
        <w:keepLines w:val="0"/>
        <w:pageBreakBefore w:val="0"/>
        <w:widowControl w:val="0"/>
        <w:kinsoku/>
        <w:wordWrap/>
        <w:overflowPunct w:val="0"/>
        <w:topLinePunct w:val="0"/>
        <w:autoSpaceDE/>
        <w:autoSpaceDN/>
        <w:bidi w:val="0"/>
        <w:adjustRightInd/>
        <w:snapToGrid/>
        <w:spacing w:line="560" w:lineRule="exact"/>
        <w:ind w:left="0" w:leftChars="0" w:firstLine="723" w:firstLineChars="200"/>
        <w:jc w:val="center"/>
        <w:textAlignment w:val="auto"/>
        <w:outlineLvl w:val="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前</w:t>
      </w:r>
      <w:r>
        <w:rPr>
          <w:rFonts w:hint="eastAsia" w:ascii="仿宋_GB2312" w:hAnsi="仿宋_GB2312" w:eastAsia="仿宋_GB2312" w:cs="仿宋_GB2312"/>
          <w:b/>
          <w:bCs/>
          <w:sz w:val="36"/>
          <w:szCs w:val="36"/>
          <w:lang w:val="en-US" w:eastAsia="zh-CN"/>
        </w:rPr>
        <w:t xml:space="preserve">  </w:t>
      </w:r>
      <w:r>
        <w:rPr>
          <w:rFonts w:hint="eastAsia" w:ascii="仿宋_GB2312" w:hAnsi="仿宋_GB2312" w:eastAsia="仿宋_GB2312" w:cs="仿宋_GB2312"/>
          <w:b/>
          <w:bCs/>
          <w:sz w:val="36"/>
          <w:szCs w:val="36"/>
        </w:rPr>
        <w:t>言</w:t>
      </w:r>
      <w:bookmarkEnd w:id="0"/>
    </w:p>
    <w:p w14:paraId="1380266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城乡绿化美化是国土绿化的重要内容，是建设生态文明的重要举措。2019年4月，习近平总书记在参加首都义务植树时指出，“要推动国土绿化高质量发展，统筹山水林田湖草系统治理，因地制宜深入推进大规模国土绿化行动”。2022年2月召开的云南省委农村工作会议上，省委、省政府作出了开展城乡绿化美化三年行动的决策部署，旨在通过三年行动、十年努力，改善和美化城乡人居环境。2022年7月12日，云南省委办公厅、省政府办公厅印发《云南省城乡绿化美化三年行动(2022--2024)》(云办发(2022)43号)。2022年7月26日,云南省人民政府在昆明举行云南省城乡绿化美化三年行动新闻发布会。2022年9月24日，云南省城乡绿化美化现场推进会在红河哈尼族彝族自治州弥勒市召开。绿美云南建设是云南省委、省政府立足云南城乡绿化美化实际做出的重大决策，是深化省情内涵认识，立足新发展阶段，贯彻新发展理念，实现云南高质量跨越式发展的重大举措，是争当生态文明排头兵的具体行动，是美丽中国在云南的创新实践。2022年12月6日，根据省住房城乡建设厅和市委、市政府对昆明市城乡绿化美化行动的工作部署，昆明市绿美城市建设工作领导小组办公室牵头制定了《昆明市绿美城市建设三年行动实施方案(2022一2024年)》，充分贯彻省委省政府关于绿美云南的工作部署，努力争当全省生态文明建设排头兵；以增绿提质为主线，通过三年行动、十年规划，着力构建和不断优化城市绿地系统和山水空间格局，提升城市环境品质</w:t>
      </w:r>
      <w:r>
        <w:rPr>
          <w:rFonts w:hint="eastAsia" w:ascii="仿宋_GB2312" w:hAnsi="仿宋_GB2312" w:eastAsia="仿宋_GB2312" w:cs="仿宋_GB2312"/>
          <w:sz w:val="32"/>
          <w:szCs w:val="32"/>
          <w:lang w:eastAsia="zh-CN"/>
        </w:rPr>
        <w:t>。</w:t>
      </w:r>
    </w:p>
    <w:p w14:paraId="72049D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推进寻甸县城乡绿化美化，是深入贯彻落实党的二十大精神、践行习近平</w:t>
      </w:r>
      <w:bookmarkStart w:id="142" w:name="_GoBack"/>
      <w:r>
        <w:rPr>
          <w:rFonts w:hint="eastAsia" w:ascii="仿宋_GB2312" w:hAnsi="仿宋_GB2312" w:eastAsia="仿宋_GB2312" w:cs="仿宋_GB2312"/>
          <w:sz w:val="32"/>
          <w:szCs w:val="32"/>
        </w:rPr>
        <w:t>生态文明思想</w:t>
      </w:r>
      <w:bookmarkEnd w:id="142"/>
      <w:r>
        <w:rPr>
          <w:rFonts w:hint="eastAsia" w:ascii="仿宋_GB2312" w:hAnsi="仿宋_GB2312" w:eastAsia="仿宋_GB2312" w:cs="仿宋_GB2312"/>
          <w:sz w:val="32"/>
          <w:szCs w:val="32"/>
        </w:rPr>
        <w:t>的具体行动，是落实碳达峰碳中和战略部署的重大举措，是美丽云南建设的创新实践，是打造生态文明建设排头兵示范城市的重要抓手，对优化提升城市功能品质、深入实施乡村振兴战略，贯彻“创新、协调、绿色、开放、共享”新发展理念，促进城乡生态与经济社会协调发展具有重要意义。站在生态文明建设和绿色发展新的历史起点上，寻甸县县委县政府认真践行习近平生态文明思想和习近平总书记考察云南重要讲话精神，紧密结合城乡人居环境改善需求和城乡居民及中外游客对绿美环境质量的新期待，以绿美寻甸建设为切入点，对标国际一流、国内先进、全省领先，确定“绿美云南新标杆、北部生态第一城、最美高原城市”建设定位。为了更好地实现绿美寻甸建设目标，确保绿美寻甸建设取得实效，寻甸县于2022年11月22日经县委、县政府同意，正式印发制定了《寻甸回族彝族自治县城乡绿化美化三年行动方案（2022-2024年）》。</w:t>
      </w:r>
    </w:p>
    <w:p w14:paraId="33E1FE2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本规划</w:t>
      </w:r>
      <w:r>
        <w:rPr>
          <w:rFonts w:hint="eastAsia" w:ascii="仿宋_GB2312" w:hAnsi="仿宋_GB2312" w:eastAsia="仿宋_GB2312" w:cs="仿宋_GB2312"/>
          <w:sz w:val="32"/>
          <w:szCs w:val="32"/>
        </w:rPr>
        <w:t>根据《云南省城乡绿化美化三年行动(2022-2024年)》《云南省城乡绿化美化建设导则》《昆明市绿美城市建设三年行动实施方案(2022一2024年)》及省级重点领域绿美专项行动方案等文件编制，明确了寻甸县2022--2031年开展城乡绿化美化工作的总体思路、发展目标、主要任务和保障措施，是全县开展绿美建设的重要遵循和依据。集中体现了寻甸县委县政府在习近平新时代中国特色社会主义思想指导下对全县长远发展的思考和谋划。充分分析绿美云南、绿美昆明、绿美寻甸建设背景，以及分析绿美寻甸建设现状和存在问题的基础上，科学解读绿美寻甸内涵，对绿美寻甸建设现状和存在问题的分析充分衔接国民经济与社会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十四五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划、国土空间规划、城市总体规划、旅游总体规划等，经反复整理、分析、提炼、归纳，明确绿美寻甸的建设定位，构建绿美寻甸建设成效指标体系，提出绿美寻甸的空间布局和建设重点，按照问题导向、目标导向和需求导向的原则，重点规划绿色空间增量工程、美丽品质提升工程、绿美福祉增进工程、绿美示范引领工程等四大绿美建设工程，提出规划的保障措施，形成本规划。</w:t>
      </w:r>
    </w:p>
    <w:p w14:paraId="42F74F92">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规划基准期为2021年，规划期为2022—2031年，展望至2035年。</w:t>
      </w:r>
    </w:p>
    <w:p w14:paraId="3A7A5A2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center"/>
        <w:textAlignment w:val="auto"/>
        <w:outlineLvl w:val="0"/>
        <w:rPr>
          <w:rFonts w:ascii="宋体" w:hAnsi="宋体" w:eastAsia="黑体" w:cs="黑体"/>
          <w:b/>
          <w:bCs/>
          <w:sz w:val="32"/>
          <w:szCs w:val="32"/>
        </w:rPr>
      </w:pPr>
      <w:bookmarkStart w:id="29" w:name="_Toc23303"/>
      <w:r>
        <w:rPr>
          <w:rFonts w:hint="eastAsia" w:ascii="宋体" w:hAnsi="宋体" w:eastAsia="黑体" w:cs="黑体"/>
          <w:b/>
          <w:bCs/>
          <w:sz w:val="32"/>
          <w:szCs w:val="32"/>
          <w:lang w:eastAsia="zh-CN"/>
        </w:rPr>
        <w:t>第一章</w:t>
      </w:r>
      <w:r>
        <w:rPr>
          <w:rFonts w:hint="eastAsia" w:ascii="宋体" w:hAnsi="宋体" w:eastAsia="黑体" w:cs="黑体"/>
          <w:b/>
          <w:bCs/>
          <w:sz w:val="32"/>
          <w:szCs w:val="32"/>
          <w:lang w:val="en-US" w:eastAsia="zh-CN"/>
        </w:rPr>
        <w:t xml:space="preserve">   </w:t>
      </w:r>
      <w:r>
        <w:rPr>
          <w:rFonts w:hint="eastAsia" w:ascii="宋体" w:hAnsi="宋体" w:eastAsia="黑体" w:cs="黑体"/>
          <w:b/>
          <w:bCs/>
          <w:sz w:val="32"/>
          <w:szCs w:val="32"/>
        </w:rPr>
        <w:t>绿美寻甸建设现状分析</w:t>
      </w:r>
      <w:bookmarkEnd w:id="29"/>
    </w:p>
    <w:p w14:paraId="2C4AA417">
      <w:pPr>
        <w:pStyle w:val="13"/>
        <w:keepNext w:val="0"/>
        <w:keepLines w:val="0"/>
        <w:pageBreakBefore w:val="0"/>
        <w:widowControl w:val="0"/>
        <w:kinsoku/>
        <w:wordWrap/>
        <w:topLinePunct w:val="0"/>
        <w:autoSpaceDE/>
        <w:autoSpaceDN/>
        <w:bidi w:val="0"/>
        <w:adjustRightInd/>
        <w:snapToGrid/>
        <w:spacing w:before="0" w:after="0" w:line="560" w:lineRule="exact"/>
        <w:ind w:leftChars="0" w:firstLine="643" w:firstLineChars="200"/>
        <w:textAlignment w:val="auto"/>
      </w:pPr>
      <w:bookmarkStart w:id="30" w:name="_Toc6789"/>
      <w:bookmarkStart w:id="31" w:name="_Toc14565"/>
      <w:bookmarkStart w:id="32" w:name="_Toc26186"/>
      <w:bookmarkStart w:id="33" w:name="_Toc14636"/>
      <w:bookmarkStart w:id="34" w:name="_Toc9130"/>
      <w:bookmarkStart w:id="35" w:name="_Toc3126"/>
      <w:bookmarkStart w:id="36" w:name="_Toc31293"/>
      <w:bookmarkStart w:id="37" w:name="_Toc16685"/>
      <w:bookmarkStart w:id="38" w:name="_Toc6802"/>
      <w:bookmarkStart w:id="39" w:name="_Toc5462"/>
      <w:bookmarkStart w:id="40" w:name="_Toc10559"/>
      <w:bookmarkStart w:id="41" w:name="_Toc20667"/>
      <w:bookmarkStart w:id="42" w:name="_Toc27276"/>
      <w:bookmarkStart w:id="43" w:name="_Toc28130"/>
      <w:bookmarkStart w:id="44" w:name="_Toc9463"/>
      <w:bookmarkStart w:id="45" w:name="_Toc21179"/>
      <w:bookmarkStart w:id="46" w:name="_Toc23346"/>
      <w:bookmarkStart w:id="47" w:name="_Toc28416"/>
      <w:bookmarkStart w:id="48" w:name="_Toc19985"/>
      <w:bookmarkStart w:id="49" w:name="_Toc32199"/>
      <w:bookmarkStart w:id="50" w:name="_Toc31377"/>
      <w:bookmarkStart w:id="51" w:name="_Toc10484"/>
      <w:r>
        <w:t>第一节 规划背景</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05C71611">
      <w:pPr>
        <w:pStyle w:val="14"/>
        <w:keepNext w:val="0"/>
        <w:keepLines w:val="0"/>
        <w:pageBreakBefore w:val="0"/>
        <w:widowControl w:val="0"/>
        <w:kinsoku/>
        <w:wordWrap/>
        <w:topLinePunct w:val="0"/>
        <w:autoSpaceDE/>
        <w:autoSpaceDN/>
        <w:bidi w:val="0"/>
        <w:adjustRightInd/>
        <w:snapToGrid/>
        <w:spacing w:line="560" w:lineRule="exact"/>
        <w:ind w:leftChars="0" w:firstLine="643" w:firstLineChars="200"/>
        <w:textAlignment w:val="auto"/>
      </w:pPr>
      <w:bookmarkStart w:id="52" w:name="_Toc23514"/>
      <w:bookmarkStart w:id="53" w:name="_Toc6661"/>
      <w:bookmarkStart w:id="54" w:name="_Toc29161"/>
      <w:bookmarkStart w:id="55" w:name="_Toc15717"/>
      <w:bookmarkStart w:id="56" w:name="_Toc2796"/>
      <w:bookmarkStart w:id="57" w:name="_Toc16845"/>
      <w:bookmarkStart w:id="58" w:name="_Toc30623"/>
      <w:bookmarkStart w:id="59" w:name="_Toc4675"/>
      <w:bookmarkStart w:id="60" w:name="_Toc7488"/>
      <w:bookmarkStart w:id="61" w:name="_Toc10037"/>
      <w:bookmarkStart w:id="62" w:name="_Toc3696"/>
      <w:bookmarkStart w:id="63" w:name="_Toc30013"/>
      <w:bookmarkStart w:id="64" w:name="_Toc10044"/>
      <w:bookmarkStart w:id="65" w:name="_Toc9211"/>
      <w:bookmarkStart w:id="66" w:name="_Toc15117"/>
      <w:bookmarkStart w:id="67" w:name="_Toc24681"/>
      <w:bookmarkStart w:id="68" w:name="_Toc4951"/>
      <w:bookmarkStart w:id="69" w:name="_Toc29682"/>
      <w:bookmarkStart w:id="70" w:name="_Toc16315"/>
      <w:bookmarkStart w:id="71" w:name="_Toc14502"/>
      <w:bookmarkStart w:id="72" w:name="_Toc31553"/>
      <w:bookmarkStart w:id="73" w:name="_Toc31342"/>
      <w:r>
        <w:t>一、发展基础</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9AA66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绿化美化是国土绿化的重要内容，是建设生态文明的重要举措。生态文明建设是习近平新时代中国特色社会主义思想事业的重要内容，关系人民福祉，关乎民族未来，事关“两个一百年”奋斗目标和中华民族伟大复兴中国梦的实现。</w:t>
      </w:r>
    </w:p>
    <w:p w14:paraId="34BA05B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rPr>
      </w:pPr>
      <w:r>
        <w:rPr>
          <w:rFonts w:hint="eastAsia" w:ascii="仿宋_GB2312" w:hAnsi="仿宋_GB2312" w:eastAsia="仿宋_GB2312" w:cs="仿宋_GB2312"/>
          <w:sz w:val="32"/>
          <w:szCs w:val="32"/>
        </w:rPr>
        <w:t>2023年9月21日，云南省生态环境保护大会在昆明召开，省委书记王宁指出，要学深悟透力行习近平生态文明思想，坚决贯彻落实好习近平总书记考察云南重要讲话精神，准确把握推进生态绿色高质量发展是事关云南现代化建设全局的战略举措，是争当生态文明建设排头兵、推进经济转型升级、建设人与自然和谐共生现代化、满足人民对美好生活向往的必然要求。</w:t>
      </w:r>
    </w:p>
    <w:p w14:paraId="197F2D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绿水青山、蓝天白云、鸟语花香是人们对美好生活的向往。寻甸县一直努力营造人与自然和谐共生的生态寻甸、美丽寻甸，通过绿美寻甸建设，增加城乡绿量，提升美丽颜值，以人口密度高、流量大的地带为实施重点，建设绿美城市、绿美社区、绿美乡村、绿美景区、绿美河湖、绿美交通、绿美校园、绿美园区，通过城乡增绿扩美，不断提高城乡绿化美化的数量和质量，着力推进人居环境改善和创业环境提升，使城镇乡村融入大自然，让寻甸更加宜居宜业宜游，让寻甸山更绿、水更清、天更蓝、景更美、人更富，持续增强城乡居民获得感、幸福感和自豪感，擦亮美丽寻甸的颜值，提升</w:t>
      </w:r>
      <w:r>
        <w:rPr>
          <w:rFonts w:hint="eastAsia" w:ascii="仿宋_GB2312" w:hAnsi="仿宋_GB2312" w:eastAsia="仿宋_GB2312" w:cs="仿宋_GB2312"/>
          <w:sz w:val="32"/>
          <w:szCs w:val="32"/>
          <w:lang w:eastAsia="zh-CN"/>
        </w:rPr>
        <w:t>绿美寻甸</w:t>
      </w:r>
      <w:r>
        <w:rPr>
          <w:rFonts w:hint="eastAsia" w:ascii="仿宋_GB2312" w:hAnsi="仿宋_GB2312" w:eastAsia="仿宋_GB2312" w:cs="仿宋_GB2312"/>
          <w:sz w:val="32"/>
          <w:szCs w:val="32"/>
        </w:rPr>
        <w:t>的美誉度。</w:t>
      </w:r>
    </w:p>
    <w:p w14:paraId="3D5353CA">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textAlignment w:val="auto"/>
        <w:outlineLvl w:val="3"/>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color w:val="auto"/>
          <w:kern w:val="2"/>
          <w:sz w:val="32"/>
          <w:szCs w:val="32"/>
          <w:lang w:val="en-US" w:eastAsia="zh-CN" w:bidi="ar-SA"/>
        </w:rPr>
        <w:t>乡土资源禀赋优势。</w:t>
      </w:r>
      <w:r>
        <w:rPr>
          <w:rFonts w:hint="eastAsia" w:ascii="仿宋_GB2312" w:hAnsi="仿宋_GB2312" w:eastAsia="仿宋_GB2312" w:cs="仿宋_GB2312"/>
          <w:kern w:val="2"/>
          <w:sz w:val="32"/>
          <w:szCs w:val="32"/>
          <w:lang w:val="en-US" w:eastAsia="zh-CN" w:bidi="ar-SA"/>
        </w:rPr>
        <w:t>寻甸县拥有丰富的草山资源，风吹草低见牛羊的美丽画卷，是大自然馈赠给寻甸的礼物，尤其是乡村区域，草原不仅是秀丽的风景，也是寻甸人民生产生活的资源基础。丰富的草山资源为寻甸铺就好了绿美底色，为城乡绿地建设提供了参考和借鉴，为城乡优美环境和鲜明特色的打造提供了丰富的地域元素，同时，寻甸作为昆明市古树名木最多的三大县区之一，为绿美寻甸建设奠定了坚实的生态文化基础。</w:t>
      </w:r>
    </w:p>
    <w:p w14:paraId="308C52BE">
      <w:pPr>
        <w:pStyle w:val="2"/>
        <w:keepNext w:val="0"/>
        <w:keepLines w:val="0"/>
        <w:pageBreakBefore w:val="0"/>
        <w:widowControl w:val="0"/>
        <w:kinsoku/>
        <w:wordWrap/>
        <w:overflowPunct/>
        <w:topLinePunct w:val="0"/>
        <w:autoSpaceDE/>
        <w:autoSpaceDN/>
        <w:bidi w:val="0"/>
        <w:adjustRightInd/>
        <w:snapToGrid/>
        <w:spacing w:before="0" w:line="560" w:lineRule="exact"/>
        <w:ind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sz w:val="32"/>
          <w:szCs w:val="32"/>
          <w:lang w:eastAsia="zh-CN"/>
        </w:rPr>
        <w:t>自然资源条件丰富。</w:t>
      </w:r>
      <w:r>
        <w:rPr>
          <w:rFonts w:hint="eastAsia" w:ascii="仿宋_GB2312" w:hAnsi="仿宋_GB2312" w:eastAsia="仿宋_GB2312" w:cs="仿宋_GB2312"/>
          <w:color w:val="auto"/>
          <w:kern w:val="2"/>
          <w:sz w:val="32"/>
          <w:szCs w:val="32"/>
          <w:lang w:val="en-US" w:eastAsia="zh-CN" w:bidi="ar-SA"/>
        </w:rPr>
        <w:t>寻甸县气候温暖湿润，山地面积辽阔，森林资源丰富，森林覆盖率达到</w:t>
      </w:r>
      <w:r>
        <w:rPr>
          <w:rFonts w:hint="eastAsia" w:ascii="Times New Roman" w:hAnsi="Times New Roman" w:eastAsia="仿宋" w:cs="Times New Roman"/>
          <w:color w:val="auto"/>
          <w:sz w:val="32"/>
          <w:szCs w:val="32"/>
          <w:lang w:val="en-US" w:eastAsia="zh-CN"/>
        </w:rPr>
        <w:t>46.19</w:t>
      </w:r>
      <w:r>
        <w:rPr>
          <w:rFonts w:hint="eastAsia" w:ascii="仿宋_GB2312" w:hAnsi="仿宋_GB2312" w:eastAsia="仿宋_GB2312" w:cs="仿宋_GB2312"/>
          <w:color w:val="auto"/>
          <w:kern w:val="2"/>
          <w:sz w:val="32"/>
          <w:szCs w:val="32"/>
          <w:lang w:val="en-US" w:eastAsia="zh-CN" w:bidi="ar-SA"/>
        </w:rPr>
        <w:t>%。县境内森林以天然林为主，占森林面积的74.95%，主要树种有华山松、云南松、旱冬瓜、油杉、栎类灌木林等针叶和针阔叶混交林。截至2021年末，累计完成市、县级营造林39.93万亩，完成义务植树1045.21万株。寻甸的草山草坡资源极为丰富，特殊立体的气候孕育了丰富的自然资源，草地面积约有1.85万公顷（27.78万‬亩）。古树名木是森林资源中的瑰宝，是自然界和前人留下来的珍贵自然遗产，寻甸县域内共有古树921株，隶属35科64属93种，不涉及名木。其中一级古树4株，二级古树73株，三级古树834株。</w:t>
      </w:r>
    </w:p>
    <w:p w14:paraId="613605D9">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民族生态文化优势。</w:t>
      </w:r>
      <w:r>
        <w:rPr>
          <w:rFonts w:hint="eastAsia" w:ascii="仿宋_GB2312" w:hAnsi="仿宋_GB2312" w:eastAsia="仿宋_GB2312" w:cs="仿宋_GB2312"/>
          <w:kern w:val="2"/>
          <w:sz w:val="32"/>
          <w:szCs w:val="32"/>
          <w:lang w:val="en-US" w:eastAsia="zh-CN" w:bidi="ar-SA"/>
        </w:rPr>
        <w:t>寻甸县以少数民族为主，少数民族对于树木等生灵具有敬畏之情，十分注重森林草木的保护，例如甸沙乡苏撒坡的密枝林，是当地彝族人千百年来祭祀神树神山的区域，在寨后保存下约246亩的古树林，又厚又密，长年葱绿，因为被彝族人视作圣洁之地，村民放牧打柴从不进这片林地，所有树木都是在没有人畜干扰的条件下自然生长，人与自然和谐、物种平等的生态伦理观念在这儿得到淋漓尽致地体现。对林地草山自然环境的尊重和敬畏，形成了寻甸县独有的民族生态文化，对有效推动绿美寻甸建设，实现生态丰美，自然和谐共生的建设目标提供了文化认同基础。</w:t>
      </w:r>
    </w:p>
    <w:p w14:paraId="29FF63B5">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旅游品牌优势。</w:t>
      </w:r>
      <w:r>
        <w:rPr>
          <w:rFonts w:hint="eastAsia" w:ascii="仿宋_GB2312" w:hAnsi="仿宋_GB2312" w:eastAsia="仿宋_GB2312" w:cs="仿宋_GB2312"/>
          <w:kern w:val="2"/>
          <w:sz w:val="32"/>
          <w:szCs w:val="32"/>
          <w:lang w:val="en-US" w:eastAsia="zh-CN" w:bidi="ar-SA"/>
        </w:rPr>
        <w:t>寻甸是昆明旅游经济圈的新亮点，寻甸旅游资源集自然、历史、人文为一体，内涵丰富而各具特色。有塞外风情的北大营万亩草原，有水域湖光秀美的凤龙湾山水，有“高原明珠”清水海，有被称为云南第一洞的白石岩溶洞群，有国家级森林公园钟灵山，有塘子“南谷”温泉，还有柯渡红军长征纪念馆等。是生态旅游、红色旅游、观光探险旅游的胜地。寻甸结合昆明旅游业的外延拓展和内涵丰富，着力打造红色旅游、温泉度假旅游和生态观光旅游三大品牌，使寻甸成为昆明旅游经济圈中的一个新亮点，也为绿美寻甸建设奠定了良好的市场基础。</w:t>
      </w:r>
    </w:p>
    <w:p w14:paraId="7F70C909">
      <w:pPr>
        <w:pStyle w:val="3"/>
        <w:keepNext w:val="0"/>
        <w:keepLines w:val="0"/>
        <w:pageBreakBefore w:val="0"/>
        <w:widowControl w:val="0"/>
        <w:numPr>
          <w:ilvl w:val="0"/>
          <w:numId w:val="0"/>
        </w:numPr>
        <w:kinsoku/>
        <w:wordWrap/>
        <w:topLinePunct w:val="0"/>
        <w:autoSpaceDE/>
        <w:autoSpaceDN/>
        <w:bidi w:val="0"/>
        <w:adjustRightInd/>
        <w:snapToGrid/>
        <w:spacing w:after="0" w:line="560" w:lineRule="exact"/>
        <w:ind w:leftChars="0" w:firstLine="643" w:firstLineChars="200"/>
        <w:textAlignment w:val="auto"/>
        <w:outlineLvl w:val="2"/>
        <w:rPr>
          <w:rFonts w:hint="eastAsia" w:ascii="Times New Roman" w:hAnsi="Times New Roman" w:eastAsia="仿宋_GB2312" w:cstheme="minorBidi"/>
          <w:b/>
          <w:bCs/>
          <w:kern w:val="2"/>
          <w:sz w:val="32"/>
          <w:szCs w:val="32"/>
          <w:lang w:val="en-US" w:eastAsia="zh-CN" w:bidi="ar-SA"/>
        </w:rPr>
      </w:pPr>
      <w:r>
        <w:rPr>
          <w:rFonts w:hint="eastAsia" w:ascii="Times New Roman" w:hAnsi="Times New Roman" w:eastAsia="仿宋_GB2312" w:cstheme="minorBidi"/>
          <w:b/>
          <w:bCs/>
          <w:kern w:val="2"/>
          <w:sz w:val="32"/>
          <w:szCs w:val="32"/>
          <w:lang w:val="en-US" w:eastAsia="zh-CN" w:bidi="ar-SA"/>
        </w:rPr>
        <w:t>二、存在问题</w:t>
      </w:r>
    </w:p>
    <w:p w14:paraId="34755BC9">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outlineLvl w:val="2"/>
        <w:rPr>
          <w:rFonts w:hint="eastAsia" w:ascii="仿宋_GB2312" w:hAnsi="仿宋_GB2312" w:eastAsia="仿宋_GB2312" w:cs="仿宋_GB2312"/>
          <w:b/>
          <w:bCs/>
          <w:kern w:val="2"/>
          <w:sz w:val="32"/>
          <w:szCs w:val="32"/>
          <w:lang w:val="en-US" w:eastAsia="zh-CN" w:bidi="ar-SA"/>
        </w:rPr>
      </w:pPr>
      <w:bookmarkStart w:id="74" w:name="_Toc21765"/>
      <w:r>
        <w:rPr>
          <w:rFonts w:hint="eastAsia" w:ascii="仿宋_GB2312" w:hAnsi="仿宋_GB2312" w:eastAsia="仿宋_GB2312" w:cs="仿宋_GB2312"/>
          <w:b/>
          <w:bCs/>
          <w:kern w:val="2"/>
          <w:sz w:val="32"/>
          <w:szCs w:val="32"/>
          <w:lang w:val="en-US" w:eastAsia="zh-CN" w:bidi="ar-SA"/>
        </w:rPr>
        <w:t>（一）绿量空间分布不均，人居环境绿量不足</w:t>
      </w:r>
      <w:bookmarkEnd w:id="74"/>
    </w:p>
    <w:p w14:paraId="30D76C89">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寻甸绿化资源存在空间分布不均的问题，局部区域还有缺林少绿的问题。一些区域森林覆盖率偏低，一些河流、道路林网还未建成，绿量还有提升空间。城市可视范围内第一层面山普遍森林覆盖率不高，景观破碎化程度高，森林绕城、森林围城的整体效果不显著。村庄绿化覆盖率较高，但缺乏规划管理，整体景观效果较差，村庄内部绿化率偏低，与城乡居民生产生活联系最直接的绿量还有不足的问题。</w:t>
      </w:r>
    </w:p>
    <w:p w14:paraId="3578CE4C">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outlineLvl w:val="2"/>
        <w:rPr>
          <w:rFonts w:hint="eastAsia" w:ascii="仿宋_GB2312" w:hAnsi="仿宋_GB2312" w:eastAsia="仿宋_GB2312" w:cs="仿宋_GB2312"/>
          <w:b/>
          <w:bCs/>
          <w:kern w:val="2"/>
          <w:sz w:val="32"/>
          <w:szCs w:val="32"/>
          <w:lang w:val="en-US" w:eastAsia="zh-CN" w:bidi="ar-SA"/>
        </w:rPr>
      </w:pPr>
      <w:bookmarkStart w:id="75" w:name="_Toc24035"/>
      <w:r>
        <w:rPr>
          <w:rFonts w:hint="eastAsia" w:ascii="仿宋_GB2312" w:hAnsi="仿宋_GB2312" w:eastAsia="仿宋_GB2312" w:cs="仿宋_GB2312"/>
          <w:b/>
          <w:bCs/>
          <w:kern w:val="2"/>
          <w:sz w:val="32"/>
          <w:szCs w:val="32"/>
          <w:lang w:val="en-US" w:eastAsia="zh-CN" w:bidi="ar-SA"/>
        </w:rPr>
        <w:t>（二）近自然城市森林占比不高，城乡绿化质量有待提升</w:t>
      </w:r>
      <w:bookmarkEnd w:id="75"/>
    </w:p>
    <w:p w14:paraId="2BFC5FA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寻甸县城市森林生物多样性水平不高，树种选择单一，森林结构不合理，近自然森林占比低。高大乔木数量偏少，城市森林碳汇能力和生态系统服务功能价值不高。城郊山地森林与城市森林缺乏贯通性生态廊道，空间上彼此分离，功能上缺乏联系。城区生物多样性水平偏低，引鸟留鸟植物和蜜源植物种类不够，数量偏少，反映城区生态建设成效的鸟类和昆虫的种类和种群数量偏低，城区绿地植物群落结构简单，绿量不足，绿地生态系统服务功能受限。</w:t>
      </w:r>
    </w:p>
    <w:p w14:paraId="49A6CA46">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outlineLvl w:val="2"/>
        <w:rPr>
          <w:rFonts w:hint="eastAsia" w:ascii="仿宋_GB2312" w:hAnsi="仿宋_GB2312" w:eastAsia="仿宋_GB2312" w:cs="仿宋_GB2312"/>
          <w:b/>
          <w:bCs/>
          <w:kern w:val="2"/>
          <w:sz w:val="32"/>
          <w:szCs w:val="32"/>
          <w:lang w:val="en-US" w:eastAsia="zh-CN" w:bidi="ar-SA"/>
        </w:rPr>
      </w:pPr>
      <w:bookmarkStart w:id="76" w:name="_Toc5176"/>
      <w:r>
        <w:rPr>
          <w:rFonts w:hint="eastAsia" w:ascii="仿宋_GB2312" w:hAnsi="仿宋_GB2312" w:eastAsia="仿宋_GB2312" w:cs="仿宋_GB2312"/>
          <w:b/>
          <w:bCs/>
          <w:kern w:val="2"/>
          <w:sz w:val="32"/>
          <w:szCs w:val="32"/>
          <w:lang w:val="en-US" w:eastAsia="zh-CN" w:bidi="ar-SA"/>
        </w:rPr>
        <w:t>（三）绿地普遍色彩不丰富，美丽品质有较大提升空间</w:t>
      </w:r>
      <w:bookmarkEnd w:id="76"/>
    </w:p>
    <w:p w14:paraId="3BC5F688">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寻甸县城区绿地普遍缺乏色彩，反映城乡森林美、绿地美的大斑块和大色块不足，四季有花、四季有景的时空序列绿地季相景观尚未形成，城市绿美品质的标志性绿地景观有差距。城区绿地树种重复率高，配置方法单一，景观效果雷同城区绿化缺乏个性和特色，趋同性明显。城区绿地空间上分布不均匀，人口密集区域绿地总量不足，绿视率偏低。与人居环境密切的小微绿地、小微场地、口袋公园数量偏少，公园绿地300米、500米服务半径覆盖空白区域占比较大。绿地的可进入性和体验性普遍不高，绿地的社会功能未充分发挥，与城市居民美好生活密切联系的城市绿道数量规模、空间分布和质量特色均有较大提升空间。</w:t>
      </w:r>
    </w:p>
    <w:p w14:paraId="1774C31B">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outlineLvl w:val="2"/>
        <w:rPr>
          <w:rFonts w:hint="eastAsia" w:ascii="仿宋_GB2312" w:hAnsi="仿宋_GB2312" w:eastAsia="仿宋_GB2312" w:cs="仿宋_GB2312"/>
          <w:b/>
          <w:bCs/>
          <w:kern w:val="2"/>
          <w:sz w:val="32"/>
          <w:szCs w:val="32"/>
          <w:lang w:val="en-US" w:eastAsia="zh-CN" w:bidi="ar-SA"/>
        </w:rPr>
      </w:pPr>
      <w:bookmarkStart w:id="77" w:name="_Toc4575"/>
      <w:r>
        <w:rPr>
          <w:rFonts w:hint="eastAsia" w:ascii="仿宋_GB2312" w:hAnsi="仿宋_GB2312" w:eastAsia="仿宋_GB2312" w:cs="仿宋_GB2312"/>
          <w:b/>
          <w:bCs/>
          <w:kern w:val="2"/>
          <w:sz w:val="32"/>
          <w:szCs w:val="32"/>
          <w:lang w:val="en-US" w:eastAsia="zh-CN" w:bidi="ar-SA"/>
        </w:rPr>
        <w:t>（四）植物景观创新不够，植物文化利用不彰显</w:t>
      </w:r>
      <w:bookmarkEnd w:id="77"/>
    </w:p>
    <w:p w14:paraId="51C6DD2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化是城市的根基，也是城市绿化美化建设的灵魂。植物文化是城市文化的重要组成部分，建设具有地域特色的植物文化景观是城市绿化美化的方向，也是打造城市风貌，提升城市品质的必然。现有城市的绿化美化和城市总体规划脱节，同步规划、同步施工，同步验收执行不严，规划开头、建筑紧跟、园林扫尾的现象不同程度存在;三通一平、截弯取直成为常态，地形的高低起伏，线型的蜿蜒曲折的自然美遭到破坏，植物群落和种类多样性所依仗的高低、干湿、阴阳的生态环境不复存在。城市绿化美化惯于模仿，疏于创新，存在植物景观十街同景，百村同面的现象。</w:t>
      </w:r>
    </w:p>
    <w:p w14:paraId="0BD13D8C">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outlineLvl w:val="2"/>
        <w:rPr>
          <w:rFonts w:hint="eastAsia" w:ascii="仿宋_GB2312" w:hAnsi="仿宋_GB2312" w:eastAsia="仿宋_GB2312" w:cs="仿宋_GB2312"/>
          <w:b/>
          <w:bCs/>
          <w:kern w:val="2"/>
          <w:sz w:val="32"/>
          <w:szCs w:val="32"/>
          <w:lang w:val="en-US" w:eastAsia="zh-CN" w:bidi="ar-SA"/>
        </w:rPr>
      </w:pPr>
      <w:bookmarkStart w:id="78" w:name="_Toc15528"/>
      <w:r>
        <w:rPr>
          <w:rFonts w:hint="eastAsia" w:ascii="仿宋_GB2312" w:hAnsi="仿宋_GB2312" w:eastAsia="仿宋_GB2312" w:cs="仿宋_GB2312"/>
          <w:b/>
          <w:bCs/>
          <w:kern w:val="2"/>
          <w:sz w:val="32"/>
          <w:szCs w:val="32"/>
          <w:lang w:val="en-US" w:eastAsia="zh-CN" w:bidi="ar-SA"/>
        </w:rPr>
        <w:t>（五）草山资源优势发挥有限，乡土植物应用不足</w:t>
      </w:r>
      <w:bookmarkEnd w:id="78"/>
    </w:p>
    <w:p w14:paraId="64ECD00C">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从寻甸县全域范围来看，寻甸草山资源丰富，近几年北大营草场、凤龙山草场等吸引了一定量的游客，但草山资源挖掘力度有待提升，应提升生态畜牧业的同时，充分依托草山资源发展全域旅游，实现资源的有效转化。同时，目前寻甸县乡土树种进城市进街道、进社区不够，生态林草系统的景观在城乡蓝绿空间的重构不够，城市景观打造未与滇中滇西等区域形成较明显的异质性和差异化。</w:t>
      </w:r>
    </w:p>
    <w:p w14:paraId="4812841F">
      <w:pPr>
        <w:pStyle w:val="13"/>
        <w:keepNext w:val="0"/>
        <w:keepLines w:val="0"/>
        <w:pageBreakBefore w:val="0"/>
        <w:widowControl w:val="0"/>
        <w:kinsoku/>
        <w:wordWrap/>
        <w:topLinePunct w:val="0"/>
        <w:autoSpaceDE/>
        <w:autoSpaceDN/>
        <w:bidi w:val="0"/>
        <w:adjustRightInd/>
        <w:snapToGrid/>
        <w:spacing w:before="0" w:after="0" w:line="560" w:lineRule="exact"/>
        <w:ind w:leftChars="0" w:firstLine="643" w:firstLineChars="200"/>
        <w:textAlignment w:val="auto"/>
      </w:pPr>
      <w:bookmarkStart w:id="79" w:name="_Toc28995"/>
      <w:bookmarkStart w:id="80" w:name="_Toc9995"/>
      <w:bookmarkStart w:id="81" w:name="_Toc25418"/>
      <w:r>
        <w:t>第二节 总体要求</w:t>
      </w:r>
      <w:bookmarkEnd w:id="79"/>
      <w:bookmarkEnd w:id="80"/>
      <w:bookmarkEnd w:id="81"/>
    </w:p>
    <w:p w14:paraId="2A11BC06">
      <w:pPr>
        <w:pStyle w:val="14"/>
        <w:keepNext w:val="0"/>
        <w:keepLines w:val="0"/>
        <w:pageBreakBefore w:val="0"/>
        <w:widowControl w:val="0"/>
        <w:kinsoku/>
        <w:wordWrap/>
        <w:topLinePunct w:val="0"/>
        <w:autoSpaceDE/>
        <w:autoSpaceDN/>
        <w:bidi w:val="0"/>
        <w:adjustRightInd/>
        <w:snapToGrid/>
        <w:spacing w:line="560" w:lineRule="exact"/>
        <w:ind w:leftChars="0" w:firstLine="643" w:firstLineChars="200"/>
        <w:textAlignment w:val="auto"/>
      </w:pPr>
      <w:bookmarkStart w:id="82" w:name="_Toc28841"/>
      <w:bookmarkStart w:id="83" w:name="_Toc22288"/>
      <w:bookmarkStart w:id="84" w:name="_Toc20907"/>
      <w:bookmarkStart w:id="85" w:name="_Toc15622"/>
      <w:bookmarkStart w:id="86" w:name="_Toc15648"/>
      <w:bookmarkStart w:id="87" w:name="_Toc4155"/>
      <w:bookmarkStart w:id="88" w:name="_Toc27136"/>
      <w:bookmarkStart w:id="89" w:name="_Toc6995"/>
      <w:bookmarkStart w:id="90" w:name="_Toc2190"/>
      <w:bookmarkStart w:id="91" w:name="_Toc10010"/>
      <w:bookmarkStart w:id="92" w:name="_Toc2834"/>
      <w:bookmarkStart w:id="93" w:name="_Toc19570"/>
      <w:bookmarkStart w:id="94" w:name="_Toc14511"/>
      <w:bookmarkStart w:id="95" w:name="_Toc28229"/>
      <w:bookmarkStart w:id="96" w:name="_Toc5597"/>
      <w:bookmarkStart w:id="97" w:name="_Toc10186"/>
      <w:bookmarkStart w:id="98" w:name="_Toc25914"/>
      <w:bookmarkStart w:id="99" w:name="_Toc21066"/>
      <w:bookmarkStart w:id="100" w:name="_Toc13372"/>
      <w:bookmarkStart w:id="101" w:name="_Toc14160"/>
      <w:bookmarkStart w:id="102" w:name="_Toc1579"/>
      <w:bookmarkStart w:id="103" w:name="_Toc25231"/>
      <w:r>
        <w:t>一、指导思想</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4F0317C">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习近平新时代中国特色社会主义思想为指导，全面贯彻党的二十大精神，认真践行习近平生态文明思想，深入贯彻习近平总书记考察云南重要讲话和重要指示批示精神，全面落实王宁书记在2023年生态环境保护大会上的指导内容，结合云南省城乡绿化美化三年行动要求，坚持“创新、协调、绿色,开放、共享”的发展理念，统筹生态、美学、人文、经济和生活等要素，着力推进乡土树种、乡土元素、乡土景观、乡土文化进城乡、进廊道、进景区。着力推进城乡面貌和人居环境改善，使城镇乡村融入生态环境，构建完备的生态网络体系；充分发挥生态资源和民族文化独特优势，建立完备的生态产业体系和生态文化体系，将寻甸建设成更加宜居宜游宜业的美丽大花园。</w:t>
      </w:r>
    </w:p>
    <w:p w14:paraId="028AFE34">
      <w:pPr>
        <w:pStyle w:val="14"/>
        <w:keepNext w:val="0"/>
        <w:keepLines w:val="0"/>
        <w:pageBreakBefore w:val="0"/>
        <w:widowControl w:val="0"/>
        <w:kinsoku/>
        <w:wordWrap/>
        <w:topLinePunct w:val="0"/>
        <w:autoSpaceDE/>
        <w:autoSpaceDN/>
        <w:bidi w:val="0"/>
        <w:adjustRightInd/>
        <w:snapToGrid/>
        <w:spacing w:line="560" w:lineRule="exact"/>
        <w:ind w:leftChars="0" w:firstLine="643" w:firstLineChars="200"/>
        <w:textAlignment w:val="auto"/>
        <w:rPr>
          <w:rFonts w:hint="eastAsia" w:ascii="Times New Roman" w:hAnsi="Times New Roman"/>
          <w:lang w:val="en-US" w:eastAsia="zh-CN"/>
        </w:rPr>
      </w:pPr>
      <w:r>
        <w:rPr>
          <w:rFonts w:hint="eastAsia" w:ascii="Times New Roman" w:hAnsi="Times New Roman"/>
          <w:lang w:val="en-US" w:eastAsia="zh-CN"/>
        </w:rPr>
        <w:t>二、基本原则</w:t>
      </w:r>
    </w:p>
    <w:p w14:paraId="401E5318">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3" w:firstLineChars="200"/>
        <w:textAlignment w:val="auto"/>
        <w:outlineLvl w:val="2"/>
        <w:rPr>
          <w:rFonts w:hint="eastAsia" w:ascii="仿宋_GB2312" w:hAnsi="仿宋_GB2312" w:eastAsia="仿宋_GB2312" w:cs="仿宋_GB2312"/>
          <w:b/>
          <w:bCs/>
          <w:kern w:val="2"/>
          <w:sz w:val="32"/>
          <w:szCs w:val="32"/>
          <w:lang w:val="en-US" w:eastAsia="zh-CN" w:bidi="ar-SA"/>
        </w:rPr>
      </w:pPr>
      <w:bookmarkStart w:id="104" w:name="_Toc5883"/>
      <w:r>
        <w:rPr>
          <w:rFonts w:hint="eastAsia" w:ascii="仿宋_GB2312" w:hAnsi="仿宋_GB2312" w:eastAsia="仿宋_GB2312" w:cs="仿宋_GB2312"/>
          <w:b/>
          <w:bCs/>
          <w:kern w:val="2"/>
          <w:sz w:val="32"/>
          <w:szCs w:val="32"/>
          <w:lang w:val="en-US" w:eastAsia="zh-CN" w:bidi="ar-SA"/>
        </w:rPr>
        <w:t>（一）坚持目标导向</w:t>
      </w:r>
      <w:bookmarkEnd w:id="104"/>
    </w:p>
    <w:p w14:paraId="1B664A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应立足于达到绿美云南新标杆建设目标，着力开展生态环境保护与恢复，持续打造生态宜居环境，不断强化寻甸生态资源特色，高水平满足城乡居民和中外游客日益增长的生态环境需求。</w:t>
      </w:r>
    </w:p>
    <w:p w14:paraId="3A09D1BD">
      <w:pPr>
        <w:pStyle w:val="3"/>
        <w:keepNext w:val="0"/>
        <w:keepLines w:val="0"/>
        <w:pageBreakBefore w:val="0"/>
        <w:widowControl w:val="0"/>
        <w:numPr>
          <w:ilvl w:val="0"/>
          <w:numId w:val="0"/>
        </w:numPr>
        <w:kinsoku/>
        <w:wordWrap/>
        <w:topLinePunct w:val="0"/>
        <w:autoSpaceDE/>
        <w:autoSpaceDN/>
        <w:bidi w:val="0"/>
        <w:adjustRightInd/>
        <w:snapToGrid/>
        <w:spacing w:after="0" w:line="560" w:lineRule="exact"/>
        <w:ind w:left="0" w:leftChars="0" w:firstLine="643" w:firstLineChars="200"/>
        <w:textAlignment w:val="auto"/>
        <w:outlineLvl w:val="2"/>
        <w:rPr>
          <w:rFonts w:hint="eastAsia" w:ascii="仿宋_GB2312" w:hAnsi="仿宋_GB2312" w:eastAsia="仿宋_GB2312" w:cs="仿宋_GB2312"/>
          <w:b/>
          <w:bCs/>
          <w:kern w:val="2"/>
          <w:sz w:val="32"/>
          <w:szCs w:val="32"/>
          <w:lang w:val="en-US" w:eastAsia="zh-CN" w:bidi="ar-SA"/>
        </w:rPr>
      </w:pPr>
      <w:bookmarkStart w:id="105" w:name="_Toc5766"/>
      <w:r>
        <w:rPr>
          <w:rFonts w:hint="eastAsia" w:ascii="仿宋_GB2312" w:hAnsi="仿宋_GB2312" w:eastAsia="仿宋_GB2312" w:cs="仿宋_GB2312"/>
          <w:b/>
          <w:bCs/>
          <w:kern w:val="2"/>
          <w:sz w:val="32"/>
          <w:szCs w:val="32"/>
          <w:lang w:val="en-US" w:eastAsia="zh-CN" w:bidi="ar-SA"/>
        </w:rPr>
        <w:t>（二）坚持问题导向</w:t>
      </w:r>
      <w:bookmarkEnd w:id="105"/>
    </w:p>
    <w:p w14:paraId="085E41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聚焦实现城乡绿化美化高质量发展和生态人居、旅居度假面临的突出问题，采取针对性措施，着力补齐短板，扩展和提升乡土树种、乡土元素、乡土景观、乡土文化在绿美寻甸建设中的应用，不断提升寻甸生态花园的颜值和美誉度。</w:t>
      </w:r>
    </w:p>
    <w:p w14:paraId="68B5FFF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kern w:val="2"/>
          <w:sz w:val="32"/>
          <w:szCs w:val="32"/>
          <w:lang w:val="en-US" w:eastAsia="zh-CN" w:bidi="ar-SA"/>
        </w:rPr>
      </w:pPr>
      <w:bookmarkStart w:id="106" w:name="_Toc11057"/>
      <w:r>
        <w:rPr>
          <w:rFonts w:hint="eastAsia" w:ascii="仿宋_GB2312" w:hAnsi="仿宋_GB2312" w:eastAsia="仿宋_GB2312" w:cs="仿宋_GB2312"/>
          <w:b/>
          <w:bCs/>
          <w:kern w:val="2"/>
          <w:sz w:val="32"/>
          <w:szCs w:val="32"/>
          <w:lang w:val="en-US" w:eastAsia="zh-CN" w:bidi="ar-SA"/>
        </w:rPr>
        <w:t>（三）坚持实事求是</w:t>
      </w:r>
      <w:bookmarkEnd w:id="106"/>
    </w:p>
    <w:p w14:paraId="7FEA885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应根据寻甸县地方经济社会发展水平、生态资源禀赋、城乡绿化美化基础,尊重自然规律和经济规律，因地制宜确定建设任务，走科学、生态、节俭绿化美化之路。</w:t>
      </w:r>
    </w:p>
    <w:p w14:paraId="6E1F04F6">
      <w:pPr>
        <w:pStyle w:val="3"/>
        <w:keepNext w:val="0"/>
        <w:keepLines w:val="0"/>
        <w:pageBreakBefore w:val="0"/>
        <w:widowControl w:val="0"/>
        <w:numPr>
          <w:ilvl w:val="0"/>
          <w:numId w:val="0"/>
        </w:numPr>
        <w:kinsoku/>
        <w:wordWrap/>
        <w:topLinePunct w:val="0"/>
        <w:autoSpaceDE/>
        <w:autoSpaceDN/>
        <w:bidi w:val="0"/>
        <w:adjustRightInd/>
        <w:snapToGrid/>
        <w:spacing w:after="0" w:line="560" w:lineRule="exact"/>
        <w:ind w:leftChars="0" w:firstLine="643" w:firstLineChars="200"/>
        <w:textAlignment w:val="auto"/>
        <w:outlineLvl w:val="2"/>
        <w:rPr>
          <w:rFonts w:hint="eastAsia" w:ascii="仿宋_GB2312" w:hAnsi="仿宋_GB2312" w:eastAsia="仿宋_GB2312" w:cs="仿宋_GB2312"/>
          <w:b/>
          <w:bCs/>
          <w:kern w:val="2"/>
          <w:sz w:val="32"/>
          <w:szCs w:val="32"/>
          <w:lang w:val="en-US" w:eastAsia="zh-CN" w:bidi="ar-SA"/>
        </w:rPr>
      </w:pPr>
      <w:bookmarkStart w:id="107" w:name="_Toc5370"/>
      <w:r>
        <w:rPr>
          <w:rFonts w:hint="eastAsia" w:ascii="仿宋_GB2312" w:hAnsi="仿宋_GB2312" w:eastAsia="仿宋_GB2312" w:cs="仿宋_GB2312"/>
          <w:b/>
          <w:bCs/>
          <w:kern w:val="2"/>
          <w:sz w:val="32"/>
          <w:szCs w:val="32"/>
          <w:lang w:val="en-US" w:eastAsia="zh-CN" w:bidi="ar-SA"/>
        </w:rPr>
        <w:t>（四）坚持地域特色</w:t>
      </w:r>
      <w:bookmarkEnd w:id="107"/>
    </w:p>
    <w:p w14:paraId="7807A23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应尊重寻甸城乡自然山水格局和林山草地资源空间分布，以凸显林山草地景观和林山草地文化为主题，衔接融合地域历史文化和民族文化元素，全方位打造极富民族风情和地域特色的绿美寻甸新风貌。</w:t>
      </w:r>
    </w:p>
    <w:p w14:paraId="6E152652">
      <w:pPr>
        <w:pStyle w:val="14"/>
        <w:keepNext w:val="0"/>
        <w:keepLines w:val="0"/>
        <w:pageBreakBefore w:val="0"/>
        <w:widowControl w:val="0"/>
        <w:kinsoku/>
        <w:wordWrap/>
        <w:topLinePunct w:val="0"/>
        <w:autoSpaceDE/>
        <w:autoSpaceDN/>
        <w:bidi w:val="0"/>
        <w:adjustRightInd/>
        <w:snapToGrid/>
        <w:spacing w:line="560" w:lineRule="exact"/>
        <w:ind w:leftChars="0" w:firstLine="643" w:firstLineChars="200"/>
        <w:textAlignment w:val="auto"/>
        <w:rPr>
          <w:rFonts w:hint="eastAsia"/>
          <w:lang w:eastAsia="zh-CN"/>
        </w:rPr>
      </w:pPr>
      <w:r>
        <w:rPr>
          <w:rFonts w:hint="eastAsia"/>
          <w:lang w:eastAsia="zh-CN"/>
        </w:rPr>
        <w:t>三、发展目标</w:t>
      </w:r>
    </w:p>
    <w:p w14:paraId="02D08FD4">
      <w:pPr>
        <w:pStyle w:val="14"/>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根据绿美云南建设总体目标，结合昆明绿化美化三年行动指导，挖掘寻甸城市特质、绿美建设基础和林山草地资源优势，将绿美寻甸建设定位为“绿美云南新标杆、北部生态第一城，最美高原城市”。</w:t>
      </w:r>
    </w:p>
    <w:p w14:paraId="79B89C7E">
      <w:pPr>
        <w:pStyle w:val="14"/>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绿美云南新标杆”是绿美寻甸在绿美云南建设中的应有担当。寻甸县森林草山资源丰富，森林覆盖率名列全省前茅，民族风情浓郁，文化底蕴深厚，美丽品质上乘、辨识度强，显示度大、美誉度高。绿美云南新标杆就是要在绿美云南建设中保持领跑态势，持续开展林山草地保护、恢复和回归行动，强化寻甸县主动作为，持续巩固绿美云南新标杆的地位。</w:t>
      </w:r>
    </w:p>
    <w:p w14:paraId="3BD59AEE">
      <w:pPr>
        <w:pStyle w:val="14"/>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北部生态第一城”就是要求寻甸在绿美建设中强化昆明北部生态屏障作用，从绿美的维度助力昆明乃至云南生态环境建设。在绿美寻甸建设过程中，聚焦独特的林山草地景观和文化，打造独具特色的“北部生态第一城”。</w:t>
      </w:r>
    </w:p>
    <w:p w14:paraId="19E0C0AB">
      <w:pPr>
        <w:pStyle w:val="14"/>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最美高原城市”就是要充分发挥寻甸县丰富的自然风光、民族风情、红色文化等资源禀赋。通过整合资源，形成以旖旎绮丽的风光为基底，“月月有节庆、季季有主题”的民族节庆活动为依托，隽永深刻的红色记忆为城市精神印记，将寻甸打造成为滇东北高原真正的“梦中伊甸园”。</w:t>
      </w:r>
    </w:p>
    <w:p w14:paraId="1226E2C1">
      <w:pPr>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highlight w:val="green"/>
          <w:lang w:val="en-US" w:eastAsia="zh-CN" w:bidi="ar-SA"/>
        </w:rPr>
      </w:pPr>
      <w:r>
        <w:rPr>
          <w:rFonts w:hint="eastAsia" w:ascii="仿宋_GB2312" w:hAnsi="仿宋_GB2312" w:eastAsia="仿宋_GB2312" w:cs="仿宋_GB2312"/>
          <w:b w:val="0"/>
          <w:bCs w:val="0"/>
          <w:kern w:val="2"/>
          <w:sz w:val="32"/>
          <w:szCs w:val="32"/>
          <w:lang w:val="en-US" w:eastAsia="zh-CN" w:bidi="ar-SA"/>
        </w:rPr>
        <w:t>绿美寻甸建设以增绿提质为主线，通过十年规划、三年行动，着力构建和优化城市绿地系统和山水空间格局，提升城市环境品质，实现城市与自然和谐共生、城市绿地系统格局日趋优化、城市绿地总量明显提高、公共空间品质大幅提升、城市特色逐步彰显、城市区域影响力持续扩大、公园形态与城市空间加速融合等目标，打造和推选一批生态丰美、环境优美、城市谐美、人文醇美、建筑韵美、生活恬美、社区和美的绿美城市和绿美社区。</w:t>
      </w:r>
      <w:r>
        <w:rPr>
          <w:rFonts w:hint="eastAsia" w:ascii="仿宋_GB2312" w:hAnsi="仿宋_GB2312" w:eastAsia="仿宋_GB2312" w:cs="仿宋_GB2312"/>
          <w:b w:val="0"/>
          <w:bCs w:val="0"/>
          <w:kern w:val="2"/>
          <w:sz w:val="32"/>
          <w:szCs w:val="32"/>
          <w:highlight w:val="none"/>
          <w:lang w:val="en-US" w:eastAsia="zh-CN" w:bidi="ar-SA"/>
        </w:rPr>
        <w:t>通过有效实施绿美城市建设，</w:t>
      </w:r>
      <w:r>
        <w:rPr>
          <w:rFonts w:hint="eastAsia" w:ascii="仿宋_GB2312" w:hAnsi="仿宋_GB2312" w:eastAsia="仿宋_GB2312" w:cs="仿宋_GB2312"/>
          <w:b w:val="0"/>
          <w:bCs w:val="0"/>
          <w:kern w:val="2"/>
          <w:sz w:val="32"/>
          <w:szCs w:val="32"/>
          <w:lang w:val="en-US" w:eastAsia="zh-CN" w:bidi="ar-SA"/>
        </w:rPr>
        <w:t>力争在规划期内每年新增城市园林绿地面积1公顷以上，使</w:t>
      </w:r>
      <w:r>
        <w:rPr>
          <w:rFonts w:hint="eastAsia" w:ascii="仿宋_GB2312" w:hAnsi="仿宋_GB2312" w:eastAsia="仿宋_GB2312" w:cs="仿宋_GB2312"/>
          <w:b w:val="0"/>
          <w:bCs w:val="0"/>
          <w:kern w:val="2"/>
          <w:sz w:val="32"/>
          <w:szCs w:val="32"/>
          <w:highlight w:val="none"/>
          <w:lang w:val="en-US" w:eastAsia="zh-CN" w:bidi="ar-SA"/>
        </w:rPr>
        <w:t>县城绿地率超过40%，人均公园绿地面积12平方米以上，公园服务半径覆盖率达到85%以上，提升改造综合公园1个，新建游园、口袋公园不少于15个，林荫路推广率大于70%，县城万人拥有绿道长度大于1公里，努力实现城市“300米见绿，500米见园”的绿化美化建设目标。</w:t>
      </w:r>
    </w:p>
    <w:p w14:paraId="400952EA">
      <w:pPr>
        <w:pStyle w:val="2"/>
        <w:jc w:val="center"/>
        <w:rPr>
          <w:rFonts w:hint="eastAsia" w:ascii="Times New Roman" w:hAnsi="Times New Roman" w:eastAsia="仿宋_GB2312"/>
          <w:sz w:val="32"/>
          <w:szCs w:val="32"/>
          <w:highlight w:val="none"/>
        </w:rPr>
      </w:pPr>
      <w:r>
        <w:rPr>
          <w:rFonts w:ascii="Times New Roman" w:hAnsi="Times New Roman" w:eastAsia="仿宋_GB2312"/>
          <w:sz w:val="32"/>
          <w:szCs w:val="32"/>
          <w:highlight w:val="none"/>
        </w:rPr>
        <w:t>表1</w:t>
      </w:r>
      <w:r>
        <w:rPr>
          <w:rFonts w:hint="eastAsia"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lang w:eastAsia="zh-CN"/>
        </w:rPr>
        <w:t>寻甸县</w:t>
      </w:r>
      <w:r>
        <w:rPr>
          <w:rFonts w:ascii="Times New Roman" w:hAnsi="Times New Roman" w:eastAsia="仿宋_GB2312"/>
          <w:sz w:val="32"/>
          <w:szCs w:val="32"/>
          <w:highlight w:val="none"/>
        </w:rPr>
        <w:t>城乡绿化美化主要指标</w:t>
      </w:r>
      <w:r>
        <w:rPr>
          <w:rFonts w:hint="eastAsia" w:ascii="Times New Roman" w:hAnsi="Times New Roman" w:eastAsia="仿宋_GB2312"/>
          <w:sz w:val="32"/>
          <w:szCs w:val="32"/>
          <w:highlight w:val="none"/>
        </w:rPr>
        <w:t>（2022—2031年）</w:t>
      </w:r>
    </w:p>
    <w:tbl>
      <w:tblPr>
        <w:tblStyle w:val="11"/>
        <w:tblW w:w="9625" w:type="dxa"/>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09"/>
        <w:gridCol w:w="1787"/>
        <w:gridCol w:w="1006"/>
        <w:gridCol w:w="1073"/>
        <w:gridCol w:w="1170"/>
        <w:gridCol w:w="1095"/>
        <w:gridCol w:w="773"/>
        <w:gridCol w:w="1261"/>
      </w:tblGrid>
      <w:tr w14:paraId="7A85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1" w:type="dxa"/>
            <w:vAlign w:val="center"/>
          </w:tcPr>
          <w:p w14:paraId="499D409A">
            <w:pPr>
              <w:widowControl/>
              <w:spacing w:beforeAutospacing="1" w:line="300" w:lineRule="exact"/>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类型</w:t>
            </w:r>
          </w:p>
        </w:tc>
        <w:tc>
          <w:tcPr>
            <w:tcW w:w="609" w:type="dxa"/>
            <w:vAlign w:val="center"/>
          </w:tcPr>
          <w:p w14:paraId="357E16B0">
            <w:pPr>
              <w:widowControl/>
              <w:spacing w:beforeAutospacing="1" w:line="300" w:lineRule="exact"/>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序号</w:t>
            </w:r>
          </w:p>
        </w:tc>
        <w:tc>
          <w:tcPr>
            <w:tcW w:w="1787" w:type="dxa"/>
            <w:vAlign w:val="center"/>
          </w:tcPr>
          <w:p w14:paraId="271C7084">
            <w:pPr>
              <w:widowControl/>
              <w:spacing w:beforeAutospacing="1" w:line="300" w:lineRule="exact"/>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指标</w:t>
            </w:r>
          </w:p>
        </w:tc>
        <w:tc>
          <w:tcPr>
            <w:tcW w:w="1006" w:type="dxa"/>
            <w:vAlign w:val="center"/>
          </w:tcPr>
          <w:p w14:paraId="56B56556">
            <w:pPr>
              <w:widowControl/>
              <w:spacing w:beforeAutospacing="1" w:line="300" w:lineRule="exact"/>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202</w:t>
            </w:r>
            <w:r>
              <w:rPr>
                <w:rFonts w:hint="eastAsia" w:ascii="Times New Roman" w:hAnsi="Times New Roman" w:eastAsia="仿宋_GB2312"/>
                <w:b/>
                <w:bCs/>
                <w:kern w:val="0"/>
                <w:sz w:val="24"/>
                <w:szCs w:val="24"/>
                <w:lang w:val="en-US" w:eastAsia="zh-CN"/>
              </w:rPr>
              <w:t>2</w:t>
            </w:r>
            <w:r>
              <w:rPr>
                <w:rFonts w:ascii="Times New Roman" w:hAnsi="Times New Roman" w:eastAsia="仿宋_GB2312"/>
                <w:b/>
                <w:bCs/>
                <w:kern w:val="0"/>
                <w:sz w:val="24"/>
                <w:szCs w:val="24"/>
              </w:rPr>
              <w:t>年</w:t>
            </w:r>
          </w:p>
        </w:tc>
        <w:tc>
          <w:tcPr>
            <w:tcW w:w="1073" w:type="dxa"/>
            <w:vAlign w:val="center"/>
          </w:tcPr>
          <w:p w14:paraId="7B689405">
            <w:pPr>
              <w:widowControl/>
              <w:spacing w:beforeAutospacing="1" w:line="300" w:lineRule="exact"/>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2024年</w:t>
            </w:r>
          </w:p>
        </w:tc>
        <w:tc>
          <w:tcPr>
            <w:tcW w:w="1170" w:type="dxa"/>
            <w:vAlign w:val="center"/>
          </w:tcPr>
          <w:p w14:paraId="5C7A4A03">
            <w:pPr>
              <w:widowControl/>
              <w:spacing w:beforeAutospacing="1" w:line="300" w:lineRule="exact"/>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202</w:t>
            </w:r>
            <w:r>
              <w:rPr>
                <w:rFonts w:hint="eastAsia" w:ascii="Times New Roman" w:hAnsi="Times New Roman" w:eastAsia="仿宋_GB2312"/>
                <w:b/>
                <w:bCs/>
                <w:kern w:val="0"/>
                <w:sz w:val="24"/>
                <w:szCs w:val="24"/>
                <w:lang w:val="en-US" w:eastAsia="zh-CN"/>
              </w:rPr>
              <w:t>8</w:t>
            </w:r>
            <w:r>
              <w:rPr>
                <w:rFonts w:ascii="Times New Roman" w:hAnsi="Times New Roman" w:eastAsia="仿宋_GB2312"/>
                <w:b/>
                <w:bCs/>
                <w:kern w:val="0"/>
                <w:sz w:val="24"/>
                <w:szCs w:val="24"/>
              </w:rPr>
              <w:t>年</w:t>
            </w:r>
          </w:p>
        </w:tc>
        <w:tc>
          <w:tcPr>
            <w:tcW w:w="1095" w:type="dxa"/>
            <w:vAlign w:val="center"/>
          </w:tcPr>
          <w:p w14:paraId="0812421D">
            <w:pPr>
              <w:widowControl/>
              <w:spacing w:beforeAutospacing="1" w:line="300" w:lineRule="exact"/>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2031年</w:t>
            </w:r>
          </w:p>
        </w:tc>
        <w:tc>
          <w:tcPr>
            <w:tcW w:w="773" w:type="dxa"/>
            <w:vAlign w:val="center"/>
          </w:tcPr>
          <w:p w14:paraId="7B2525CF">
            <w:pPr>
              <w:widowControl/>
              <w:spacing w:beforeAutospacing="1" w:line="300" w:lineRule="exact"/>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属性</w:t>
            </w:r>
          </w:p>
        </w:tc>
        <w:tc>
          <w:tcPr>
            <w:tcW w:w="1261" w:type="dxa"/>
            <w:vAlign w:val="center"/>
          </w:tcPr>
          <w:p w14:paraId="0736593D">
            <w:pPr>
              <w:widowControl/>
              <w:spacing w:beforeAutospacing="1" w:line="300" w:lineRule="exact"/>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指标来源</w:t>
            </w:r>
          </w:p>
        </w:tc>
      </w:tr>
      <w:tr w14:paraId="0E2D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51" w:type="dxa"/>
            <w:vMerge w:val="restart"/>
            <w:vAlign w:val="center"/>
          </w:tcPr>
          <w:p w14:paraId="23C2BF25">
            <w:pPr>
              <w:pStyle w:val="2"/>
              <w:spacing w:before="0" w:line="300" w:lineRule="exact"/>
              <w:jc w:val="center"/>
              <w:rPr>
                <w:rFonts w:ascii="Times New Roman" w:hAnsi="Times New Roman" w:eastAsia="仿宋_GB2312"/>
                <w:szCs w:val="24"/>
              </w:rPr>
            </w:pPr>
            <w:r>
              <w:rPr>
                <w:rFonts w:ascii="Times New Roman" w:hAnsi="Times New Roman" w:eastAsia="仿宋_GB2312"/>
                <w:szCs w:val="24"/>
              </w:rPr>
              <w:t>公园城市</w:t>
            </w:r>
          </w:p>
        </w:tc>
        <w:tc>
          <w:tcPr>
            <w:tcW w:w="609" w:type="dxa"/>
            <w:vAlign w:val="center"/>
          </w:tcPr>
          <w:p w14:paraId="1F7ED5BF">
            <w:pPr>
              <w:pStyle w:val="2"/>
              <w:spacing w:before="0" w:line="320" w:lineRule="exact"/>
              <w:jc w:val="center"/>
              <w:rPr>
                <w:rFonts w:ascii="Times New Roman" w:hAnsi="Times New Roman" w:eastAsia="仿宋_GB2312"/>
                <w:szCs w:val="24"/>
              </w:rPr>
            </w:pPr>
            <w:r>
              <w:rPr>
                <w:rFonts w:ascii="Times New Roman" w:hAnsi="Times New Roman" w:eastAsia="仿宋_GB2312"/>
                <w:szCs w:val="24"/>
              </w:rPr>
              <w:t>1</w:t>
            </w:r>
          </w:p>
        </w:tc>
        <w:tc>
          <w:tcPr>
            <w:tcW w:w="1787" w:type="dxa"/>
            <w:vAlign w:val="center"/>
          </w:tcPr>
          <w:p w14:paraId="4B26E6EE">
            <w:pPr>
              <w:widowControl/>
              <w:spacing w:line="320" w:lineRule="exact"/>
              <w:rPr>
                <w:rFonts w:ascii="Times New Roman" w:hAnsi="Times New Roman" w:eastAsia="仿宋_GB2312"/>
                <w:kern w:val="0"/>
                <w:sz w:val="24"/>
                <w:szCs w:val="24"/>
              </w:rPr>
            </w:pPr>
            <w:r>
              <w:rPr>
                <w:rFonts w:ascii="Times New Roman" w:hAnsi="Times New Roman" w:eastAsia="仿宋_GB2312"/>
                <w:kern w:val="0"/>
                <w:sz w:val="24"/>
                <w:szCs w:val="24"/>
              </w:rPr>
              <w:t>城市绿地率</w:t>
            </w:r>
          </w:p>
        </w:tc>
        <w:tc>
          <w:tcPr>
            <w:tcW w:w="1006" w:type="dxa"/>
            <w:vAlign w:val="center"/>
          </w:tcPr>
          <w:p w14:paraId="27076140">
            <w:pPr>
              <w:widowControl/>
              <w:spacing w:line="320" w:lineRule="exact"/>
              <w:jc w:val="center"/>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36</w:t>
            </w:r>
          </w:p>
        </w:tc>
        <w:tc>
          <w:tcPr>
            <w:tcW w:w="1073" w:type="dxa"/>
            <w:vAlign w:val="center"/>
          </w:tcPr>
          <w:p w14:paraId="5985766B">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≥40</w:t>
            </w:r>
          </w:p>
        </w:tc>
        <w:tc>
          <w:tcPr>
            <w:tcW w:w="1170" w:type="dxa"/>
            <w:vAlign w:val="center"/>
          </w:tcPr>
          <w:p w14:paraId="000A3060">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≥41</w:t>
            </w:r>
          </w:p>
        </w:tc>
        <w:tc>
          <w:tcPr>
            <w:tcW w:w="1095" w:type="dxa"/>
            <w:vAlign w:val="center"/>
          </w:tcPr>
          <w:p w14:paraId="2856EF2E">
            <w:pPr>
              <w:widowControl/>
              <w:spacing w:line="320" w:lineRule="exact"/>
              <w:jc w:val="center"/>
              <w:rPr>
                <w:rFonts w:hint="eastAsia" w:ascii="Times New Roman" w:hAnsi="Times New Roman" w:eastAsia="仿宋_GB2312"/>
                <w:kern w:val="0"/>
                <w:sz w:val="24"/>
                <w:szCs w:val="24"/>
                <w:lang w:eastAsia="zh-CN"/>
              </w:rPr>
            </w:pPr>
            <w:r>
              <w:rPr>
                <w:rFonts w:ascii="Times New Roman" w:hAnsi="Times New Roman" w:eastAsia="仿宋_GB2312"/>
                <w:kern w:val="0"/>
                <w:sz w:val="24"/>
                <w:szCs w:val="24"/>
              </w:rPr>
              <w:t>≥4</w:t>
            </w:r>
            <w:r>
              <w:rPr>
                <w:rFonts w:hint="eastAsia" w:ascii="Times New Roman" w:hAnsi="Times New Roman" w:eastAsia="仿宋_GB2312"/>
                <w:kern w:val="0"/>
                <w:sz w:val="24"/>
                <w:szCs w:val="24"/>
                <w:lang w:val="en-US" w:eastAsia="zh-CN"/>
              </w:rPr>
              <w:t>2</w:t>
            </w:r>
          </w:p>
        </w:tc>
        <w:tc>
          <w:tcPr>
            <w:tcW w:w="773" w:type="dxa"/>
            <w:vAlign w:val="center"/>
          </w:tcPr>
          <w:p w14:paraId="3CD07BD9">
            <w:pPr>
              <w:widowControl/>
              <w:spacing w:line="320" w:lineRule="exact"/>
              <w:jc w:val="center"/>
              <w:rPr>
                <w:rFonts w:ascii="Times New Roman" w:hAnsi="Times New Roman" w:eastAsia="仿宋_GB2312"/>
                <w:kern w:val="0"/>
                <w:sz w:val="24"/>
                <w:szCs w:val="24"/>
              </w:rPr>
            </w:pPr>
            <w:r>
              <w:rPr>
                <w:rFonts w:ascii="Times New Roman" w:hAnsi="Times New Roman" w:eastAsia="仿宋_GB2312"/>
                <w:sz w:val="24"/>
                <w:szCs w:val="24"/>
              </w:rPr>
              <w:t>预期性</w:t>
            </w:r>
          </w:p>
        </w:tc>
        <w:tc>
          <w:tcPr>
            <w:tcW w:w="1261" w:type="dxa"/>
            <w:vAlign w:val="center"/>
          </w:tcPr>
          <w:p w14:paraId="2A13E18C">
            <w:pPr>
              <w:widowControl/>
              <w:spacing w:line="320" w:lineRule="exact"/>
              <w:jc w:val="center"/>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县城市管理局</w:t>
            </w:r>
          </w:p>
        </w:tc>
      </w:tr>
      <w:tr w14:paraId="3146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79DB8B35">
            <w:pPr>
              <w:pStyle w:val="2"/>
              <w:spacing w:before="0" w:line="300" w:lineRule="exact"/>
              <w:jc w:val="center"/>
              <w:rPr>
                <w:rFonts w:ascii="Times New Roman" w:hAnsi="Times New Roman" w:eastAsia="仿宋_GB2312"/>
                <w:szCs w:val="24"/>
              </w:rPr>
            </w:pPr>
          </w:p>
        </w:tc>
        <w:tc>
          <w:tcPr>
            <w:tcW w:w="609" w:type="dxa"/>
            <w:vAlign w:val="center"/>
          </w:tcPr>
          <w:p w14:paraId="0BA3966D">
            <w:pPr>
              <w:pStyle w:val="2"/>
              <w:spacing w:before="0" w:line="320" w:lineRule="exact"/>
              <w:jc w:val="center"/>
              <w:rPr>
                <w:rFonts w:ascii="Times New Roman" w:hAnsi="Times New Roman" w:eastAsia="仿宋_GB2312"/>
                <w:szCs w:val="24"/>
              </w:rPr>
            </w:pPr>
            <w:r>
              <w:rPr>
                <w:rFonts w:ascii="Times New Roman" w:hAnsi="Times New Roman" w:eastAsia="仿宋_GB2312"/>
                <w:szCs w:val="24"/>
              </w:rPr>
              <w:t>2</w:t>
            </w:r>
          </w:p>
        </w:tc>
        <w:tc>
          <w:tcPr>
            <w:tcW w:w="1787" w:type="dxa"/>
            <w:vAlign w:val="center"/>
          </w:tcPr>
          <w:p w14:paraId="78ABB721">
            <w:pPr>
              <w:widowControl/>
              <w:spacing w:line="320" w:lineRule="exact"/>
              <w:rPr>
                <w:rFonts w:ascii="Times New Roman" w:hAnsi="Times New Roman" w:eastAsia="仿宋_GB2312"/>
                <w:sz w:val="24"/>
                <w:szCs w:val="24"/>
              </w:rPr>
            </w:pPr>
            <w:r>
              <w:rPr>
                <w:rFonts w:ascii="Times New Roman" w:hAnsi="Times New Roman" w:eastAsia="仿宋_GB2312"/>
                <w:sz w:val="24"/>
                <w:szCs w:val="24"/>
              </w:rPr>
              <w:t>城市绿化覆盖率</w:t>
            </w:r>
          </w:p>
        </w:tc>
        <w:tc>
          <w:tcPr>
            <w:tcW w:w="1006" w:type="dxa"/>
            <w:vAlign w:val="center"/>
          </w:tcPr>
          <w:p w14:paraId="7667A856">
            <w:pPr>
              <w:widowControl/>
              <w:spacing w:line="320" w:lineRule="exact"/>
              <w:jc w:val="center"/>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41</w:t>
            </w:r>
          </w:p>
        </w:tc>
        <w:tc>
          <w:tcPr>
            <w:tcW w:w="1073" w:type="dxa"/>
            <w:vAlign w:val="center"/>
          </w:tcPr>
          <w:p w14:paraId="15D06D11">
            <w:pPr>
              <w:widowControl/>
              <w:spacing w:line="320" w:lineRule="exact"/>
              <w:jc w:val="center"/>
              <w:rPr>
                <w:rFonts w:hint="eastAsia" w:ascii="Times New Roman" w:hAnsi="Times New Roman" w:eastAsia="仿宋_GB2312"/>
                <w:kern w:val="0"/>
                <w:sz w:val="24"/>
                <w:szCs w:val="24"/>
                <w:lang w:eastAsia="zh-CN"/>
              </w:rPr>
            </w:pPr>
            <w:r>
              <w:rPr>
                <w:rFonts w:ascii="Times New Roman" w:hAnsi="Times New Roman" w:eastAsia="仿宋_GB2312"/>
                <w:kern w:val="0"/>
                <w:sz w:val="24"/>
                <w:szCs w:val="24"/>
              </w:rPr>
              <w:t>≥4</w:t>
            </w:r>
            <w:r>
              <w:rPr>
                <w:rFonts w:hint="eastAsia" w:ascii="Times New Roman" w:hAnsi="Times New Roman" w:eastAsia="仿宋_GB2312"/>
                <w:kern w:val="0"/>
                <w:sz w:val="24"/>
                <w:szCs w:val="24"/>
                <w:lang w:val="en-US" w:eastAsia="zh-CN"/>
              </w:rPr>
              <w:t>2</w:t>
            </w:r>
          </w:p>
        </w:tc>
        <w:tc>
          <w:tcPr>
            <w:tcW w:w="1170" w:type="dxa"/>
            <w:vAlign w:val="center"/>
          </w:tcPr>
          <w:p w14:paraId="2F1718FD">
            <w:pPr>
              <w:widowControl/>
              <w:spacing w:line="320" w:lineRule="exact"/>
              <w:jc w:val="center"/>
              <w:rPr>
                <w:rFonts w:hint="eastAsia" w:ascii="Times New Roman" w:hAnsi="Times New Roman" w:eastAsia="仿宋_GB2312"/>
                <w:kern w:val="0"/>
                <w:sz w:val="24"/>
                <w:szCs w:val="24"/>
                <w:lang w:eastAsia="zh-CN"/>
              </w:rPr>
            </w:pPr>
            <w:r>
              <w:rPr>
                <w:rFonts w:ascii="Times New Roman" w:hAnsi="Times New Roman" w:eastAsia="仿宋_GB2312"/>
                <w:kern w:val="0"/>
                <w:sz w:val="24"/>
                <w:szCs w:val="24"/>
              </w:rPr>
              <w:t>≥4</w:t>
            </w:r>
            <w:r>
              <w:rPr>
                <w:rFonts w:hint="eastAsia" w:ascii="Times New Roman" w:hAnsi="Times New Roman" w:eastAsia="仿宋_GB2312"/>
                <w:kern w:val="0"/>
                <w:sz w:val="24"/>
                <w:szCs w:val="24"/>
                <w:lang w:val="en-US" w:eastAsia="zh-CN"/>
              </w:rPr>
              <w:t>3</w:t>
            </w:r>
          </w:p>
        </w:tc>
        <w:tc>
          <w:tcPr>
            <w:tcW w:w="1095" w:type="dxa"/>
            <w:vAlign w:val="center"/>
          </w:tcPr>
          <w:p w14:paraId="083E864A">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≥45</w:t>
            </w:r>
          </w:p>
        </w:tc>
        <w:tc>
          <w:tcPr>
            <w:tcW w:w="773" w:type="dxa"/>
            <w:vAlign w:val="center"/>
          </w:tcPr>
          <w:p w14:paraId="573D1FE9">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约束性</w:t>
            </w:r>
          </w:p>
        </w:tc>
        <w:tc>
          <w:tcPr>
            <w:tcW w:w="1261" w:type="dxa"/>
            <w:vAlign w:val="center"/>
          </w:tcPr>
          <w:p w14:paraId="6C603F91">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县城市管理局</w:t>
            </w:r>
          </w:p>
        </w:tc>
      </w:tr>
      <w:tr w14:paraId="28B8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7F450384">
            <w:pPr>
              <w:pStyle w:val="2"/>
              <w:spacing w:before="0" w:line="300" w:lineRule="exact"/>
              <w:jc w:val="center"/>
              <w:rPr>
                <w:rFonts w:ascii="Times New Roman" w:hAnsi="Times New Roman" w:eastAsia="仿宋_GB2312"/>
                <w:szCs w:val="24"/>
              </w:rPr>
            </w:pPr>
          </w:p>
        </w:tc>
        <w:tc>
          <w:tcPr>
            <w:tcW w:w="609" w:type="dxa"/>
            <w:vAlign w:val="center"/>
          </w:tcPr>
          <w:p w14:paraId="79989AA0">
            <w:pPr>
              <w:pStyle w:val="2"/>
              <w:spacing w:before="0" w:line="320" w:lineRule="exact"/>
              <w:jc w:val="center"/>
              <w:rPr>
                <w:rFonts w:ascii="Times New Roman" w:hAnsi="Times New Roman" w:eastAsia="仿宋_GB2312"/>
                <w:szCs w:val="24"/>
              </w:rPr>
            </w:pPr>
            <w:r>
              <w:rPr>
                <w:rFonts w:ascii="Times New Roman" w:hAnsi="Times New Roman" w:eastAsia="仿宋_GB2312"/>
                <w:szCs w:val="24"/>
              </w:rPr>
              <w:t>3</w:t>
            </w:r>
          </w:p>
        </w:tc>
        <w:tc>
          <w:tcPr>
            <w:tcW w:w="1787" w:type="dxa"/>
            <w:vAlign w:val="center"/>
          </w:tcPr>
          <w:p w14:paraId="5E433A62">
            <w:pPr>
              <w:widowControl/>
              <w:spacing w:line="320" w:lineRule="exact"/>
              <w:rPr>
                <w:rFonts w:ascii="Times New Roman" w:hAnsi="Times New Roman" w:eastAsia="仿宋_GB2312"/>
                <w:kern w:val="0"/>
                <w:sz w:val="24"/>
                <w:szCs w:val="24"/>
              </w:rPr>
            </w:pPr>
            <w:r>
              <w:rPr>
                <w:rFonts w:ascii="Times New Roman" w:hAnsi="Times New Roman" w:eastAsia="仿宋_GB2312"/>
                <w:kern w:val="0"/>
                <w:sz w:val="24"/>
                <w:szCs w:val="24"/>
              </w:rPr>
              <w:t>公园服务半径覆盖率（%）</w:t>
            </w:r>
          </w:p>
        </w:tc>
        <w:tc>
          <w:tcPr>
            <w:tcW w:w="1006" w:type="dxa"/>
            <w:vAlign w:val="center"/>
          </w:tcPr>
          <w:p w14:paraId="7ADA4F9C">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80</w:t>
            </w:r>
          </w:p>
        </w:tc>
        <w:tc>
          <w:tcPr>
            <w:tcW w:w="1073" w:type="dxa"/>
            <w:vAlign w:val="center"/>
          </w:tcPr>
          <w:p w14:paraId="5581A8C2">
            <w:pPr>
              <w:widowControl/>
              <w:spacing w:line="320" w:lineRule="exact"/>
              <w:jc w:val="center"/>
              <w:rPr>
                <w:rFonts w:hint="eastAsia" w:ascii="Times New Roman" w:hAnsi="Times New Roman" w:eastAsia="仿宋_GB2312"/>
                <w:kern w:val="0"/>
                <w:sz w:val="24"/>
                <w:szCs w:val="24"/>
                <w:lang w:eastAsia="zh-CN"/>
              </w:rPr>
            </w:pPr>
            <w:r>
              <w:rPr>
                <w:rFonts w:ascii="Times New Roman" w:hAnsi="Times New Roman" w:eastAsia="仿宋_GB2312"/>
                <w:kern w:val="0"/>
                <w:sz w:val="24"/>
                <w:szCs w:val="24"/>
              </w:rPr>
              <w:t>≥8</w:t>
            </w:r>
            <w:r>
              <w:rPr>
                <w:rFonts w:hint="eastAsia" w:ascii="Times New Roman" w:hAnsi="Times New Roman" w:eastAsia="仿宋_GB2312"/>
                <w:kern w:val="0"/>
                <w:sz w:val="24"/>
                <w:szCs w:val="24"/>
                <w:lang w:val="en-US" w:eastAsia="zh-CN"/>
              </w:rPr>
              <w:t>2</w:t>
            </w:r>
          </w:p>
        </w:tc>
        <w:tc>
          <w:tcPr>
            <w:tcW w:w="1170" w:type="dxa"/>
            <w:vAlign w:val="center"/>
          </w:tcPr>
          <w:p w14:paraId="64015FA5">
            <w:pPr>
              <w:widowControl/>
              <w:spacing w:line="320" w:lineRule="exact"/>
              <w:jc w:val="center"/>
              <w:rPr>
                <w:rFonts w:hint="eastAsia" w:ascii="Times New Roman" w:hAnsi="Times New Roman" w:eastAsia="仿宋_GB2312"/>
                <w:kern w:val="0"/>
                <w:sz w:val="24"/>
                <w:szCs w:val="24"/>
                <w:lang w:eastAsia="zh-CN"/>
              </w:rPr>
            </w:pPr>
            <w:r>
              <w:rPr>
                <w:rFonts w:ascii="Times New Roman" w:hAnsi="Times New Roman" w:eastAsia="仿宋_GB2312"/>
                <w:kern w:val="0"/>
                <w:sz w:val="24"/>
                <w:szCs w:val="24"/>
              </w:rPr>
              <w:t>≥8</w:t>
            </w:r>
            <w:r>
              <w:rPr>
                <w:rFonts w:hint="eastAsia" w:ascii="Times New Roman" w:hAnsi="Times New Roman" w:eastAsia="仿宋_GB2312"/>
                <w:kern w:val="0"/>
                <w:sz w:val="24"/>
                <w:szCs w:val="24"/>
                <w:lang w:val="en-US" w:eastAsia="zh-CN"/>
              </w:rPr>
              <w:t>3</w:t>
            </w:r>
          </w:p>
        </w:tc>
        <w:tc>
          <w:tcPr>
            <w:tcW w:w="1095" w:type="dxa"/>
            <w:vAlign w:val="center"/>
          </w:tcPr>
          <w:p w14:paraId="767FEBC7">
            <w:pPr>
              <w:widowControl/>
              <w:spacing w:line="320" w:lineRule="exact"/>
              <w:jc w:val="center"/>
              <w:rPr>
                <w:rFonts w:hint="default" w:ascii="Times New Roman" w:hAnsi="Times New Roman" w:eastAsia="仿宋_GB2312"/>
                <w:kern w:val="0"/>
                <w:sz w:val="24"/>
                <w:szCs w:val="24"/>
                <w:lang w:val="en-US" w:eastAsia="zh-CN"/>
              </w:rPr>
            </w:pPr>
            <w:r>
              <w:rPr>
                <w:rFonts w:ascii="Times New Roman" w:hAnsi="Times New Roman" w:eastAsia="仿宋_GB2312"/>
                <w:kern w:val="0"/>
                <w:sz w:val="24"/>
                <w:szCs w:val="24"/>
              </w:rPr>
              <w:t>≥</w:t>
            </w:r>
            <w:r>
              <w:rPr>
                <w:rFonts w:hint="eastAsia" w:ascii="Times New Roman" w:hAnsi="Times New Roman" w:eastAsia="仿宋_GB2312"/>
                <w:kern w:val="0"/>
                <w:sz w:val="24"/>
                <w:szCs w:val="24"/>
                <w:lang w:val="en-US" w:eastAsia="zh-CN"/>
              </w:rPr>
              <w:t>85</w:t>
            </w:r>
          </w:p>
        </w:tc>
        <w:tc>
          <w:tcPr>
            <w:tcW w:w="773" w:type="dxa"/>
            <w:vAlign w:val="center"/>
          </w:tcPr>
          <w:p w14:paraId="6D03743E">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约束性</w:t>
            </w:r>
          </w:p>
        </w:tc>
        <w:tc>
          <w:tcPr>
            <w:tcW w:w="1261" w:type="dxa"/>
            <w:vAlign w:val="center"/>
          </w:tcPr>
          <w:p w14:paraId="3F8FC2F8">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县城市管理局</w:t>
            </w:r>
          </w:p>
        </w:tc>
      </w:tr>
      <w:tr w14:paraId="7B3F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51" w:type="dxa"/>
            <w:vMerge w:val="continue"/>
            <w:vAlign w:val="center"/>
          </w:tcPr>
          <w:p w14:paraId="4C16AFF2">
            <w:pPr>
              <w:pStyle w:val="2"/>
              <w:spacing w:before="0" w:line="300" w:lineRule="exact"/>
              <w:jc w:val="center"/>
              <w:rPr>
                <w:rFonts w:ascii="Times New Roman" w:hAnsi="Times New Roman" w:eastAsia="仿宋_GB2312"/>
                <w:szCs w:val="24"/>
              </w:rPr>
            </w:pPr>
          </w:p>
        </w:tc>
        <w:tc>
          <w:tcPr>
            <w:tcW w:w="609" w:type="dxa"/>
            <w:vAlign w:val="center"/>
          </w:tcPr>
          <w:p w14:paraId="3185D0EE">
            <w:pPr>
              <w:pStyle w:val="2"/>
              <w:spacing w:before="0" w:line="320" w:lineRule="exact"/>
              <w:jc w:val="center"/>
              <w:rPr>
                <w:rFonts w:ascii="Times New Roman" w:hAnsi="Times New Roman" w:eastAsia="仿宋_GB2312"/>
                <w:szCs w:val="24"/>
              </w:rPr>
            </w:pPr>
            <w:r>
              <w:rPr>
                <w:rFonts w:ascii="Times New Roman" w:hAnsi="Times New Roman" w:eastAsia="仿宋_GB2312"/>
                <w:szCs w:val="24"/>
              </w:rPr>
              <w:t>4</w:t>
            </w:r>
          </w:p>
        </w:tc>
        <w:tc>
          <w:tcPr>
            <w:tcW w:w="1787" w:type="dxa"/>
            <w:vAlign w:val="center"/>
          </w:tcPr>
          <w:p w14:paraId="51F7FFFD">
            <w:pPr>
              <w:widowControl/>
              <w:spacing w:line="320" w:lineRule="exact"/>
              <w:rPr>
                <w:rFonts w:ascii="Times New Roman" w:hAnsi="Times New Roman" w:eastAsia="仿宋_GB2312"/>
                <w:kern w:val="0"/>
                <w:sz w:val="24"/>
                <w:szCs w:val="24"/>
              </w:rPr>
            </w:pPr>
            <w:r>
              <w:rPr>
                <w:rFonts w:ascii="Times New Roman" w:hAnsi="Times New Roman" w:eastAsia="仿宋_GB2312"/>
                <w:kern w:val="0"/>
                <w:sz w:val="24"/>
                <w:szCs w:val="24"/>
              </w:rPr>
              <w:t>人均公园绿地面积（㎡）</w:t>
            </w:r>
          </w:p>
        </w:tc>
        <w:tc>
          <w:tcPr>
            <w:tcW w:w="1006" w:type="dxa"/>
            <w:vAlign w:val="center"/>
          </w:tcPr>
          <w:p w14:paraId="67794F44">
            <w:pPr>
              <w:widowControl/>
              <w:spacing w:line="320" w:lineRule="exact"/>
              <w:jc w:val="center"/>
              <w:rPr>
                <w:rFonts w:hint="eastAsia" w:ascii="Times New Roman" w:hAnsi="Times New Roman" w:eastAsia="仿宋_GB2312"/>
                <w:kern w:val="0"/>
                <w:sz w:val="24"/>
                <w:szCs w:val="24"/>
                <w:lang w:eastAsia="zh-CN"/>
              </w:rPr>
            </w:pPr>
            <w:r>
              <w:rPr>
                <w:rFonts w:hint="eastAsia" w:ascii="Times New Roman" w:hAnsi="Times New Roman" w:eastAsia="仿宋_GB2312"/>
                <w:kern w:val="0"/>
                <w:sz w:val="24"/>
                <w:szCs w:val="24"/>
                <w:lang w:val="en-US" w:eastAsia="zh-CN"/>
              </w:rPr>
              <w:t>9</w:t>
            </w:r>
          </w:p>
        </w:tc>
        <w:tc>
          <w:tcPr>
            <w:tcW w:w="1073" w:type="dxa"/>
            <w:vAlign w:val="center"/>
          </w:tcPr>
          <w:p w14:paraId="09E1E8C5">
            <w:pPr>
              <w:widowControl/>
              <w:spacing w:line="320" w:lineRule="exact"/>
              <w:jc w:val="center"/>
              <w:rPr>
                <w:rFonts w:hint="eastAsia" w:ascii="Times New Roman" w:hAnsi="Times New Roman" w:eastAsia="仿宋_GB2312"/>
                <w:kern w:val="0"/>
                <w:sz w:val="24"/>
                <w:szCs w:val="24"/>
                <w:lang w:eastAsia="zh-CN"/>
              </w:rPr>
            </w:pPr>
            <w:r>
              <w:rPr>
                <w:rFonts w:ascii="Times New Roman" w:hAnsi="Times New Roman" w:eastAsia="仿宋_GB2312"/>
                <w:kern w:val="0"/>
                <w:sz w:val="24"/>
                <w:szCs w:val="24"/>
              </w:rPr>
              <w:t>≥1</w:t>
            </w:r>
            <w:r>
              <w:rPr>
                <w:rFonts w:hint="eastAsia" w:ascii="Times New Roman" w:hAnsi="Times New Roman" w:eastAsia="仿宋_GB2312"/>
                <w:kern w:val="0"/>
                <w:sz w:val="24"/>
                <w:szCs w:val="24"/>
                <w:lang w:val="en-US" w:eastAsia="zh-CN"/>
              </w:rPr>
              <w:t>2</w:t>
            </w:r>
          </w:p>
        </w:tc>
        <w:tc>
          <w:tcPr>
            <w:tcW w:w="1170" w:type="dxa"/>
            <w:vAlign w:val="center"/>
          </w:tcPr>
          <w:p w14:paraId="140ED794">
            <w:pPr>
              <w:widowControl/>
              <w:spacing w:line="320" w:lineRule="exact"/>
              <w:jc w:val="center"/>
              <w:rPr>
                <w:rFonts w:hint="eastAsia" w:ascii="Times New Roman" w:hAnsi="Times New Roman" w:eastAsia="仿宋_GB2312"/>
                <w:kern w:val="0"/>
                <w:sz w:val="24"/>
                <w:szCs w:val="24"/>
                <w:lang w:eastAsia="zh-CN"/>
              </w:rPr>
            </w:pPr>
            <w:r>
              <w:rPr>
                <w:rFonts w:ascii="Times New Roman" w:hAnsi="Times New Roman" w:eastAsia="仿宋_GB2312"/>
                <w:kern w:val="0"/>
                <w:sz w:val="24"/>
                <w:szCs w:val="24"/>
              </w:rPr>
              <w:t>≥1</w:t>
            </w:r>
            <w:r>
              <w:rPr>
                <w:rFonts w:hint="eastAsia" w:ascii="Times New Roman" w:hAnsi="Times New Roman" w:eastAsia="仿宋_GB2312"/>
                <w:kern w:val="0"/>
                <w:sz w:val="24"/>
                <w:szCs w:val="24"/>
                <w:lang w:val="en-US" w:eastAsia="zh-CN"/>
              </w:rPr>
              <w:t>3</w:t>
            </w:r>
          </w:p>
        </w:tc>
        <w:tc>
          <w:tcPr>
            <w:tcW w:w="1095" w:type="dxa"/>
            <w:vAlign w:val="center"/>
          </w:tcPr>
          <w:p w14:paraId="4B055551">
            <w:pPr>
              <w:widowControl/>
              <w:spacing w:line="320" w:lineRule="exact"/>
              <w:jc w:val="center"/>
              <w:rPr>
                <w:rFonts w:hint="eastAsia" w:ascii="Times New Roman" w:hAnsi="Times New Roman" w:eastAsia="仿宋_GB2312"/>
                <w:kern w:val="0"/>
                <w:sz w:val="24"/>
                <w:szCs w:val="24"/>
                <w:lang w:eastAsia="zh-CN"/>
              </w:rPr>
            </w:pPr>
            <w:r>
              <w:rPr>
                <w:rFonts w:ascii="Times New Roman" w:hAnsi="Times New Roman" w:eastAsia="仿宋_GB2312"/>
                <w:kern w:val="0"/>
                <w:sz w:val="24"/>
                <w:szCs w:val="24"/>
              </w:rPr>
              <w:t>≥1</w:t>
            </w:r>
            <w:r>
              <w:rPr>
                <w:rFonts w:hint="eastAsia" w:ascii="Times New Roman" w:hAnsi="Times New Roman" w:eastAsia="仿宋_GB2312"/>
                <w:kern w:val="0"/>
                <w:sz w:val="24"/>
                <w:szCs w:val="24"/>
                <w:lang w:val="en-US" w:eastAsia="zh-CN"/>
              </w:rPr>
              <w:t>4</w:t>
            </w:r>
          </w:p>
        </w:tc>
        <w:tc>
          <w:tcPr>
            <w:tcW w:w="773" w:type="dxa"/>
            <w:vAlign w:val="center"/>
          </w:tcPr>
          <w:p w14:paraId="399A24F7">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约束性</w:t>
            </w:r>
          </w:p>
        </w:tc>
        <w:tc>
          <w:tcPr>
            <w:tcW w:w="1261" w:type="dxa"/>
            <w:vAlign w:val="center"/>
          </w:tcPr>
          <w:p w14:paraId="495F761E">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县城市管理局</w:t>
            </w:r>
          </w:p>
        </w:tc>
      </w:tr>
      <w:tr w14:paraId="3E4D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126389CE">
            <w:pPr>
              <w:pStyle w:val="2"/>
              <w:spacing w:before="0" w:line="300" w:lineRule="exact"/>
              <w:jc w:val="center"/>
              <w:rPr>
                <w:rFonts w:ascii="Times New Roman" w:hAnsi="Times New Roman" w:eastAsia="仿宋_GB2312"/>
                <w:szCs w:val="24"/>
              </w:rPr>
            </w:pPr>
          </w:p>
        </w:tc>
        <w:tc>
          <w:tcPr>
            <w:tcW w:w="609" w:type="dxa"/>
            <w:vAlign w:val="center"/>
          </w:tcPr>
          <w:p w14:paraId="12610241">
            <w:pPr>
              <w:pStyle w:val="2"/>
              <w:spacing w:before="0" w:line="320" w:lineRule="exact"/>
              <w:jc w:val="center"/>
              <w:rPr>
                <w:rFonts w:ascii="Times New Roman" w:hAnsi="Times New Roman" w:eastAsia="仿宋_GB2312"/>
                <w:szCs w:val="24"/>
              </w:rPr>
            </w:pPr>
            <w:r>
              <w:rPr>
                <w:rFonts w:ascii="Times New Roman" w:hAnsi="Times New Roman" w:eastAsia="仿宋_GB2312"/>
                <w:szCs w:val="24"/>
              </w:rPr>
              <w:t>5</w:t>
            </w:r>
          </w:p>
        </w:tc>
        <w:tc>
          <w:tcPr>
            <w:tcW w:w="1787" w:type="dxa"/>
            <w:vAlign w:val="center"/>
          </w:tcPr>
          <w:p w14:paraId="43776335">
            <w:pPr>
              <w:widowControl/>
              <w:spacing w:line="320" w:lineRule="exact"/>
              <w:rPr>
                <w:rFonts w:ascii="Times New Roman" w:hAnsi="Times New Roman" w:eastAsia="仿宋_GB2312"/>
                <w:kern w:val="0"/>
                <w:sz w:val="24"/>
                <w:szCs w:val="24"/>
              </w:rPr>
            </w:pPr>
            <w:r>
              <w:rPr>
                <w:rFonts w:ascii="Times New Roman" w:hAnsi="Times New Roman" w:eastAsia="仿宋_GB2312"/>
                <w:kern w:val="0"/>
                <w:sz w:val="24"/>
                <w:szCs w:val="24"/>
              </w:rPr>
              <w:t>绿道里程（公里）</w:t>
            </w:r>
          </w:p>
        </w:tc>
        <w:tc>
          <w:tcPr>
            <w:tcW w:w="1006" w:type="dxa"/>
            <w:vAlign w:val="center"/>
          </w:tcPr>
          <w:p w14:paraId="001FE616">
            <w:pPr>
              <w:widowControl/>
              <w:spacing w:line="320" w:lineRule="exact"/>
              <w:jc w:val="center"/>
              <w:rPr>
                <w:rFonts w:hint="eastAsia" w:ascii="Times New Roman" w:hAnsi="Times New Roman" w:eastAsia="仿宋_GB2312"/>
                <w:kern w:val="0"/>
                <w:sz w:val="24"/>
                <w:szCs w:val="24"/>
                <w:lang w:eastAsia="zh-CN"/>
              </w:rPr>
            </w:pPr>
            <w:r>
              <w:rPr>
                <w:rFonts w:hint="eastAsia" w:ascii="Times New Roman" w:hAnsi="Times New Roman" w:eastAsia="仿宋_GB2312"/>
                <w:kern w:val="0"/>
                <w:sz w:val="24"/>
                <w:szCs w:val="24"/>
                <w:lang w:val="en-US" w:eastAsia="zh-CN"/>
              </w:rPr>
              <w:t>2</w:t>
            </w:r>
          </w:p>
        </w:tc>
        <w:tc>
          <w:tcPr>
            <w:tcW w:w="1073" w:type="dxa"/>
            <w:vAlign w:val="center"/>
          </w:tcPr>
          <w:p w14:paraId="4969C291">
            <w:pPr>
              <w:widowControl/>
              <w:spacing w:line="320" w:lineRule="exact"/>
              <w:jc w:val="center"/>
              <w:rPr>
                <w:rFonts w:hint="eastAsia" w:ascii="Times New Roman" w:hAnsi="Times New Roman" w:eastAsia="仿宋_GB2312"/>
                <w:kern w:val="0"/>
                <w:sz w:val="24"/>
                <w:szCs w:val="24"/>
                <w:lang w:val="en-US" w:eastAsia="zh-CN"/>
              </w:rPr>
            </w:pPr>
            <w:r>
              <w:rPr>
                <w:rFonts w:ascii="Times New Roman" w:hAnsi="Times New Roman" w:eastAsia="仿宋_GB2312"/>
                <w:kern w:val="0"/>
                <w:sz w:val="24"/>
                <w:szCs w:val="24"/>
              </w:rPr>
              <w:t>≥</w:t>
            </w:r>
            <w:r>
              <w:rPr>
                <w:rFonts w:hint="eastAsia" w:ascii="Times New Roman" w:hAnsi="Times New Roman" w:eastAsia="仿宋_GB2312"/>
                <w:kern w:val="0"/>
                <w:sz w:val="24"/>
                <w:szCs w:val="24"/>
                <w:lang w:val="en-US" w:eastAsia="zh-CN"/>
              </w:rPr>
              <w:t>3</w:t>
            </w:r>
          </w:p>
        </w:tc>
        <w:tc>
          <w:tcPr>
            <w:tcW w:w="1170" w:type="dxa"/>
            <w:vAlign w:val="center"/>
          </w:tcPr>
          <w:p w14:paraId="3E4C2769">
            <w:pPr>
              <w:widowControl/>
              <w:spacing w:line="320" w:lineRule="exact"/>
              <w:jc w:val="center"/>
              <w:rPr>
                <w:rFonts w:hint="default" w:ascii="Times New Roman" w:hAnsi="Times New Roman" w:eastAsia="仿宋_GB2312"/>
                <w:kern w:val="0"/>
                <w:sz w:val="24"/>
                <w:szCs w:val="24"/>
                <w:lang w:val="en-US" w:eastAsia="zh-CN"/>
              </w:rPr>
            </w:pPr>
            <w:r>
              <w:rPr>
                <w:rFonts w:ascii="Times New Roman" w:hAnsi="Times New Roman" w:eastAsia="仿宋_GB2312"/>
                <w:kern w:val="0"/>
                <w:sz w:val="24"/>
                <w:szCs w:val="24"/>
              </w:rPr>
              <w:t>≥</w:t>
            </w:r>
            <w:r>
              <w:rPr>
                <w:rFonts w:hint="eastAsia" w:ascii="Times New Roman" w:hAnsi="Times New Roman" w:eastAsia="仿宋_GB2312"/>
                <w:kern w:val="0"/>
                <w:sz w:val="24"/>
                <w:szCs w:val="24"/>
                <w:lang w:val="en-US" w:eastAsia="zh-CN"/>
              </w:rPr>
              <w:t>4</w:t>
            </w:r>
          </w:p>
        </w:tc>
        <w:tc>
          <w:tcPr>
            <w:tcW w:w="1095" w:type="dxa"/>
            <w:vAlign w:val="center"/>
          </w:tcPr>
          <w:p w14:paraId="27C7FEDA">
            <w:pPr>
              <w:widowControl/>
              <w:spacing w:line="320" w:lineRule="exact"/>
              <w:jc w:val="center"/>
              <w:rPr>
                <w:rFonts w:hint="default" w:ascii="Times New Roman" w:hAnsi="Times New Roman" w:eastAsia="仿宋_GB2312"/>
                <w:kern w:val="0"/>
                <w:sz w:val="24"/>
                <w:szCs w:val="24"/>
                <w:lang w:val="en-US" w:eastAsia="zh-CN"/>
              </w:rPr>
            </w:pPr>
            <w:r>
              <w:rPr>
                <w:rFonts w:ascii="Times New Roman" w:hAnsi="Times New Roman" w:eastAsia="仿宋_GB2312"/>
                <w:kern w:val="0"/>
                <w:sz w:val="24"/>
                <w:szCs w:val="24"/>
              </w:rPr>
              <w:t>≥</w:t>
            </w:r>
            <w:r>
              <w:rPr>
                <w:rFonts w:hint="eastAsia" w:ascii="Times New Roman" w:hAnsi="Times New Roman" w:eastAsia="仿宋_GB2312"/>
                <w:kern w:val="0"/>
                <w:sz w:val="24"/>
                <w:szCs w:val="24"/>
                <w:lang w:val="en-US" w:eastAsia="zh-CN"/>
              </w:rPr>
              <w:t>5</w:t>
            </w:r>
          </w:p>
        </w:tc>
        <w:tc>
          <w:tcPr>
            <w:tcW w:w="773" w:type="dxa"/>
            <w:vAlign w:val="center"/>
          </w:tcPr>
          <w:p w14:paraId="4547CF99">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约束性</w:t>
            </w:r>
          </w:p>
        </w:tc>
        <w:tc>
          <w:tcPr>
            <w:tcW w:w="1261" w:type="dxa"/>
            <w:vAlign w:val="center"/>
          </w:tcPr>
          <w:p w14:paraId="775C4B92">
            <w:pPr>
              <w:widowControl/>
              <w:spacing w:line="320" w:lineRule="exact"/>
              <w:jc w:val="center"/>
              <w:rPr>
                <w:rFonts w:hint="default" w:ascii="Times New Roman" w:hAnsi="Times New Roman" w:eastAsia="仿宋_GB2312"/>
                <w:kern w:val="0"/>
                <w:sz w:val="24"/>
                <w:szCs w:val="24"/>
                <w:lang w:val="en-US"/>
              </w:rPr>
            </w:pPr>
            <w:r>
              <w:rPr>
                <w:rFonts w:hint="eastAsia" w:ascii="Times New Roman" w:hAnsi="Times New Roman" w:eastAsia="仿宋_GB2312"/>
                <w:sz w:val="24"/>
                <w:szCs w:val="24"/>
                <w:highlight w:val="none"/>
                <w:lang w:val="en-US" w:eastAsia="zh-CN"/>
              </w:rPr>
              <w:t>县</w:t>
            </w:r>
            <w:r>
              <w:rPr>
                <w:rFonts w:ascii="Times New Roman" w:hAnsi="Times New Roman" w:eastAsia="仿宋_GB2312"/>
                <w:sz w:val="24"/>
                <w:szCs w:val="24"/>
                <w:highlight w:val="none"/>
              </w:rPr>
              <w:t>住房城乡建设局</w:t>
            </w:r>
            <w:r>
              <w:rPr>
                <w:rFonts w:hint="eastAsia" w:ascii="Times New Roman" w:hAnsi="Times New Roman" w:eastAsia="仿宋_GB2312"/>
                <w:kern w:val="0"/>
                <w:sz w:val="24"/>
                <w:szCs w:val="24"/>
                <w:lang w:val="en-US" w:eastAsia="zh-CN"/>
              </w:rPr>
              <w:t xml:space="preserve">                                                                                                                                                                                         </w:t>
            </w:r>
          </w:p>
        </w:tc>
      </w:tr>
      <w:tr w14:paraId="10AD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389081D1">
            <w:pPr>
              <w:pStyle w:val="2"/>
              <w:spacing w:before="0" w:line="300" w:lineRule="exact"/>
              <w:jc w:val="center"/>
              <w:rPr>
                <w:rFonts w:ascii="Times New Roman" w:hAnsi="Times New Roman" w:eastAsia="仿宋_GB2312"/>
                <w:szCs w:val="24"/>
              </w:rPr>
            </w:pPr>
          </w:p>
        </w:tc>
        <w:tc>
          <w:tcPr>
            <w:tcW w:w="609" w:type="dxa"/>
            <w:vAlign w:val="center"/>
          </w:tcPr>
          <w:p w14:paraId="390A5D48">
            <w:pPr>
              <w:pStyle w:val="2"/>
              <w:spacing w:before="0" w:line="320" w:lineRule="exact"/>
              <w:jc w:val="center"/>
              <w:rPr>
                <w:rFonts w:ascii="Times New Roman" w:hAnsi="Times New Roman" w:eastAsia="仿宋_GB2312"/>
                <w:szCs w:val="24"/>
              </w:rPr>
            </w:pPr>
            <w:r>
              <w:rPr>
                <w:rFonts w:ascii="Times New Roman" w:hAnsi="Times New Roman" w:eastAsia="仿宋_GB2312"/>
                <w:szCs w:val="24"/>
              </w:rPr>
              <w:t>6</w:t>
            </w:r>
          </w:p>
        </w:tc>
        <w:tc>
          <w:tcPr>
            <w:tcW w:w="1787" w:type="dxa"/>
            <w:vAlign w:val="center"/>
          </w:tcPr>
          <w:p w14:paraId="7D3DB121">
            <w:pPr>
              <w:widowControl/>
              <w:spacing w:line="320" w:lineRule="exact"/>
              <w:rPr>
                <w:rFonts w:hint="eastAsia" w:ascii="Times New Roman" w:hAnsi="Times New Roman" w:eastAsia="仿宋_GB2312"/>
                <w:sz w:val="24"/>
                <w:szCs w:val="24"/>
                <w:lang w:eastAsia="zh-CN"/>
              </w:rPr>
            </w:pPr>
            <w:r>
              <w:rPr>
                <w:rFonts w:ascii="Times New Roman" w:hAnsi="Times New Roman" w:eastAsia="仿宋_GB2312"/>
                <w:sz w:val="24"/>
                <w:szCs w:val="24"/>
              </w:rPr>
              <w:t>城镇绿色建筑占新建建筑比重</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lang w:val="en-US" w:eastAsia="zh-CN"/>
              </w:rPr>
              <w:t>%</w:t>
            </w:r>
            <w:r>
              <w:rPr>
                <w:rFonts w:hint="eastAsia" w:ascii="Times New Roman" w:hAnsi="Times New Roman" w:eastAsia="仿宋_GB2312"/>
                <w:sz w:val="24"/>
                <w:szCs w:val="24"/>
                <w:lang w:eastAsia="zh-CN"/>
              </w:rPr>
              <w:t>）</w:t>
            </w:r>
          </w:p>
        </w:tc>
        <w:tc>
          <w:tcPr>
            <w:tcW w:w="1006" w:type="dxa"/>
            <w:vAlign w:val="center"/>
          </w:tcPr>
          <w:p w14:paraId="46C504CB">
            <w:pPr>
              <w:widowControl/>
              <w:spacing w:line="32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85</w:t>
            </w:r>
          </w:p>
        </w:tc>
        <w:tc>
          <w:tcPr>
            <w:tcW w:w="1073" w:type="dxa"/>
            <w:vAlign w:val="center"/>
          </w:tcPr>
          <w:p w14:paraId="3ADAAE03">
            <w:pPr>
              <w:widowControl/>
              <w:spacing w:line="320" w:lineRule="exact"/>
              <w:jc w:val="center"/>
              <w:rPr>
                <w:rFonts w:hint="default" w:ascii="Times New Roman" w:hAnsi="Times New Roman" w:eastAsia="仿宋_GB2312"/>
                <w:sz w:val="24"/>
                <w:szCs w:val="24"/>
                <w:lang w:val="en-US"/>
              </w:rPr>
            </w:pPr>
            <w:r>
              <w:rPr>
                <w:rFonts w:ascii="Times New Roman" w:hAnsi="Times New Roman" w:eastAsia="仿宋_GB2312"/>
                <w:kern w:val="0"/>
                <w:sz w:val="24"/>
                <w:szCs w:val="24"/>
              </w:rPr>
              <w:t>≥</w:t>
            </w:r>
            <w:r>
              <w:rPr>
                <w:rFonts w:hint="eastAsia" w:ascii="Times New Roman" w:hAnsi="Times New Roman" w:eastAsia="仿宋_GB2312"/>
                <w:kern w:val="0"/>
                <w:sz w:val="24"/>
                <w:szCs w:val="24"/>
                <w:lang w:val="en-US" w:eastAsia="zh-CN"/>
              </w:rPr>
              <w:t>90</w:t>
            </w:r>
          </w:p>
        </w:tc>
        <w:tc>
          <w:tcPr>
            <w:tcW w:w="1170" w:type="dxa"/>
            <w:vAlign w:val="center"/>
          </w:tcPr>
          <w:p w14:paraId="6DE3E16E">
            <w:pPr>
              <w:widowControl/>
              <w:spacing w:line="320" w:lineRule="exact"/>
              <w:jc w:val="center"/>
              <w:rPr>
                <w:rFonts w:hint="default" w:ascii="Times New Roman" w:hAnsi="Times New Roman" w:eastAsia="仿宋_GB2312"/>
                <w:sz w:val="24"/>
                <w:szCs w:val="24"/>
                <w:lang w:val="en-US" w:eastAsia="zh-CN"/>
              </w:rPr>
            </w:pPr>
            <w:r>
              <w:rPr>
                <w:rFonts w:ascii="Times New Roman" w:hAnsi="Times New Roman" w:eastAsia="仿宋_GB2312"/>
                <w:kern w:val="0"/>
                <w:sz w:val="24"/>
                <w:szCs w:val="24"/>
              </w:rPr>
              <w:t>≥</w:t>
            </w:r>
            <w:r>
              <w:rPr>
                <w:rFonts w:hint="eastAsia" w:ascii="Times New Roman" w:hAnsi="Times New Roman" w:eastAsia="仿宋_GB2312"/>
                <w:kern w:val="0"/>
                <w:sz w:val="24"/>
                <w:szCs w:val="24"/>
                <w:lang w:val="en-US" w:eastAsia="zh-CN"/>
              </w:rPr>
              <w:t>90</w:t>
            </w:r>
          </w:p>
        </w:tc>
        <w:tc>
          <w:tcPr>
            <w:tcW w:w="1095" w:type="dxa"/>
            <w:vAlign w:val="center"/>
          </w:tcPr>
          <w:p w14:paraId="3E9E1520">
            <w:pPr>
              <w:widowControl/>
              <w:spacing w:line="320" w:lineRule="exact"/>
              <w:jc w:val="center"/>
              <w:rPr>
                <w:rFonts w:hint="default" w:ascii="Times New Roman" w:hAnsi="Times New Roman" w:eastAsia="仿宋_GB2312"/>
                <w:sz w:val="24"/>
                <w:szCs w:val="24"/>
                <w:lang w:val="en-US" w:eastAsia="zh-CN"/>
              </w:rPr>
            </w:pPr>
            <w:r>
              <w:rPr>
                <w:rFonts w:ascii="Times New Roman" w:hAnsi="Times New Roman" w:eastAsia="仿宋_GB2312"/>
                <w:sz w:val="24"/>
                <w:szCs w:val="24"/>
              </w:rPr>
              <w:t>≥</w:t>
            </w:r>
            <w:r>
              <w:rPr>
                <w:rFonts w:hint="eastAsia" w:ascii="Times New Roman" w:hAnsi="Times New Roman" w:eastAsia="仿宋_GB2312"/>
                <w:sz w:val="24"/>
                <w:szCs w:val="24"/>
                <w:lang w:val="en-US" w:eastAsia="zh-CN"/>
              </w:rPr>
              <w:t>95</w:t>
            </w:r>
          </w:p>
        </w:tc>
        <w:tc>
          <w:tcPr>
            <w:tcW w:w="773" w:type="dxa"/>
            <w:vAlign w:val="center"/>
          </w:tcPr>
          <w:p w14:paraId="254AC182">
            <w:pPr>
              <w:widowControl/>
              <w:spacing w:line="320" w:lineRule="exact"/>
              <w:jc w:val="center"/>
              <w:rPr>
                <w:rFonts w:ascii="Times New Roman" w:hAnsi="Times New Roman" w:eastAsia="仿宋_GB2312"/>
                <w:sz w:val="24"/>
                <w:szCs w:val="24"/>
              </w:rPr>
            </w:pPr>
            <w:r>
              <w:rPr>
                <w:rFonts w:ascii="Times New Roman" w:hAnsi="Times New Roman" w:eastAsia="仿宋_GB2312"/>
                <w:kern w:val="0"/>
                <w:sz w:val="24"/>
                <w:szCs w:val="24"/>
              </w:rPr>
              <w:t>约束性</w:t>
            </w:r>
          </w:p>
        </w:tc>
        <w:tc>
          <w:tcPr>
            <w:tcW w:w="1261" w:type="dxa"/>
            <w:vAlign w:val="center"/>
          </w:tcPr>
          <w:p w14:paraId="7E52F8A8">
            <w:pPr>
              <w:widowControl/>
              <w:spacing w:line="320" w:lineRule="exact"/>
              <w:jc w:val="center"/>
              <w:rPr>
                <w:rFonts w:ascii="Times New Roman" w:hAnsi="Times New Roman" w:eastAsia="仿宋_GB2312"/>
                <w:sz w:val="24"/>
                <w:szCs w:val="24"/>
              </w:rPr>
            </w:pPr>
            <w:r>
              <w:rPr>
                <w:rFonts w:hint="eastAsia" w:ascii="Times New Roman" w:hAnsi="Times New Roman" w:eastAsia="仿宋_GB2312"/>
                <w:sz w:val="24"/>
                <w:szCs w:val="24"/>
                <w:lang w:val="en-US" w:eastAsia="zh-CN"/>
              </w:rPr>
              <w:t>县</w:t>
            </w:r>
            <w:r>
              <w:rPr>
                <w:rFonts w:ascii="Times New Roman" w:hAnsi="Times New Roman" w:eastAsia="仿宋_GB2312"/>
                <w:sz w:val="24"/>
                <w:szCs w:val="24"/>
              </w:rPr>
              <w:t>住房城乡建设局</w:t>
            </w:r>
          </w:p>
        </w:tc>
      </w:tr>
      <w:tr w14:paraId="2BB0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74FF8987">
            <w:pPr>
              <w:pStyle w:val="2"/>
              <w:spacing w:before="0" w:line="300" w:lineRule="exact"/>
              <w:jc w:val="center"/>
              <w:rPr>
                <w:rFonts w:ascii="Times New Roman" w:hAnsi="Times New Roman" w:eastAsia="仿宋_GB2312"/>
                <w:szCs w:val="24"/>
              </w:rPr>
            </w:pPr>
          </w:p>
        </w:tc>
        <w:tc>
          <w:tcPr>
            <w:tcW w:w="609" w:type="dxa"/>
            <w:vAlign w:val="center"/>
          </w:tcPr>
          <w:p w14:paraId="36026DF3">
            <w:pPr>
              <w:pStyle w:val="2"/>
              <w:spacing w:before="0" w:line="320" w:lineRule="exact"/>
              <w:jc w:val="center"/>
              <w:rPr>
                <w:rFonts w:ascii="Times New Roman" w:hAnsi="Times New Roman" w:eastAsia="仿宋_GB2312"/>
                <w:szCs w:val="24"/>
              </w:rPr>
            </w:pPr>
            <w:r>
              <w:rPr>
                <w:rFonts w:ascii="Times New Roman" w:hAnsi="Times New Roman" w:eastAsia="仿宋_GB2312"/>
                <w:szCs w:val="24"/>
              </w:rPr>
              <w:t>7</w:t>
            </w:r>
          </w:p>
        </w:tc>
        <w:tc>
          <w:tcPr>
            <w:tcW w:w="1787" w:type="dxa"/>
            <w:vAlign w:val="center"/>
          </w:tcPr>
          <w:p w14:paraId="69959EC7">
            <w:pPr>
              <w:widowControl/>
              <w:spacing w:line="320" w:lineRule="exact"/>
              <w:rPr>
                <w:rFonts w:ascii="Times New Roman" w:hAnsi="Times New Roman" w:eastAsia="仿宋_GB2312"/>
                <w:sz w:val="24"/>
                <w:szCs w:val="24"/>
              </w:rPr>
            </w:pPr>
            <w:r>
              <w:rPr>
                <w:rFonts w:ascii="Times New Roman" w:hAnsi="Times New Roman" w:eastAsia="仿宋_GB2312"/>
                <w:sz w:val="24"/>
                <w:szCs w:val="24"/>
              </w:rPr>
              <w:t>城市林荫路覆盖率（%）</w:t>
            </w:r>
          </w:p>
        </w:tc>
        <w:tc>
          <w:tcPr>
            <w:tcW w:w="1006" w:type="dxa"/>
            <w:vAlign w:val="center"/>
          </w:tcPr>
          <w:p w14:paraId="753D19B8">
            <w:pPr>
              <w:widowControl/>
              <w:spacing w:line="32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70</w:t>
            </w:r>
          </w:p>
        </w:tc>
        <w:tc>
          <w:tcPr>
            <w:tcW w:w="1073" w:type="dxa"/>
            <w:vAlign w:val="center"/>
          </w:tcPr>
          <w:p w14:paraId="2B97C810">
            <w:pPr>
              <w:widowControl/>
              <w:spacing w:line="320" w:lineRule="exact"/>
              <w:jc w:val="center"/>
              <w:rPr>
                <w:rFonts w:hint="default" w:ascii="Times New Roman" w:hAnsi="Times New Roman" w:eastAsia="仿宋_GB2312"/>
                <w:sz w:val="24"/>
                <w:szCs w:val="24"/>
                <w:lang w:val="en-US" w:eastAsia="zh-CN"/>
              </w:rPr>
            </w:pPr>
            <w:r>
              <w:rPr>
                <w:rFonts w:ascii="Times New Roman" w:hAnsi="Times New Roman" w:eastAsia="仿宋_GB2312"/>
                <w:kern w:val="0"/>
                <w:sz w:val="24"/>
                <w:szCs w:val="24"/>
              </w:rPr>
              <w:t>≥</w:t>
            </w:r>
            <w:r>
              <w:rPr>
                <w:rFonts w:hint="eastAsia" w:ascii="Times New Roman" w:hAnsi="Times New Roman" w:eastAsia="仿宋_GB2312"/>
                <w:kern w:val="0"/>
                <w:sz w:val="24"/>
                <w:szCs w:val="24"/>
                <w:lang w:val="en-US" w:eastAsia="zh-CN"/>
              </w:rPr>
              <w:t>71</w:t>
            </w:r>
          </w:p>
        </w:tc>
        <w:tc>
          <w:tcPr>
            <w:tcW w:w="1170" w:type="dxa"/>
            <w:vAlign w:val="center"/>
          </w:tcPr>
          <w:p w14:paraId="57C1DDE1">
            <w:pPr>
              <w:widowControl/>
              <w:spacing w:line="320" w:lineRule="exact"/>
              <w:jc w:val="center"/>
              <w:rPr>
                <w:rFonts w:hint="default" w:ascii="Times New Roman" w:hAnsi="Times New Roman" w:eastAsia="仿宋_GB2312"/>
                <w:sz w:val="24"/>
                <w:szCs w:val="24"/>
                <w:lang w:val="en-US" w:eastAsia="zh-CN"/>
              </w:rPr>
            </w:pPr>
            <w:r>
              <w:rPr>
                <w:rFonts w:ascii="Times New Roman" w:hAnsi="Times New Roman" w:eastAsia="仿宋_GB2312"/>
                <w:kern w:val="0"/>
                <w:sz w:val="24"/>
                <w:szCs w:val="24"/>
              </w:rPr>
              <w:t>≥</w:t>
            </w:r>
            <w:r>
              <w:rPr>
                <w:rFonts w:hint="eastAsia" w:ascii="Times New Roman" w:hAnsi="Times New Roman" w:eastAsia="仿宋_GB2312"/>
                <w:kern w:val="0"/>
                <w:sz w:val="24"/>
                <w:szCs w:val="24"/>
                <w:lang w:val="en-US" w:eastAsia="zh-CN"/>
              </w:rPr>
              <w:t>72</w:t>
            </w:r>
          </w:p>
        </w:tc>
        <w:tc>
          <w:tcPr>
            <w:tcW w:w="1095" w:type="dxa"/>
            <w:vAlign w:val="center"/>
          </w:tcPr>
          <w:p w14:paraId="0DB0A1C0">
            <w:pPr>
              <w:widowControl/>
              <w:spacing w:line="320" w:lineRule="exact"/>
              <w:jc w:val="center"/>
              <w:rPr>
                <w:rFonts w:hint="default" w:ascii="Times New Roman" w:hAnsi="Times New Roman" w:eastAsia="仿宋_GB2312"/>
                <w:sz w:val="24"/>
                <w:szCs w:val="24"/>
                <w:lang w:val="en-US" w:eastAsia="zh-CN"/>
              </w:rPr>
            </w:pPr>
            <w:r>
              <w:rPr>
                <w:rFonts w:ascii="Times New Roman" w:hAnsi="Times New Roman" w:eastAsia="仿宋_GB2312"/>
                <w:kern w:val="0"/>
                <w:sz w:val="24"/>
                <w:szCs w:val="24"/>
              </w:rPr>
              <w:t>≥</w:t>
            </w:r>
            <w:r>
              <w:rPr>
                <w:rFonts w:hint="eastAsia" w:ascii="Times New Roman" w:hAnsi="Times New Roman" w:eastAsia="仿宋_GB2312"/>
                <w:kern w:val="0"/>
                <w:sz w:val="24"/>
                <w:szCs w:val="24"/>
                <w:lang w:val="en-US" w:eastAsia="zh-CN"/>
              </w:rPr>
              <w:t>76</w:t>
            </w:r>
          </w:p>
        </w:tc>
        <w:tc>
          <w:tcPr>
            <w:tcW w:w="773" w:type="dxa"/>
            <w:vAlign w:val="center"/>
          </w:tcPr>
          <w:p w14:paraId="0493B028">
            <w:pPr>
              <w:widowControl/>
              <w:spacing w:line="320" w:lineRule="exact"/>
              <w:jc w:val="center"/>
              <w:rPr>
                <w:rFonts w:ascii="Times New Roman" w:hAnsi="Times New Roman" w:eastAsia="仿宋_GB2312"/>
                <w:kern w:val="0"/>
                <w:sz w:val="24"/>
                <w:szCs w:val="24"/>
              </w:rPr>
            </w:pPr>
            <w:r>
              <w:rPr>
                <w:rFonts w:ascii="Times New Roman" w:hAnsi="Times New Roman" w:eastAsia="仿宋_GB2312"/>
                <w:sz w:val="24"/>
                <w:szCs w:val="24"/>
              </w:rPr>
              <w:t>预期性</w:t>
            </w:r>
          </w:p>
        </w:tc>
        <w:tc>
          <w:tcPr>
            <w:tcW w:w="1261" w:type="dxa"/>
            <w:vAlign w:val="center"/>
          </w:tcPr>
          <w:p w14:paraId="6DB87673">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县城市管理局</w:t>
            </w:r>
          </w:p>
        </w:tc>
      </w:tr>
      <w:tr w14:paraId="6C18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13BBADD2">
            <w:pPr>
              <w:pStyle w:val="2"/>
              <w:spacing w:before="0" w:line="300" w:lineRule="exact"/>
              <w:jc w:val="center"/>
              <w:rPr>
                <w:rFonts w:ascii="Times New Roman" w:hAnsi="Times New Roman" w:eastAsia="仿宋_GB2312"/>
                <w:szCs w:val="24"/>
              </w:rPr>
            </w:pPr>
            <w:r>
              <w:rPr>
                <w:rFonts w:ascii="Times New Roman" w:hAnsi="Times New Roman" w:eastAsia="仿宋_GB2312"/>
                <w:szCs w:val="24"/>
              </w:rPr>
              <w:t>生态环境</w:t>
            </w:r>
          </w:p>
        </w:tc>
        <w:tc>
          <w:tcPr>
            <w:tcW w:w="609" w:type="dxa"/>
            <w:vAlign w:val="center"/>
          </w:tcPr>
          <w:p w14:paraId="2FB5ED06">
            <w:pPr>
              <w:pStyle w:val="2"/>
              <w:spacing w:before="0" w:line="300" w:lineRule="exact"/>
              <w:jc w:val="center"/>
              <w:rPr>
                <w:rFonts w:ascii="Times New Roman" w:hAnsi="Times New Roman" w:eastAsia="仿宋_GB2312"/>
                <w:szCs w:val="24"/>
              </w:rPr>
            </w:pPr>
            <w:r>
              <w:rPr>
                <w:rFonts w:ascii="Times New Roman" w:hAnsi="Times New Roman" w:eastAsia="仿宋_GB2312"/>
                <w:szCs w:val="24"/>
              </w:rPr>
              <w:t>8</w:t>
            </w:r>
          </w:p>
        </w:tc>
        <w:tc>
          <w:tcPr>
            <w:tcW w:w="1787" w:type="dxa"/>
            <w:vAlign w:val="center"/>
          </w:tcPr>
          <w:p w14:paraId="45039BCC">
            <w:pPr>
              <w:widowControl/>
              <w:spacing w:line="300" w:lineRule="exact"/>
              <w:rPr>
                <w:rFonts w:ascii="Times New Roman" w:hAnsi="Times New Roman" w:eastAsia="仿宋_GB2312"/>
                <w:sz w:val="24"/>
                <w:szCs w:val="24"/>
              </w:rPr>
            </w:pPr>
            <w:r>
              <w:rPr>
                <w:rFonts w:ascii="Times New Roman" w:hAnsi="Times New Roman" w:eastAsia="仿宋_GB2312"/>
                <w:sz w:val="24"/>
                <w:szCs w:val="24"/>
              </w:rPr>
              <w:t>森林覆盖率（%）</w:t>
            </w:r>
          </w:p>
        </w:tc>
        <w:tc>
          <w:tcPr>
            <w:tcW w:w="1006" w:type="dxa"/>
            <w:vAlign w:val="center"/>
          </w:tcPr>
          <w:p w14:paraId="2632D488">
            <w:pPr>
              <w:widowControl/>
              <w:spacing w:line="300" w:lineRule="exact"/>
              <w:jc w:val="center"/>
              <w:rPr>
                <w:rFonts w:ascii="Times New Roman" w:hAnsi="Times New Roman" w:eastAsia="仿宋_GB2312"/>
                <w:sz w:val="24"/>
                <w:szCs w:val="24"/>
              </w:rPr>
            </w:pPr>
            <w:r>
              <w:rPr>
                <w:rFonts w:hint="eastAsia" w:ascii="Times New Roman" w:hAnsi="Times New Roman" w:eastAsia="仿宋_GB2312"/>
                <w:sz w:val="24"/>
                <w:szCs w:val="24"/>
                <w:lang w:val="en-US" w:eastAsia="zh-CN"/>
              </w:rPr>
              <w:t>45.85</w:t>
            </w:r>
          </w:p>
        </w:tc>
        <w:tc>
          <w:tcPr>
            <w:tcW w:w="1073" w:type="dxa"/>
            <w:vAlign w:val="center"/>
          </w:tcPr>
          <w:p w14:paraId="13A57D53">
            <w:pPr>
              <w:widowControl/>
              <w:spacing w:line="300" w:lineRule="exact"/>
              <w:jc w:val="center"/>
              <w:rPr>
                <w:rFonts w:ascii="Times New Roman" w:hAnsi="Times New Roman" w:eastAsia="仿宋_GB2312"/>
                <w:sz w:val="24"/>
                <w:szCs w:val="24"/>
              </w:rPr>
            </w:pPr>
            <w:r>
              <w:rPr>
                <w:rFonts w:ascii="Times New Roman" w:hAnsi="Times New Roman" w:eastAsia="仿宋_GB2312"/>
                <w:kern w:val="0"/>
                <w:sz w:val="24"/>
                <w:szCs w:val="24"/>
              </w:rPr>
              <w:t>≥</w:t>
            </w:r>
            <w:r>
              <w:rPr>
                <w:rFonts w:hint="eastAsia" w:ascii="Times New Roman" w:hAnsi="Times New Roman" w:eastAsia="仿宋_GB2312"/>
                <w:sz w:val="24"/>
                <w:szCs w:val="24"/>
                <w:lang w:val="en-US" w:eastAsia="zh-CN"/>
              </w:rPr>
              <w:t>46.19</w:t>
            </w:r>
          </w:p>
        </w:tc>
        <w:tc>
          <w:tcPr>
            <w:tcW w:w="1170" w:type="dxa"/>
            <w:vAlign w:val="center"/>
          </w:tcPr>
          <w:p w14:paraId="1F670609">
            <w:pPr>
              <w:widowControl/>
              <w:spacing w:line="300" w:lineRule="exact"/>
              <w:jc w:val="center"/>
              <w:rPr>
                <w:rFonts w:hint="default" w:ascii="Times New Roman" w:hAnsi="Times New Roman" w:eastAsia="仿宋_GB2312"/>
                <w:sz w:val="24"/>
                <w:szCs w:val="24"/>
                <w:lang w:val="en-US" w:eastAsia="zh-CN"/>
              </w:rPr>
            </w:pPr>
            <w:r>
              <w:rPr>
                <w:rFonts w:ascii="Times New Roman" w:hAnsi="Times New Roman" w:eastAsia="仿宋_GB2312"/>
                <w:kern w:val="0"/>
                <w:sz w:val="24"/>
                <w:szCs w:val="24"/>
              </w:rPr>
              <w:t>≥</w:t>
            </w:r>
            <w:r>
              <w:rPr>
                <w:rFonts w:hint="eastAsia" w:ascii="Times New Roman" w:hAnsi="Times New Roman" w:eastAsia="仿宋_GB2312"/>
                <w:kern w:val="0"/>
                <w:sz w:val="24"/>
                <w:szCs w:val="24"/>
                <w:lang w:val="en-US" w:eastAsia="zh-CN"/>
              </w:rPr>
              <w:t>46.19</w:t>
            </w:r>
          </w:p>
        </w:tc>
        <w:tc>
          <w:tcPr>
            <w:tcW w:w="1095" w:type="dxa"/>
            <w:vAlign w:val="center"/>
          </w:tcPr>
          <w:p w14:paraId="011687E4">
            <w:pPr>
              <w:widowControl/>
              <w:spacing w:line="300" w:lineRule="exact"/>
              <w:jc w:val="center"/>
              <w:rPr>
                <w:rFonts w:hint="default" w:ascii="Times New Roman" w:hAnsi="Times New Roman" w:eastAsia="仿宋_GB2312"/>
                <w:sz w:val="24"/>
                <w:szCs w:val="24"/>
                <w:lang w:val="en-US" w:eastAsia="zh-CN"/>
              </w:rPr>
            </w:pPr>
            <w:r>
              <w:rPr>
                <w:rFonts w:ascii="Times New Roman" w:hAnsi="Times New Roman" w:eastAsia="仿宋_GB2312"/>
                <w:kern w:val="0"/>
                <w:sz w:val="24"/>
                <w:szCs w:val="24"/>
              </w:rPr>
              <w:t>≥</w:t>
            </w:r>
            <w:r>
              <w:rPr>
                <w:rFonts w:hint="eastAsia" w:ascii="Times New Roman" w:hAnsi="Times New Roman" w:eastAsia="仿宋_GB2312"/>
                <w:kern w:val="0"/>
                <w:sz w:val="24"/>
                <w:szCs w:val="24"/>
                <w:lang w:val="en-US" w:eastAsia="zh-CN"/>
              </w:rPr>
              <w:t>46.19</w:t>
            </w:r>
          </w:p>
        </w:tc>
        <w:tc>
          <w:tcPr>
            <w:tcW w:w="773" w:type="dxa"/>
            <w:vAlign w:val="center"/>
          </w:tcPr>
          <w:p w14:paraId="77490DD7">
            <w:pPr>
              <w:widowControl/>
              <w:spacing w:line="300" w:lineRule="exact"/>
              <w:jc w:val="center"/>
              <w:rPr>
                <w:rFonts w:ascii="Times New Roman" w:hAnsi="Times New Roman" w:eastAsia="仿宋_GB2312"/>
                <w:sz w:val="24"/>
                <w:szCs w:val="24"/>
              </w:rPr>
            </w:pPr>
            <w:r>
              <w:rPr>
                <w:rFonts w:ascii="Times New Roman" w:hAnsi="Times New Roman" w:eastAsia="仿宋_GB2312"/>
                <w:sz w:val="24"/>
                <w:szCs w:val="24"/>
              </w:rPr>
              <w:t>预期性</w:t>
            </w:r>
          </w:p>
        </w:tc>
        <w:tc>
          <w:tcPr>
            <w:tcW w:w="1261" w:type="dxa"/>
            <w:vAlign w:val="center"/>
          </w:tcPr>
          <w:p w14:paraId="50234F9D">
            <w:pPr>
              <w:widowControl/>
              <w:spacing w:line="300" w:lineRule="exact"/>
              <w:jc w:val="center"/>
              <w:rPr>
                <w:rFonts w:ascii="Times New Roman" w:hAnsi="Times New Roman" w:eastAsia="仿宋_GB2312"/>
                <w:sz w:val="24"/>
                <w:szCs w:val="24"/>
              </w:rPr>
            </w:pPr>
            <w:r>
              <w:rPr>
                <w:rFonts w:hint="eastAsia" w:ascii="Times New Roman" w:hAnsi="Times New Roman" w:eastAsia="仿宋_GB2312"/>
                <w:sz w:val="24"/>
                <w:szCs w:val="24"/>
                <w:lang w:val="en-US" w:eastAsia="zh-CN"/>
              </w:rPr>
              <w:t>县</w:t>
            </w:r>
            <w:r>
              <w:rPr>
                <w:rFonts w:ascii="Times New Roman" w:hAnsi="Times New Roman" w:eastAsia="仿宋_GB2312"/>
                <w:sz w:val="24"/>
                <w:szCs w:val="24"/>
              </w:rPr>
              <w:t>林草局</w:t>
            </w:r>
          </w:p>
        </w:tc>
      </w:tr>
      <w:tr w14:paraId="4D5E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78001606">
            <w:pPr>
              <w:pStyle w:val="2"/>
              <w:spacing w:before="0" w:line="300" w:lineRule="exact"/>
              <w:jc w:val="center"/>
              <w:rPr>
                <w:rFonts w:ascii="Times New Roman" w:hAnsi="Times New Roman" w:eastAsia="仿宋_GB2312"/>
                <w:szCs w:val="24"/>
              </w:rPr>
            </w:pPr>
          </w:p>
        </w:tc>
        <w:tc>
          <w:tcPr>
            <w:tcW w:w="609" w:type="dxa"/>
            <w:vAlign w:val="center"/>
          </w:tcPr>
          <w:p w14:paraId="0C5A10C1">
            <w:pPr>
              <w:pStyle w:val="2"/>
              <w:spacing w:before="0" w:line="300" w:lineRule="exact"/>
              <w:jc w:val="center"/>
              <w:rPr>
                <w:rFonts w:hint="eastAsia" w:ascii="Times New Roman" w:hAnsi="Times New Roman" w:eastAsia="仿宋_GB2312"/>
                <w:szCs w:val="24"/>
                <w:lang w:eastAsia="zh-CN"/>
              </w:rPr>
            </w:pPr>
            <w:r>
              <w:rPr>
                <w:rFonts w:hint="eastAsia" w:ascii="Times New Roman" w:hAnsi="Times New Roman" w:eastAsia="仿宋_GB2312"/>
                <w:szCs w:val="24"/>
                <w:lang w:val="en-US" w:eastAsia="zh-CN"/>
              </w:rPr>
              <w:t>9</w:t>
            </w:r>
          </w:p>
        </w:tc>
        <w:tc>
          <w:tcPr>
            <w:tcW w:w="1787" w:type="dxa"/>
            <w:vAlign w:val="center"/>
          </w:tcPr>
          <w:p w14:paraId="7071EA34">
            <w:pPr>
              <w:widowControl/>
              <w:spacing w:line="300" w:lineRule="exact"/>
              <w:rPr>
                <w:rFonts w:ascii="Times New Roman" w:hAnsi="Times New Roman" w:eastAsia="仿宋_GB2312"/>
                <w:sz w:val="24"/>
                <w:szCs w:val="24"/>
              </w:rPr>
            </w:pPr>
            <w:r>
              <w:rPr>
                <w:rFonts w:ascii="Times New Roman" w:hAnsi="Times New Roman" w:eastAsia="仿宋_GB2312"/>
                <w:sz w:val="24"/>
                <w:szCs w:val="24"/>
              </w:rPr>
              <w:t>国家重点保护野生动/植物种数保护率（%）</w:t>
            </w:r>
          </w:p>
        </w:tc>
        <w:tc>
          <w:tcPr>
            <w:tcW w:w="1006" w:type="dxa"/>
            <w:vAlign w:val="center"/>
          </w:tcPr>
          <w:p w14:paraId="65ACF10A">
            <w:pPr>
              <w:widowControl/>
              <w:spacing w:line="30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100</w:t>
            </w:r>
          </w:p>
        </w:tc>
        <w:tc>
          <w:tcPr>
            <w:tcW w:w="1073" w:type="dxa"/>
            <w:vAlign w:val="center"/>
          </w:tcPr>
          <w:p w14:paraId="11BA7AB8">
            <w:pPr>
              <w:widowControl/>
              <w:spacing w:line="30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100</w:t>
            </w:r>
          </w:p>
        </w:tc>
        <w:tc>
          <w:tcPr>
            <w:tcW w:w="1170" w:type="dxa"/>
            <w:vAlign w:val="center"/>
          </w:tcPr>
          <w:p w14:paraId="5B4ADA4D">
            <w:pPr>
              <w:widowControl/>
              <w:spacing w:line="300" w:lineRule="exact"/>
              <w:jc w:val="center"/>
              <w:rPr>
                <w:rFonts w:ascii="Times New Roman" w:hAnsi="Times New Roman" w:eastAsia="仿宋_GB2312"/>
                <w:sz w:val="24"/>
                <w:szCs w:val="24"/>
              </w:rPr>
            </w:pPr>
            <w:r>
              <w:rPr>
                <w:rFonts w:hint="eastAsia" w:ascii="Times New Roman" w:hAnsi="Times New Roman" w:eastAsia="仿宋_GB2312"/>
                <w:sz w:val="24"/>
                <w:szCs w:val="24"/>
                <w:lang w:val="en-US" w:eastAsia="zh-CN"/>
              </w:rPr>
              <w:t>100</w:t>
            </w:r>
          </w:p>
        </w:tc>
        <w:tc>
          <w:tcPr>
            <w:tcW w:w="1095" w:type="dxa"/>
            <w:vAlign w:val="center"/>
          </w:tcPr>
          <w:p w14:paraId="6ABB13C9">
            <w:pPr>
              <w:widowControl/>
              <w:spacing w:line="300" w:lineRule="exact"/>
              <w:jc w:val="center"/>
              <w:rPr>
                <w:rFonts w:ascii="Times New Roman" w:hAnsi="Times New Roman" w:eastAsia="仿宋_GB2312"/>
                <w:sz w:val="24"/>
                <w:szCs w:val="24"/>
              </w:rPr>
            </w:pPr>
            <w:r>
              <w:rPr>
                <w:rFonts w:hint="eastAsia" w:ascii="Times New Roman" w:hAnsi="Times New Roman" w:eastAsia="仿宋_GB2312"/>
                <w:sz w:val="24"/>
                <w:szCs w:val="24"/>
                <w:lang w:val="en-US" w:eastAsia="zh-CN"/>
              </w:rPr>
              <w:t>100</w:t>
            </w:r>
          </w:p>
        </w:tc>
        <w:tc>
          <w:tcPr>
            <w:tcW w:w="773" w:type="dxa"/>
            <w:vAlign w:val="center"/>
          </w:tcPr>
          <w:p w14:paraId="264CA8D9">
            <w:pPr>
              <w:widowControl/>
              <w:spacing w:line="300" w:lineRule="exact"/>
              <w:jc w:val="center"/>
              <w:rPr>
                <w:rFonts w:ascii="Times New Roman" w:hAnsi="Times New Roman" w:eastAsia="仿宋_GB2312"/>
                <w:sz w:val="24"/>
                <w:szCs w:val="24"/>
              </w:rPr>
            </w:pPr>
            <w:r>
              <w:rPr>
                <w:rFonts w:ascii="Times New Roman" w:hAnsi="Times New Roman" w:eastAsia="仿宋_GB2312"/>
                <w:sz w:val="24"/>
                <w:szCs w:val="24"/>
              </w:rPr>
              <w:t>预期性</w:t>
            </w:r>
          </w:p>
        </w:tc>
        <w:tc>
          <w:tcPr>
            <w:tcW w:w="1261" w:type="dxa"/>
            <w:vAlign w:val="center"/>
          </w:tcPr>
          <w:p w14:paraId="521785FB">
            <w:pPr>
              <w:widowControl/>
              <w:spacing w:line="300" w:lineRule="exact"/>
              <w:jc w:val="center"/>
              <w:rPr>
                <w:rFonts w:ascii="Times New Roman" w:hAnsi="Times New Roman" w:eastAsia="仿宋_GB2312"/>
                <w:sz w:val="24"/>
                <w:szCs w:val="24"/>
              </w:rPr>
            </w:pPr>
            <w:r>
              <w:rPr>
                <w:rFonts w:hint="eastAsia" w:ascii="Times New Roman" w:hAnsi="Times New Roman" w:eastAsia="仿宋_GB2312"/>
                <w:sz w:val="24"/>
                <w:szCs w:val="24"/>
                <w:lang w:val="en-US" w:eastAsia="zh-CN"/>
              </w:rPr>
              <w:t>县</w:t>
            </w:r>
            <w:r>
              <w:rPr>
                <w:rFonts w:ascii="Times New Roman" w:hAnsi="Times New Roman" w:eastAsia="仿宋_GB2312"/>
                <w:sz w:val="24"/>
                <w:szCs w:val="24"/>
              </w:rPr>
              <w:t>林草局</w:t>
            </w:r>
          </w:p>
        </w:tc>
      </w:tr>
      <w:tr w14:paraId="0136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D12481A">
            <w:pPr>
              <w:pStyle w:val="2"/>
              <w:spacing w:before="0" w:line="300" w:lineRule="exact"/>
              <w:jc w:val="center"/>
              <w:rPr>
                <w:rFonts w:ascii="Times New Roman" w:hAnsi="Times New Roman" w:eastAsia="仿宋_GB2312"/>
                <w:szCs w:val="24"/>
              </w:rPr>
            </w:pPr>
          </w:p>
        </w:tc>
        <w:tc>
          <w:tcPr>
            <w:tcW w:w="609" w:type="dxa"/>
            <w:vAlign w:val="center"/>
          </w:tcPr>
          <w:p w14:paraId="42E9551D">
            <w:pPr>
              <w:pStyle w:val="2"/>
              <w:spacing w:before="0" w:line="300" w:lineRule="exact"/>
              <w:jc w:val="center"/>
              <w:rPr>
                <w:rFonts w:hint="default" w:ascii="Times New Roman" w:hAnsi="Times New Roman" w:eastAsia="仿宋_GB2312"/>
                <w:szCs w:val="24"/>
                <w:highlight w:val="none"/>
                <w:lang w:val="en-US" w:eastAsia="zh-CN"/>
              </w:rPr>
            </w:pPr>
            <w:r>
              <w:rPr>
                <w:rFonts w:hint="eastAsia" w:ascii="Times New Roman" w:hAnsi="Times New Roman" w:eastAsia="仿宋_GB2312"/>
                <w:szCs w:val="24"/>
                <w:highlight w:val="none"/>
                <w:lang w:val="en-US" w:eastAsia="zh-CN"/>
              </w:rPr>
              <w:t>10</w:t>
            </w:r>
          </w:p>
        </w:tc>
        <w:tc>
          <w:tcPr>
            <w:tcW w:w="1787" w:type="dxa"/>
            <w:vAlign w:val="center"/>
          </w:tcPr>
          <w:p w14:paraId="03AACD01">
            <w:pPr>
              <w:widowControl/>
              <w:spacing w:line="300" w:lineRule="exact"/>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城市空气质量优良天数比率(%)</w:t>
            </w:r>
          </w:p>
        </w:tc>
        <w:tc>
          <w:tcPr>
            <w:tcW w:w="1006" w:type="dxa"/>
            <w:vAlign w:val="center"/>
          </w:tcPr>
          <w:p w14:paraId="03D8F808">
            <w:pPr>
              <w:widowControl/>
              <w:spacing w:line="300" w:lineRule="exact"/>
              <w:jc w:val="center"/>
              <w:rPr>
                <w:rFonts w:hint="default" w:ascii="Times New Roman" w:hAnsi="Times New Roman" w:eastAsia="仿宋_GB2312"/>
                <w:kern w:val="0"/>
                <w:sz w:val="24"/>
                <w:szCs w:val="24"/>
                <w:highlight w:val="none"/>
                <w:lang w:val="en-US" w:eastAsia="zh-CN"/>
              </w:rPr>
            </w:pPr>
            <w:r>
              <w:rPr>
                <w:rFonts w:ascii="Times New Roman" w:hAnsi="Times New Roman" w:eastAsia="仿宋_GB2312"/>
                <w:kern w:val="0"/>
                <w:sz w:val="24"/>
                <w:szCs w:val="24"/>
                <w:highlight w:val="none"/>
              </w:rPr>
              <w:t>≥</w:t>
            </w:r>
            <w:r>
              <w:rPr>
                <w:rFonts w:hint="eastAsia" w:ascii="Times New Roman" w:hAnsi="Times New Roman" w:eastAsia="仿宋_GB2312"/>
                <w:kern w:val="0"/>
                <w:sz w:val="24"/>
                <w:szCs w:val="24"/>
                <w:highlight w:val="none"/>
                <w:lang w:val="en-US" w:eastAsia="zh-CN"/>
              </w:rPr>
              <w:t>99</w:t>
            </w:r>
          </w:p>
        </w:tc>
        <w:tc>
          <w:tcPr>
            <w:tcW w:w="1073" w:type="dxa"/>
            <w:vAlign w:val="center"/>
          </w:tcPr>
          <w:p w14:paraId="0C53069E">
            <w:pPr>
              <w:widowControl/>
              <w:spacing w:line="300" w:lineRule="exact"/>
              <w:jc w:val="center"/>
              <w:rPr>
                <w:rFonts w:ascii="Times New Roman" w:hAnsi="Times New Roman" w:eastAsia="仿宋_GB2312"/>
                <w:sz w:val="24"/>
                <w:szCs w:val="24"/>
                <w:highlight w:val="none"/>
              </w:rPr>
            </w:pPr>
            <w:r>
              <w:rPr>
                <w:rFonts w:ascii="Times New Roman" w:hAnsi="Times New Roman" w:eastAsia="仿宋_GB2312"/>
                <w:kern w:val="0"/>
                <w:sz w:val="24"/>
                <w:szCs w:val="24"/>
                <w:highlight w:val="none"/>
              </w:rPr>
              <w:t>≥</w:t>
            </w:r>
            <w:r>
              <w:rPr>
                <w:rFonts w:hint="eastAsia" w:ascii="Times New Roman" w:hAnsi="Times New Roman" w:eastAsia="仿宋_GB2312"/>
                <w:kern w:val="0"/>
                <w:sz w:val="24"/>
                <w:szCs w:val="24"/>
                <w:highlight w:val="none"/>
                <w:lang w:val="en-US" w:eastAsia="zh-CN"/>
              </w:rPr>
              <w:t>99.1</w:t>
            </w:r>
          </w:p>
        </w:tc>
        <w:tc>
          <w:tcPr>
            <w:tcW w:w="1170" w:type="dxa"/>
            <w:vAlign w:val="center"/>
          </w:tcPr>
          <w:p w14:paraId="4045F423">
            <w:pPr>
              <w:widowControl/>
              <w:spacing w:line="300" w:lineRule="exact"/>
              <w:jc w:val="center"/>
              <w:rPr>
                <w:rFonts w:ascii="Times New Roman" w:hAnsi="Times New Roman" w:eastAsia="仿宋_GB2312"/>
                <w:sz w:val="24"/>
                <w:szCs w:val="24"/>
                <w:highlight w:val="none"/>
              </w:rPr>
            </w:pPr>
            <w:r>
              <w:rPr>
                <w:rFonts w:ascii="Times New Roman" w:hAnsi="Times New Roman" w:eastAsia="仿宋_GB2312"/>
                <w:kern w:val="0"/>
                <w:sz w:val="24"/>
                <w:szCs w:val="24"/>
                <w:highlight w:val="none"/>
              </w:rPr>
              <w:t>≥</w:t>
            </w:r>
            <w:r>
              <w:rPr>
                <w:rFonts w:hint="eastAsia" w:ascii="Times New Roman" w:hAnsi="Times New Roman" w:eastAsia="仿宋_GB2312"/>
                <w:kern w:val="0"/>
                <w:sz w:val="24"/>
                <w:szCs w:val="24"/>
                <w:highlight w:val="none"/>
                <w:lang w:val="en-US" w:eastAsia="zh-CN"/>
              </w:rPr>
              <w:t>99.2</w:t>
            </w:r>
          </w:p>
        </w:tc>
        <w:tc>
          <w:tcPr>
            <w:tcW w:w="1095" w:type="dxa"/>
            <w:vAlign w:val="center"/>
          </w:tcPr>
          <w:p w14:paraId="1D272B6B">
            <w:pPr>
              <w:widowControl/>
              <w:spacing w:line="300" w:lineRule="exact"/>
              <w:jc w:val="center"/>
              <w:rPr>
                <w:rFonts w:ascii="Times New Roman" w:hAnsi="Times New Roman" w:eastAsia="仿宋_GB2312"/>
                <w:sz w:val="24"/>
                <w:szCs w:val="24"/>
                <w:highlight w:val="none"/>
              </w:rPr>
            </w:pPr>
            <w:r>
              <w:rPr>
                <w:rFonts w:ascii="Times New Roman" w:hAnsi="Times New Roman" w:eastAsia="仿宋_GB2312"/>
                <w:kern w:val="0"/>
                <w:sz w:val="24"/>
                <w:szCs w:val="24"/>
                <w:highlight w:val="none"/>
              </w:rPr>
              <w:t>≥</w:t>
            </w:r>
            <w:r>
              <w:rPr>
                <w:rFonts w:hint="eastAsia" w:ascii="Times New Roman" w:hAnsi="Times New Roman" w:eastAsia="仿宋_GB2312"/>
                <w:kern w:val="0"/>
                <w:sz w:val="24"/>
                <w:szCs w:val="24"/>
                <w:highlight w:val="none"/>
                <w:lang w:val="en-US" w:eastAsia="zh-CN"/>
              </w:rPr>
              <w:t>99.4</w:t>
            </w:r>
          </w:p>
        </w:tc>
        <w:tc>
          <w:tcPr>
            <w:tcW w:w="773" w:type="dxa"/>
            <w:vAlign w:val="center"/>
          </w:tcPr>
          <w:p w14:paraId="5C4B4A7C">
            <w:pPr>
              <w:widowControl/>
              <w:spacing w:line="300" w:lineRule="exact"/>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1261" w:type="dxa"/>
            <w:vAlign w:val="center"/>
          </w:tcPr>
          <w:p w14:paraId="58B26AC0">
            <w:pPr>
              <w:widowControl/>
              <w:spacing w:line="300" w:lineRule="exact"/>
              <w:jc w:val="center"/>
              <w:rPr>
                <w:rFonts w:hint="eastAsia"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县</w:t>
            </w:r>
            <w:r>
              <w:rPr>
                <w:rFonts w:ascii="Times New Roman" w:hAnsi="Times New Roman" w:eastAsia="仿宋_GB2312"/>
                <w:sz w:val="24"/>
                <w:szCs w:val="24"/>
                <w:highlight w:val="none"/>
              </w:rPr>
              <w:t>生态环境局</w:t>
            </w:r>
          </w:p>
        </w:tc>
      </w:tr>
      <w:tr w14:paraId="4B90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7D2AB067">
            <w:pPr>
              <w:pStyle w:val="2"/>
              <w:spacing w:before="0" w:line="300" w:lineRule="exact"/>
              <w:jc w:val="center"/>
              <w:rPr>
                <w:rFonts w:ascii="Times New Roman" w:hAnsi="Times New Roman" w:eastAsia="仿宋_GB2312"/>
                <w:szCs w:val="24"/>
              </w:rPr>
            </w:pPr>
            <w:r>
              <w:rPr>
                <w:rFonts w:ascii="Times New Roman" w:hAnsi="Times New Roman" w:eastAsia="仿宋_GB2312"/>
                <w:szCs w:val="24"/>
              </w:rPr>
              <w:t>绿美专项</w:t>
            </w:r>
          </w:p>
          <w:p w14:paraId="53B74EFE">
            <w:pPr>
              <w:pStyle w:val="2"/>
              <w:spacing w:before="0" w:line="300" w:lineRule="exact"/>
              <w:jc w:val="center"/>
              <w:rPr>
                <w:rFonts w:ascii="Times New Roman" w:hAnsi="Times New Roman"/>
              </w:rPr>
            </w:pPr>
            <w:r>
              <w:rPr>
                <w:rFonts w:ascii="Times New Roman" w:hAnsi="Times New Roman" w:eastAsia="仿宋_GB2312"/>
                <w:szCs w:val="24"/>
              </w:rPr>
              <w:t>领域</w:t>
            </w:r>
          </w:p>
        </w:tc>
        <w:tc>
          <w:tcPr>
            <w:tcW w:w="609" w:type="dxa"/>
            <w:vAlign w:val="center"/>
          </w:tcPr>
          <w:p w14:paraId="28B7C84B">
            <w:pPr>
              <w:pStyle w:val="2"/>
              <w:spacing w:before="0" w:line="300" w:lineRule="exact"/>
              <w:jc w:val="center"/>
              <w:rPr>
                <w:rFonts w:hint="default" w:ascii="Times New Roman" w:hAnsi="Times New Roman" w:eastAsia="仿宋_GB2312"/>
                <w:szCs w:val="24"/>
                <w:highlight w:val="none"/>
                <w:lang w:val="en-US" w:eastAsia="zh-CN"/>
              </w:rPr>
            </w:pPr>
            <w:r>
              <w:rPr>
                <w:rFonts w:hint="eastAsia" w:ascii="Times New Roman" w:hAnsi="Times New Roman" w:eastAsia="仿宋_GB2312"/>
                <w:szCs w:val="24"/>
                <w:highlight w:val="none"/>
                <w:lang w:val="en-US" w:eastAsia="zh-CN"/>
              </w:rPr>
              <w:t>11</w:t>
            </w:r>
          </w:p>
        </w:tc>
        <w:tc>
          <w:tcPr>
            <w:tcW w:w="1787" w:type="dxa"/>
            <w:vAlign w:val="center"/>
          </w:tcPr>
          <w:p w14:paraId="7EA7001E">
            <w:pPr>
              <w:widowControl/>
              <w:spacing w:line="300" w:lineRule="exact"/>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新建及改建小区、单位绿地率 (%)</w:t>
            </w:r>
          </w:p>
        </w:tc>
        <w:tc>
          <w:tcPr>
            <w:tcW w:w="1006" w:type="dxa"/>
            <w:vAlign w:val="center"/>
          </w:tcPr>
          <w:p w14:paraId="44CF36FC">
            <w:pPr>
              <w:widowControl/>
              <w:spacing w:line="300" w:lineRule="exact"/>
              <w:jc w:val="center"/>
              <w:rPr>
                <w:rFonts w:hint="default" w:ascii="Times New Roman" w:hAnsi="Times New Roman" w:eastAsia="仿宋_GB2312"/>
                <w:sz w:val="24"/>
                <w:szCs w:val="24"/>
                <w:highlight w:val="none"/>
                <w:lang w:val="en-US" w:eastAsia="zh-CN"/>
              </w:rPr>
            </w:pPr>
            <w:r>
              <w:rPr>
                <w:rFonts w:ascii="Times New Roman" w:hAnsi="Times New Roman" w:eastAsia="仿宋_GB2312"/>
                <w:sz w:val="24"/>
                <w:szCs w:val="24"/>
                <w:highlight w:val="none"/>
              </w:rPr>
              <w:t>--</w:t>
            </w:r>
          </w:p>
        </w:tc>
        <w:tc>
          <w:tcPr>
            <w:tcW w:w="1073" w:type="dxa"/>
            <w:vAlign w:val="center"/>
          </w:tcPr>
          <w:p w14:paraId="294E4BD3">
            <w:pPr>
              <w:widowControl/>
              <w:spacing w:line="300" w:lineRule="exact"/>
              <w:jc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力争</w:t>
            </w:r>
            <w:r>
              <w:rPr>
                <w:rFonts w:ascii="Times New Roman" w:hAnsi="Times New Roman" w:eastAsia="仿宋_GB2312"/>
                <w:kern w:val="0"/>
                <w:sz w:val="24"/>
                <w:szCs w:val="24"/>
                <w:highlight w:val="none"/>
              </w:rPr>
              <w:t>≥</w:t>
            </w:r>
            <w:r>
              <w:rPr>
                <w:rFonts w:hint="eastAsia" w:ascii="Times New Roman" w:hAnsi="Times New Roman" w:eastAsia="仿宋_GB2312"/>
                <w:kern w:val="0"/>
                <w:sz w:val="24"/>
                <w:szCs w:val="24"/>
                <w:highlight w:val="none"/>
                <w:lang w:val="en-US" w:eastAsia="zh-CN"/>
              </w:rPr>
              <w:t>30</w:t>
            </w:r>
          </w:p>
        </w:tc>
        <w:tc>
          <w:tcPr>
            <w:tcW w:w="1170" w:type="dxa"/>
            <w:vAlign w:val="center"/>
          </w:tcPr>
          <w:p w14:paraId="5CFE43F8">
            <w:pPr>
              <w:widowControl/>
              <w:spacing w:line="300" w:lineRule="exact"/>
              <w:jc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力争</w:t>
            </w:r>
            <w:r>
              <w:rPr>
                <w:rFonts w:ascii="Times New Roman" w:hAnsi="Times New Roman" w:eastAsia="仿宋_GB2312"/>
                <w:kern w:val="0"/>
                <w:sz w:val="24"/>
                <w:szCs w:val="24"/>
                <w:highlight w:val="none"/>
              </w:rPr>
              <w:t>≥</w:t>
            </w:r>
            <w:r>
              <w:rPr>
                <w:rFonts w:hint="eastAsia" w:ascii="Times New Roman" w:hAnsi="Times New Roman" w:eastAsia="仿宋_GB2312"/>
                <w:kern w:val="0"/>
                <w:sz w:val="24"/>
                <w:szCs w:val="24"/>
                <w:highlight w:val="none"/>
                <w:lang w:val="en-US" w:eastAsia="zh-CN"/>
              </w:rPr>
              <w:t>35</w:t>
            </w:r>
          </w:p>
        </w:tc>
        <w:tc>
          <w:tcPr>
            <w:tcW w:w="1095" w:type="dxa"/>
            <w:vAlign w:val="center"/>
          </w:tcPr>
          <w:p w14:paraId="3238B01F">
            <w:pPr>
              <w:widowControl/>
              <w:spacing w:line="300" w:lineRule="exact"/>
              <w:jc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力争</w:t>
            </w:r>
            <w:r>
              <w:rPr>
                <w:rFonts w:ascii="Times New Roman" w:hAnsi="Times New Roman" w:eastAsia="仿宋_GB2312"/>
                <w:kern w:val="0"/>
                <w:sz w:val="24"/>
                <w:szCs w:val="24"/>
                <w:highlight w:val="none"/>
              </w:rPr>
              <w:t>≥</w:t>
            </w:r>
            <w:r>
              <w:rPr>
                <w:rFonts w:hint="eastAsia" w:ascii="Times New Roman" w:hAnsi="Times New Roman" w:eastAsia="仿宋_GB2312"/>
                <w:kern w:val="0"/>
                <w:sz w:val="24"/>
                <w:szCs w:val="24"/>
                <w:highlight w:val="none"/>
                <w:lang w:val="en-US" w:eastAsia="zh-CN"/>
              </w:rPr>
              <w:t>40</w:t>
            </w:r>
          </w:p>
        </w:tc>
        <w:tc>
          <w:tcPr>
            <w:tcW w:w="773" w:type="dxa"/>
            <w:vAlign w:val="center"/>
          </w:tcPr>
          <w:p w14:paraId="09FE5C9D">
            <w:pPr>
              <w:widowControl/>
              <w:spacing w:line="300" w:lineRule="exact"/>
              <w:jc w:val="center"/>
              <w:rPr>
                <w:rFonts w:ascii="Times New Roman" w:hAnsi="Times New Roman" w:eastAsia="仿宋_GB2312" w:cstheme="minorBidi"/>
                <w:kern w:val="2"/>
                <w:sz w:val="24"/>
                <w:szCs w:val="24"/>
                <w:highlight w:val="none"/>
                <w:lang w:val="en-US" w:eastAsia="zh-CN" w:bidi="ar-SA"/>
              </w:rPr>
            </w:pPr>
            <w:r>
              <w:rPr>
                <w:rFonts w:ascii="Times New Roman" w:hAnsi="Times New Roman" w:eastAsia="仿宋_GB2312"/>
                <w:sz w:val="24"/>
                <w:szCs w:val="24"/>
                <w:highlight w:val="none"/>
              </w:rPr>
              <w:t>预期性</w:t>
            </w:r>
          </w:p>
        </w:tc>
        <w:tc>
          <w:tcPr>
            <w:tcW w:w="1261" w:type="dxa"/>
            <w:vAlign w:val="center"/>
          </w:tcPr>
          <w:p w14:paraId="017549C4">
            <w:pPr>
              <w:widowControl/>
              <w:spacing w:line="300" w:lineRule="exact"/>
              <w:jc w:val="center"/>
              <w:rPr>
                <w:rFonts w:hint="default"/>
                <w:lang w:val="en-US" w:eastAsia="zh-CN"/>
              </w:rPr>
            </w:pPr>
            <w:r>
              <w:rPr>
                <w:rFonts w:hint="eastAsia"/>
                <w:lang w:val="en-US" w:eastAsia="zh-CN"/>
              </w:rPr>
              <w:t>县自然资源局</w:t>
            </w:r>
          </w:p>
        </w:tc>
      </w:tr>
      <w:tr w14:paraId="6A81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56A34571">
            <w:pPr>
              <w:pStyle w:val="2"/>
              <w:spacing w:before="0" w:line="300" w:lineRule="exact"/>
              <w:jc w:val="center"/>
              <w:rPr>
                <w:rFonts w:ascii="Times New Roman" w:hAnsi="Times New Roman" w:eastAsia="仿宋_GB2312"/>
                <w:szCs w:val="24"/>
              </w:rPr>
            </w:pPr>
          </w:p>
        </w:tc>
        <w:tc>
          <w:tcPr>
            <w:tcW w:w="609" w:type="dxa"/>
            <w:vAlign w:val="center"/>
          </w:tcPr>
          <w:p w14:paraId="374EB4FA">
            <w:pPr>
              <w:pStyle w:val="2"/>
              <w:spacing w:before="0" w:line="300" w:lineRule="exact"/>
              <w:jc w:val="center"/>
              <w:rPr>
                <w:rFonts w:hint="default" w:ascii="Times New Roman" w:hAnsi="Times New Roman" w:eastAsia="仿宋_GB2312"/>
                <w:szCs w:val="24"/>
                <w:highlight w:val="none"/>
                <w:lang w:val="en-US" w:eastAsia="zh-CN"/>
              </w:rPr>
            </w:pPr>
            <w:r>
              <w:rPr>
                <w:rFonts w:hint="eastAsia" w:ascii="Times New Roman" w:hAnsi="Times New Roman" w:eastAsia="仿宋_GB2312"/>
                <w:szCs w:val="24"/>
                <w:highlight w:val="none"/>
                <w:lang w:val="en-US" w:eastAsia="zh-CN"/>
              </w:rPr>
              <w:t>12</w:t>
            </w:r>
          </w:p>
        </w:tc>
        <w:tc>
          <w:tcPr>
            <w:tcW w:w="1787" w:type="dxa"/>
            <w:vAlign w:val="center"/>
          </w:tcPr>
          <w:p w14:paraId="4D418825">
            <w:pPr>
              <w:widowControl/>
              <w:spacing w:line="300" w:lineRule="exact"/>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lang w:val="en-US" w:eastAsia="zh-CN"/>
              </w:rPr>
              <w:t>老旧</w:t>
            </w:r>
            <w:r>
              <w:rPr>
                <w:rFonts w:hint="eastAsia" w:ascii="Times New Roman" w:hAnsi="Times New Roman" w:eastAsia="仿宋_GB2312"/>
                <w:sz w:val="24"/>
                <w:szCs w:val="24"/>
                <w:highlight w:val="none"/>
              </w:rPr>
              <w:t>小区</w:t>
            </w:r>
            <w:r>
              <w:rPr>
                <w:rFonts w:hint="eastAsia" w:ascii="Times New Roman" w:hAnsi="Times New Roman" w:eastAsia="仿宋_GB2312"/>
                <w:sz w:val="24"/>
                <w:szCs w:val="24"/>
                <w:highlight w:val="none"/>
                <w:lang w:val="en-US" w:eastAsia="zh-CN"/>
              </w:rPr>
              <w:t>及</w:t>
            </w:r>
            <w:r>
              <w:rPr>
                <w:rFonts w:hint="eastAsia" w:ascii="Times New Roman" w:hAnsi="Times New Roman" w:eastAsia="仿宋_GB2312"/>
                <w:sz w:val="24"/>
                <w:szCs w:val="24"/>
                <w:highlight w:val="none"/>
              </w:rPr>
              <w:t>单位绿地率 (%)</w:t>
            </w:r>
          </w:p>
        </w:tc>
        <w:tc>
          <w:tcPr>
            <w:tcW w:w="1006" w:type="dxa"/>
            <w:vAlign w:val="center"/>
          </w:tcPr>
          <w:p w14:paraId="179CD3BC">
            <w:pPr>
              <w:widowControl/>
              <w:spacing w:line="300" w:lineRule="exact"/>
              <w:jc w:val="center"/>
              <w:rPr>
                <w:rFonts w:hint="default" w:ascii="Times New Roman" w:hAnsi="Times New Roman" w:eastAsia="仿宋_GB2312" w:cstheme="minorBidi"/>
                <w:kern w:val="2"/>
                <w:sz w:val="24"/>
                <w:szCs w:val="24"/>
                <w:highlight w:val="none"/>
                <w:lang w:val="en-US" w:eastAsia="zh-CN" w:bidi="ar-SA"/>
              </w:rPr>
            </w:pPr>
            <w:r>
              <w:rPr>
                <w:rFonts w:ascii="Times New Roman" w:hAnsi="Times New Roman" w:eastAsia="仿宋_GB2312"/>
                <w:sz w:val="24"/>
                <w:szCs w:val="24"/>
                <w:highlight w:val="none"/>
              </w:rPr>
              <w:t>--</w:t>
            </w:r>
          </w:p>
        </w:tc>
        <w:tc>
          <w:tcPr>
            <w:tcW w:w="1073" w:type="dxa"/>
            <w:vAlign w:val="center"/>
          </w:tcPr>
          <w:p w14:paraId="54E5CBB4">
            <w:pPr>
              <w:widowControl/>
              <w:spacing w:line="300" w:lineRule="exact"/>
              <w:jc w:val="center"/>
              <w:rPr>
                <w:rFonts w:hint="default" w:ascii="Times New Roman" w:hAnsi="Times New Roman" w:eastAsia="仿宋_GB2312" w:cstheme="minorBidi"/>
                <w:kern w:val="2"/>
                <w:sz w:val="24"/>
                <w:szCs w:val="24"/>
                <w:highlight w:val="none"/>
                <w:lang w:val="en-US" w:eastAsia="zh-CN" w:bidi="ar-SA"/>
              </w:rPr>
            </w:pPr>
            <w:r>
              <w:rPr>
                <w:rFonts w:hint="eastAsia" w:ascii="Times New Roman" w:hAnsi="Times New Roman" w:eastAsia="仿宋_GB2312"/>
                <w:sz w:val="24"/>
                <w:szCs w:val="24"/>
                <w:highlight w:val="none"/>
                <w:lang w:val="en-US" w:eastAsia="zh-CN"/>
              </w:rPr>
              <w:t>力争</w:t>
            </w:r>
            <w:r>
              <w:rPr>
                <w:rFonts w:ascii="Times New Roman" w:hAnsi="Times New Roman" w:eastAsia="仿宋_GB2312"/>
                <w:kern w:val="0"/>
                <w:sz w:val="24"/>
                <w:szCs w:val="24"/>
                <w:highlight w:val="none"/>
              </w:rPr>
              <w:t>≥</w:t>
            </w:r>
            <w:r>
              <w:rPr>
                <w:rFonts w:hint="eastAsia" w:ascii="Times New Roman" w:hAnsi="Times New Roman" w:eastAsia="仿宋_GB2312"/>
                <w:kern w:val="0"/>
                <w:sz w:val="24"/>
                <w:szCs w:val="24"/>
                <w:highlight w:val="none"/>
                <w:lang w:val="en-US" w:eastAsia="zh-CN"/>
              </w:rPr>
              <w:t>10</w:t>
            </w:r>
          </w:p>
        </w:tc>
        <w:tc>
          <w:tcPr>
            <w:tcW w:w="1170" w:type="dxa"/>
            <w:vAlign w:val="center"/>
          </w:tcPr>
          <w:p w14:paraId="44013FE9">
            <w:pPr>
              <w:widowControl/>
              <w:spacing w:line="300" w:lineRule="exact"/>
              <w:jc w:val="center"/>
              <w:rPr>
                <w:rFonts w:hint="default" w:ascii="Times New Roman" w:hAnsi="Times New Roman" w:eastAsia="仿宋_GB2312" w:cstheme="minorBidi"/>
                <w:kern w:val="2"/>
                <w:sz w:val="24"/>
                <w:szCs w:val="24"/>
                <w:highlight w:val="none"/>
                <w:lang w:val="en-US" w:eastAsia="zh-CN" w:bidi="ar-SA"/>
              </w:rPr>
            </w:pPr>
            <w:r>
              <w:rPr>
                <w:rFonts w:hint="eastAsia" w:ascii="Times New Roman" w:hAnsi="Times New Roman" w:eastAsia="仿宋_GB2312"/>
                <w:sz w:val="24"/>
                <w:szCs w:val="24"/>
                <w:highlight w:val="none"/>
                <w:lang w:val="en-US" w:eastAsia="zh-CN"/>
              </w:rPr>
              <w:t>力争</w:t>
            </w:r>
            <w:r>
              <w:rPr>
                <w:rFonts w:ascii="Times New Roman" w:hAnsi="Times New Roman" w:eastAsia="仿宋_GB2312"/>
                <w:kern w:val="0"/>
                <w:sz w:val="24"/>
                <w:szCs w:val="24"/>
                <w:highlight w:val="none"/>
              </w:rPr>
              <w:t>≥</w:t>
            </w:r>
            <w:r>
              <w:rPr>
                <w:rFonts w:hint="eastAsia" w:ascii="Times New Roman" w:hAnsi="Times New Roman" w:eastAsia="仿宋_GB2312"/>
                <w:kern w:val="0"/>
                <w:sz w:val="24"/>
                <w:szCs w:val="24"/>
                <w:highlight w:val="none"/>
                <w:lang w:val="en-US" w:eastAsia="zh-CN"/>
              </w:rPr>
              <w:t>15</w:t>
            </w:r>
          </w:p>
        </w:tc>
        <w:tc>
          <w:tcPr>
            <w:tcW w:w="1095" w:type="dxa"/>
            <w:vAlign w:val="center"/>
          </w:tcPr>
          <w:p w14:paraId="1D6447C9">
            <w:pPr>
              <w:widowControl/>
              <w:spacing w:line="300" w:lineRule="exact"/>
              <w:jc w:val="center"/>
              <w:rPr>
                <w:rFonts w:hint="default" w:ascii="Times New Roman" w:hAnsi="Times New Roman" w:eastAsia="仿宋_GB2312" w:cstheme="minorBidi"/>
                <w:kern w:val="2"/>
                <w:sz w:val="24"/>
                <w:szCs w:val="24"/>
                <w:highlight w:val="none"/>
                <w:lang w:val="en-US" w:eastAsia="zh-CN" w:bidi="ar-SA"/>
              </w:rPr>
            </w:pPr>
            <w:r>
              <w:rPr>
                <w:rFonts w:hint="eastAsia" w:ascii="Times New Roman" w:hAnsi="Times New Roman" w:eastAsia="仿宋_GB2312"/>
                <w:sz w:val="24"/>
                <w:szCs w:val="24"/>
                <w:highlight w:val="none"/>
                <w:lang w:val="en-US" w:eastAsia="zh-CN"/>
              </w:rPr>
              <w:t>力争</w:t>
            </w:r>
            <w:r>
              <w:rPr>
                <w:rFonts w:ascii="Times New Roman" w:hAnsi="Times New Roman" w:eastAsia="仿宋_GB2312"/>
                <w:kern w:val="0"/>
                <w:sz w:val="24"/>
                <w:szCs w:val="24"/>
                <w:highlight w:val="none"/>
              </w:rPr>
              <w:t>≥</w:t>
            </w:r>
            <w:r>
              <w:rPr>
                <w:rFonts w:hint="eastAsia" w:ascii="Times New Roman" w:hAnsi="Times New Roman" w:eastAsia="仿宋_GB2312"/>
                <w:kern w:val="0"/>
                <w:sz w:val="24"/>
                <w:szCs w:val="24"/>
                <w:highlight w:val="none"/>
                <w:lang w:val="en-US" w:eastAsia="zh-CN"/>
              </w:rPr>
              <w:t>20</w:t>
            </w:r>
          </w:p>
        </w:tc>
        <w:tc>
          <w:tcPr>
            <w:tcW w:w="773" w:type="dxa"/>
            <w:vAlign w:val="center"/>
          </w:tcPr>
          <w:p w14:paraId="773277C7">
            <w:pPr>
              <w:widowControl/>
              <w:spacing w:line="300" w:lineRule="exact"/>
              <w:jc w:val="center"/>
              <w:rPr>
                <w:rFonts w:ascii="Times New Roman" w:hAnsi="Times New Roman" w:eastAsia="仿宋_GB2312" w:cstheme="minorBidi"/>
                <w:kern w:val="2"/>
                <w:sz w:val="24"/>
                <w:szCs w:val="24"/>
                <w:highlight w:val="none"/>
                <w:lang w:val="en-US" w:eastAsia="zh-CN" w:bidi="ar-SA"/>
              </w:rPr>
            </w:pPr>
            <w:r>
              <w:rPr>
                <w:rFonts w:ascii="Times New Roman" w:hAnsi="Times New Roman" w:eastAsia="仿宋_GB2312"/>
                <w:sz w:val="24"/>
                <w:szCs w:val="24"/>
                <w:highlight w:val="none"/>
              </w:rPr>
              <w:t>预期性</w:t>
            </w:r>
          </w:p>
        </w:tc>
        <w:tc>
          <w:tcPr>
            <w:tcW w:w="1261" w:type="dxa"/>
            <w:vAlign w:val="center"/>
          </w:tcPr>
          <w:p w14:paraId="48ED9500">
            <w:pPr>
              <w:widowControl/>
              <w:spacing w:line="300" w:lineRule="exact"/>
              <w:jc w:val="center"/>
              <w:rPr>
                <w:rFonts w:hint="eastAsia" w:ascii="Times New Roman" w:hAnsi="Times New Roman" w:eastAsia="仿宋_GB2312" w:cstheme="minorBidi"/>
                <w:kern w:val="2"/>
                <w:sz w:val="24"/>
                <w:szCs w:val="24"/>
                <w:highlight w:val="none"/>
                <w:lang w:val="en-US" w:eastAsia="zh-CN" w:bidi="ar-SA"/>
              </w:rPr>
            </w:pPr>
            <w:r>
              <w:rPr>
                <w:rFonts w:hint="eastAsia"/>
                <w:lang w:val="en-US" w:eastAsia="zh-CN"/>
              </w:rPr>
              <w:t>县自然资源局</w:t>
            </w:r>
          </w:p>
        </w:tc>
      </w:tr>
      <w:tr w14:paraId="61DE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11A525BD">
            <w:pPr>
              <w:pStyle w:val="2"/>
              <w:spacing w:before="0" w:line="300" w:lineRule="exact"/>
              <w:jc w:val="center"/>
              <w:rPr>
                <w:rFonts w:ascii="Times New Roman" w:hAnsi="Times New Roman" w:eastAsia="仿宋_GB2312"/>
                <w:szCs w:val="24"/>
              </w:rPr>
            </w:pPr>
          </w:p>
        </w:tc>
        <w:tc>
          <w:tcPr>
            <w:tcW w:w="609" w:type="dxa"/>
            <w:vAlign w:val="center"/>
          </w:tcPr>
          <w:p w14:paraId="7ACC3B2C">
            <w:pPr>
              <w:pStyle w:val="2"/>
              <w:spacing w:before="0" w:line="300" w:lineRule="exact"/>
              <w:jc w:val="center"/>
              <w:rPr>
                <w:rFonts w:hint="default" w:ascii="Times New Roman" w:hAnsi="Times New Roman" w:eastAsia="仿宋_GB2312"/>
                <w:szCs w:val="24"/>
                <w:highlight w:val="none"/>
                <w:lang w:val="en-US" w:eastAsia="zh-CN"/>
              </w:rPr>
            </w:pPr>
            <w:r>
              <w:rPr>
                <w:rFonts w:hint="eastAsia" w:ascii="Times New Roman" w:hAnsi="Times New Roman" w:eastAsia="仿宋_GB2312"/>
                <w:szCs w:val="24"/>
                <w:highlight w:val="none"/>
                <w:lang w:val="en-US" w:eastAsia="zh-CN"/>
              </w:rPr>
              <w:t>13</w:t>
            </w:r>
          </w:p>
        </w:tc>
        <w:tc>
          <w:tcPr>
            <w:tcW w:w="1787" w:type="dxa"/>
            <w:vAlign w:val="center"/>
          </w:tcPr>
          <w:p w14:paraId="2BED1846">
            <w:pPr>
              <w:widowControl/>
              <w:spacing w:line="300" w:lineRule="exact"/>
              <w:rPr>
                <w:rFonts w:hint="eastAsia"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绿美社区占比 (%)</w:t>
            </w:r>
          </w:p>
        </w:tc>
        <w:tc>
          <w:tcPr>
            <w:tcW w:w="1006" w:type="dxa"/>
            <w:vAlign w:val="center"/>
          </w:tcPr>
          <w:p w14:paraId="4CDA6AD5">
            <w:pPr>
              <w:widowControl/>
              <w:spacing w:line="300" w:lineRule="exact"/>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073" w:type="dxa"/>
            <w:vAlign w:val="center"/>
          </w:tcPr>
          <w:p w14:paraId="628954F1">
            <w:pPr>
              <w:widowControl/>
              <w:spacing w:line="300" w:lineRule="exact"/>
              <w:jc w:val="center"/>
              <w:rPr>
                <w:rFonts w:hint="default" w:ascii="Times New Roman" w:hAnsi="Times New Roman" w:eastAsia="仿宋_GB2312" w:cstheme="minorBidi"/>
                <w:kern w:val="2"/>
                <w:sz w:val="24"/>
                <w:szCs w:val="24"/>
                <w:highlight w:val="none"/>
                <w:lang w:val="en-US" w:eastAsia="zh-CN" w:bidi="ar-SA"/>
              </w:rPr>
            </w:pPr>
            <w:r>
              <w:rPr>
                <w:rFonts w:ascii="Times New Roman" w:hAnsi="Times New Roman" w:eastAsia="仿宋_GB2312"/>
                <w:kern w:val="0"/>
                <w:sz w:val="24"/>
                <w:szCs w:val="24"/>
                <w:highlight w:val="none"/>
              </w:rPr>
              <w:t>≥</w:t>
            </w:r>
            <w:r>
              <w:rPr>
                <w:rFonts w:hint="eastAsia" w:ascii="Times New Roman" w:hAnsi="Times New Roman" w:eastAsia="仿宋_GB2312"/>
                <w:kern w:val="0"/>
                <w:sz w:val="24"/>
                <w:szCs w:val="24"/>
                <w:highlight w:val="none"/>
                <w:lang w:val="en-US" w:eastAsia="zh-CN"/>
              </w:rPr>
              <w:t>10</w:t>
            </w:r>
          </w:p>
        </w:tc>
        <w:tc>
          <w:tcPr>
            <w:tcW w:w="1170" w:type="dxa"/>
            <w:vAlign w:val="center"/>
          </w:tcPr>
          <w:p w14:paraId="650E7409">
            <w:pPr>
              <w:widowControl/>
              <w:spacing w:line="300" w:lineRule="exact"/>
              <w:jc w:val="center"/>
              <w:rPr>
                <w:rFonts w:hint="default" w:ascii="Times New Roman" w:hAnsi="Times New Roman" w:eastAsia="仿宋_GB2312" w:cstheme="minorBidi"/>
                <w:kern w:val="2"/>
                <w:sz w:val="24"/>
                <w:szCs w:val="24"/>
                <w:highlight w:val="none"/>
                <w:lang w:val="en-US" w:eastAsia="zh-CN" w:bidi="ar-SA"/>
              </w:rPr>
            </w:pPr>
            <w:r>
              <w:rPr>
                <w:rFonts w:ascii="Times New Roman" w:hAnsi="Times New Roman" w:eastAsia="仿宋_GB2312"/>
                <w:kern w:val="0"/>
                <w:sz w:val="24"/>
                <w:szCs w:val="24"/>
                <w:highlight w:val="none"/>
              </w:rPr>
              <w:t>≥</w:t>
            </w:r>
            <w:r>
              <w:rPr>
                <w:rFonts w:hint="eastAsia" w:ascii="Times New Roman" w:hAnsi="Times New Roman" w:eastAsia="仿宋_GB2312"/>
                <w:kern w:val="0"/>
                <w:sz w:val="24"/>
                <w:szCs w:val="24"/>
                <w:highlight w:val="none"/>
                <w:lang w:val="en-US" w:eastAsia="zh-CN"/>
              </w:rPr>
              <w:t>11</w:t>
            </w:r>
          </w:p>
        </w:tc>
        <w:tc>
          <w:tcPr>
            <w:tcW w:w="1095" w:type="dxa"/>
            <w:vAlign w:val="center"/>
          </w:tcPr>
          <w:p w14:paraId="26308C23">
            <w:pPr>
              <w:widowControl/>
              <w:spacing w:line="300" w:lineRule="exact"/>
              <w:jc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力争</w:t>
            </w:r>
            <w:r>
              <w:rPr>
                <w:rFonts w:ascii="Times New Roman" w:hAnsi="Times New Roman" w:eastAsia="仿宋_GB2312"/>
                <w:kern w:val="0"/>
                <w:sz w:val="24"/>
                <w:szCs w:val="24"/>
                <w:highlight w:val="none"/>
              </w:rPr>
              <w:t>≥</w:t>
            </w:r>
            <w:r>
              <w:rPr>
                <w:rFonts w:hint="eastAsia" w:ascii="Times New Roman" w:hAnsi="Times New Roman" w:eastAsia="仿宋_GB2312"/>
                <w:kern w:val="0"/>
                <w:sz w:val="24"/>
                <w:szCs w:val="24"/>
                <w:highlight w:val="none"/>
                <w:lang w:val="en-US" w:eastAsia="zh-CN"/>
              </w:rPr>
              <w:t>12</w:t>
            </w:r>
          </w:p>
        </w:tc>
        <w:tc>
          <w:tcPr>
            <w:tcW w:w="773" w:type="dxa"/>
            <w:vAlign w:val="center"/>
          </w:tcPr>
          <w:p w14:paraId="503F7866">
            <w:pPr>
              <w:widowControl/>
              <w:spacing w:line="300" w:lineRule="exact"/>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预期性</w:t>
            </w:r>
          </w:p>
        </w:tc>
        <w:tc>
          <w:tcPr>
            <w:tcW w:w="1261" w:type="dxa"/>
            <w:vAlign w:val="center"/>
          </w:tcPr>
          <w:p w14:paraId="0B52B13F">
            <w:pPr>
              <w:widowControl/>
              <w:spacing w:line="300" w:lineRule="exact"/>
              <w:jc w:val="center"/>
              <w:rPr>
                <w:rFonts w:hint="eastAsia"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县</w:t>
            </w:r>
            <w:r>
              <w:rPr>
                <w:rFonts w:ascii="Times New Roman" w:hAnsi="Times New Roman" w:eastAsia="仿宋_GB2312"/>
                <w:sz w:val="24"/>
                <w:szCs w:val="24"/>
                <w:highlight w:val="none"/>
              </w:rPr>
              <w:t>住房城乡建设局</w:t>
            </w:r>
          </w:p>
        </w:tc>
      </w:tr>
      <w:tr w14:paraId="1862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4A6A3B02">
            <w:pPr>
              <w:pStyle w:val="2"/>
              <w:spacing w:before="0" w:line="300" w:lineRule="exact"/>
              <w:jc w:val="center"/>
              <w:rPr>
                <w:rFonts w:ascii="Times New Roman" w:hAnsi="Times New Roman" w:eastAsia="仿宋_GB2312"/>
                <w:szCs w:val="24"/>
              </w:rPr>
            </w:pPr>
          </w:p>
        </w:tc>
        <w:tc>
          <w:tcPr>
            <w:tcW w:w="609" w:type="dxa"/>
            <w:vAlign w:val="center"/>
          </w:tcPr>
          <w:p w14:paraId="5AC6D1AF">
            <w:pPr>
              <w:pStyle w:val="2"/>
              <w:spacing w:before="0" w:line="300" w:lineRule="exact"/>
              <w:jc w:val="center"/>
              <w:rPr>
                <w:rFonts w:hint="default" w:ascii="Times New Roman" w:hAnsi="Times New Roman" w:eastAsia="仿宋_GB2312"/>
                <w:szCs w:val="24"/>
                <w:highlight w:val="none"/>
                <w:lang w:val="en-US" w:eastAsia="zh-CN"/>
              </w:rPr>
            </w:pPr>
            <w:r>
              <w:rPr>
                <w:rFonts w:hint="eastAsia" w:ascii="Times New Roman" w:hAnsi="Times New Roman" w:eastAsia="仿宋_GB2312"/>
                <w:szCs w:val="24"/>
                <w:highlight w:val="none"/>
                <w:lang w:val="en-US" w:eastAsia="zh-CN"/>
              </w:rPr>
              <w:t>14</w:t>
            </w:r>
          </w:p>
        </w:tc>
        <w:tc>
          <w:tcPr>
            <w:tcW w:w="1787" w:type="dxa"/>
            <w:vAlign w:val="center"/>
          </w:tcPr>
          <w:p w14:paraId="499922CA">
            <w:pPr>
              <w:widowControl/>
              <w:spacing w:line="300" w:lineRule="exact"/>
              <w:rPr>
                <w:rFonts w:hint="eastAsia"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绿美社区示范项目(个)</w:t>
            </w:r>
          </w:p>
        </w:tc>
        <w:tc>
          <w:tcPr>
            <w:tcW w:w="1006" w:type="dxa"/>
            <w:vAlign w:val="center"/>
          </w:tcPr>
          <w:p w14:paraId="72AE8EE3">
            <w:pPr>
              <w:widowControl/>
              <w:spacing w:line="300" w:lineRule="exact"/>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073" w:type="dxa"/>
            <w:vAlign w:val="center"/>
          </w:tcPr>
          <w:p w14:paraId="35A3B945">
            <w:pPr>
              <w:widowControl/>
              <w:spacing w:line="300" w:lineRule="exact"/>
              <w:jc w:val="center"/>
              <w:rPr>
                <w:rFonts w:hint="eastAsia" w:ascii="Times New Roman" w:hAnsi="Times New Roman" w:eastAsia="仿宋_GB2312"/>
                <w:kern w:val="0"/>
                <w:sz w:val="24"/>
                <w:szCs w:val="24"/>
                <w:highlight w:val="none"/>
                <w:lang w:val="en-US" w:eastAsia="zh-CN"/>
              </w:rPr>
            </w:pPr>
            <w:r>
              <w:rPr>
                <w:rFonts w:hint="eastAsia" w:ascii="Times New Roman" w:hAnsi="Times New Roman" w:eastAsia="仿宋_GB2312"/>
                <w:kern w:val="0"/>
                <w:sz w:val="24"/>
                <w:szCs w:val="24"/>
                <w:highlight w:val="none"/>
                <w:lang w:val="en-US" w:eastAsia="zh-CN"/>
              </w:rPr>
              <w:t>2</w:t>
            </w:r>
          </w:p>
        </w:tc>
        <w:tc>
          <w:tcPr>
            <w:tcW w:w="1170" w:type="dxa"/>
            <w:vAlign w:val="center"/>
          </w:tcPr>
          <w:p w14:paraId="285F1DEC">
            <w:pPr>
              <w:widowControl/>
              <w:spacing w:line="300" w:lineRule="exact"/>
              <w:jc w:val="center"/>
              <w:rPr>
                <w:rFonts w:hint="eastAsia" w:ascii="Times New Roman" w:hAnsi="Times New Roman" w:eastAsia="仿宋_GB2312"/>
                <w:kern w:val="0"/>
                <w:sz w:val="24"/>
                <w:szCs w:val="24"/>
                <w:highlight w:val="none"/>
                <w:lang w:val="en-US" w:eastAsia="zh-CN"/>
              </w:rPr>
            </w:pPr>
            <w:r>
              <w:rPr>
                <w:rFonts w:hint="eastAsia" w:ascii="Times New Roman" w:hAnsi="Times New Roman" w:eastAsia="仿宋_GB2312"/>
                <w:kern w:val="0"/>
                <w:sz w:val="24"/>
                <w:szCs w:val="24"/>
                <w:highlight w:val="none"/>
                <w:lang w:val="en-US" w:eastAsia="zh-CN"/>
              </w:rPr>
              <w:t>4</w:t>
            </w:r>
          </w:p>
        </w:tc>
        <w:tc>
          <w:tcPr>
            <w:tcW w:w="1095" w:type="dxa"/>
            <w:vAlign w:val="center"/>
          </w:tcPr>
          <w:p w14:paraId="485C1DA2">
            <w:pPr>
              <w:widowControl/>
              <w:spacing w:line="300" w:lineRule="exact"/>
              <w:jc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6</w:t>
            </w:r>
          </w:p>
        </w:tc>
        <w:tc>
          <w:tcPr>
            <w:tcW w:w="773" w:type="dxa"/>
            <w:vAlign w:val="center"/>
          </w:tcPr>
          <w:p w14:paraId="4D24758E">
            <w:pPr>
              <w:widowControl/>
              <w:spacing w:line="300" w:lineRule="exact"/>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1261" w:type="dxa"/>
            <w:vAlign w:val="center"/>
          </w:tcPr>
          <w:p w14:paraId="757C5482">
            <w:pPr>
              <w:widowControl/>
              <w:spacing w:line="300" w:lineRule="exact"/>
              <w:jc w:val="center"/>
              <w:rPr>
                <w:rFonts w:hint="eastAsia"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县</w:t>
            </w:r>
            <w:r>
              <w:rPr>
                <w:rFonts w:ascii="Times New Roman" w:hAnsi="Times New Roman" w:eastAsia="仿宋_GB2312"/>
                <w:sz w:val="24"/>
                <w:szCs w:val="24"/>
                <w:highlight w:val="none"/>
              </w:rPr>
              <w:t>住房城乡建设局</w:t>
            </w:r>
          </w:p>
        </w:tc>
      </w:tr>
      <w:tr w14:paraId="36A3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2F1EEABA">
            <w:pPr>
              <w:pStyle w:val="2"/>
              <w:spacing w:before="0" w:line="300" w:lineRule="exact"/>
              <w:jc w:val="center"/>
              <w:rPr>
                <w:rFonts w:ascii="Times New Roman" w:hAnsi="Times New Roman" w:eastAsia="仿宋_GB2312"/>
                <w:szCs w:val="24"/>
              </w:rPr>
            </w:pPr>
          </w:p>
        </w:tc>
        <w:tc>
          <w:tcPr>
            <w:tcW w:w="609" w:type="dxa"/>
            <w:vAlign w:val="center"/>
          </w:tcPr>
          <w:p w14:paraId="7F9B8528">
            <w:pPr>
              <w:pStyle w:val="2"/>
              <w:spacing w:before="0" w:line="300" w:lineRule="exact"/>
              <w:jc w:val="center"/>
              <w:rPr>
                <w:rFonts w:hint="default" w:ascii="Times New Roman" w:hAnsi="Times New Roman" w:eastAsia="仿宋_GB2312"/>
                <w:szCs w:val="24"/>
                <w:highlight w:val="none"/>
                <w:lang w:val="en-US" w:eastAsia="zh-CN"/>
              </w:rPr>
            </w:pPr>
            <w:r>
              <w:rPr>
                <w:rFonts w:hint="eastAsia" w:ascii="Times New Roman" w:hAnsi="Times New Roman" w:eastAsia="仿宋_GB2312"/>
                <w:szCs w:val="24"/>
                <w:highlight w:val="none"/>
                <w:lang w:val="en-US" w:eastAsia="zh-CN"/>
              </w:rPr>
              <w:t>15</w:t>
            </w:r>
          </w:p>
        </w:tc>
        <w:tc>
          <w:tcPr>
            <w:tcW w:w="1787" w:type="dxa"/>
            <w:vAlign w:val="center"/>
          </w:tcPr>
          <w:p w14:paraId="6BCF2DAD">
            <w:pPr>
              <w:widowControl/>
              <w:spacing w:line="300" w:lineRule="exact"/>
              <w:rPr>
                <w:rFonts w:hint="eastAsia"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建成绿美乡镇数量(个)</w:t>
            </w:r>
          </w:p>
        </w:tc>
        <w:tc>
          <w:tcPr>
            <w:tcW w:w="1006" w:type="dxa"/>
            <w:vAlign w:val="center"/>
          </w:tcPr>
          <w:p w14:paraId="1A0D133D">
            <w:pPr>
              <w:widowControl/>
              <w:spacing w:line="300" w:lineRule="exact"/>
              <w:jc w:val="center"/>
              <w:rPr>
                <w:rFonts w:hint="eastAsia" w:ascii="Times New Roman" w:hAnsi="Times New Roman" w:eastAsia="仿宋_GB2312"/>
                <w:sz w:val="24"/>
                <w:szCs w:val="24"/>
                <w:highlight w:val="none"/>
                <w:lang w:eastAsia="zh-CN"/>
              </w:rPr>
            </w:pPr>
            <w:r>
              <w:rPr>
                <w:rFonts w:hint="eastAsia" w:ascii="Times New Roman" w:hAnsi="Times New Roman" w:eastAsia="仿宋_GB2312"/>
                <w:sz w:val="24"/>
                <w:szCs w:val="24"/>
                <w:highlight w:val="none"/>
                <w:lang w:val="en-US" w:eastAsia="zh-CN"/>
              </w:rPr>
              <w:t>1</w:t>
            </w:r>
          </w:p>
        </w:tc>
        <w:tc>
          <w:tcPr>
            <w:tcW w:w="1073" w:type="dxa"/>
            <w:vAlign w:val="center"/>
          </w:tcPr>
          <w:p w14:paraId="4ECC46C1">
            <w:pPr>
              <w:widowControl/>
              <w:spacing w:line="300" w:lineRule="exact"/>
              <w:jc w:val="center"/>
              <w:rPr>
                <w:rFonts w:hint="eastAsia" w:ascii="Times New Roman" w:hAnsi="Times New Roman" w:eastAsia="仿宋_GB2312"/>
                <w:kern w:val="0"/>
                <w:sz w:val="24"/>
                <w:szCs w:val="24"/>
                <w:highlight w:val="none"/>
                <w:lang w:val="en-US" w:eastAsia="zh-CN"/>
              </w:rPr>
            </w:pPr>
            <w:r>
              <w:rPr>
                <w:rFonts w:ascii="Times New Roman" w:hAnsi="Times New Roman" w:eastAsia="仿宋_GB2312"/>
                <w:kern w:val="0"/>
                <w:sz w:val="24"/>
                <w:szCs w:val="24"/>
                <w:highlight w:val="none"/>
              </w:rPr>
              <w:t>≥</w:t>
            </w:r>
            <w:r>
              <w:rPr>
                <w:rFonts w:hint="eastAsia" w:ascii="Times New Roman" w:hAnsi="Times New Roman" w:eastAsia="仿宋_GB2312"/>
                <w:kern w:val="0"/>
                <w:sz w:val="24"/>
                <w:szCs w:val="24"/>
                <w:highlight w:val="none"/>
                <w:lang w:val="en-US" w:eastAsia="zh-CN"/>
              </w:rPr>
              <w:t>3</w:t>
            </w:r>
          </w:p>
        </w:tc>
        <w:tc>
          <w:tcPr>
            <w:tcW w:w="1170" w:type="dxa"/>
            <w:vAlign w:val="center"/>
          </w:tcPr>
          <w:p w14:paraId="227AC5C9">
            <w:pPr>
              <w:widowControl/>
              <w:spacing w:line="300" w:lineRule="exact"/>
              <w:jc w:val="center"/>
              <w:rPr>
                <w:rFonts w:ascii="Times New Roman" w:hAnsi="Times New Roman" w:eastAsia="仿宋_GB2312"/>
                <w:kern w:val="0"/>
                <w:sz w:val="24"/>
                <w:szCs w:val="24"/>
                <w:highlight w:val="none"/>
              </w:rPr>
            </w:pPr>
            <w:r>
              <w:rPr>
                <w:rFonts w:ascii="Times New Roman" w:hAnsi="Times New Roman" w:eastAsia="仿宋_GB2312"/>
                <w:sz w:val="24"/>
                <w:szCs w:val="24"/>
                <w:highlight w:val="none"/>
              </w:rPr>
              <w:t>完成省级下达目标</w:t>
            </w:r>
          </w:p>
        </w:tc>
        <w:tc>
          <w:tcPr>
            <w:tcW w:w="1095" w:type="dxa"/>
            <w:vAlign w:val="center"/>
          </w:tcPr>
          <w:p w14:paraId="0A75DE0C">
            <w:pPr>
              <w:widowControl/>
              <w:spacing w:line="300" w:lineRule="exact"/>
              <w:jc w:val="center"/>
              <w:rPr>
                <w:rFonts w:hint="eastAsia" w:ascii="Times New Roman" w:hAnsi="Times New Roman" w:eastAsia="仿宋_GB2312"/>
                <w:sz w:val="24"/>
                <w:szCs w:val="24"/>
                <w:highlight w:val="none"/>
                <w:lang w:val="en-US" w:eastAsia="zh-CN"/>
              </w:rPr>
            </w:pPr>
            <w:r>
              <w:rPr>
                <w:rFonts w:ascii="Times New Roman" w:hAnsi="Times New Roman" w:eastAsia="仿宋_GB2312"/>
                <w:sz w:val="24"/>
                <w:szCs w:val="24"/>
                <w:highlight w:val="none"/>
              </w:rPr>
              <w:t>完成省级下达目标</w:t>
            </w:r>
          </w:p>
        </w:tc>
        <w:tc>
          <w:tcPr>
            <w:tcW w:w="773" w:type="dxa"/>
            <w:vAlign w:val="center"/>
          </w:tcPr>
          <w:p w14:paraId="71E42182">
            <w:pPr>
              <w:widowControl/>
              <w:spacing w:line="300" w:lineRule="exact"/>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1261" w:type="dxa"/>
            <w:vAlign w:val="center"/>
          </w:tcPr>
          <w:p w14:paraId="0421AA81">
            <w:pPr>
              <w:widowControl/>
              <w:spacing w:line="300" w:lineRule="exact"/>
              <w:jc w:val="center"/>
              <w:rPr>
                <w:rFonts w:hint="eastAsia"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县</w:t>
            </w:r>
            <w:r>
              <w:rPr>
                <w:rFonts w:ascii="Times New Roman" w:hAnsi="Times New Roman" w:eastAsia="仿宋_GB2312"/>
                <w:sz w:val="24"/>
                <w:szCs w:val="24"/>
                <w:highlight w:val="none"/>
              </w:rPr>
              <w:t>农业农村局</w:t>
            </w:r>
          </w:p>
        </w:tc>
      </w:tr>
      <w:tr w14:paraId="154B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79600416">
            <w:pPr>
              <w:pStyle w:val="2"/>
              <w:spacing w:before="0" w:line="300" w:lineRule="exact"/>
              <w:jc w:val="center"/>
              <w:rPr>
                <w:rFonts w:ascii="Times New Roman" w:hAnsi="Times New Roman"/>
              </w:rPr>
            </w:pPr>
          </w:p>
        </w:tc>
        <w:tc>
          <w:tcPr>
            <w:tcW w:w="609" w:type="dxa"/>
            <w:vAlign w:val="center"/>
          </w:tcPr>
          <w:p w14:paraId="181685C4">
            <w:pPr>
              <w:pStyle w:val="2"/>
              <w:spacing w:before="0" w:line="300" w:lineRule="exact"/>
              <w:jc w:val="center"/>
              <w:rPr>
                <w:rFonts w:hint="default" w:ascii="Times New Roman" w:hAnsi="Times New Roman" w:eastAsia="仿宋_GB2312"/>
                <w:szCs w:val="24"/>
                <w:lang w:val="en-US" w:eastAsia="zh-CN"/>
              </w:rPr>
            </w:pPr>
            <w:r>
              <w:rPr>
                <w:rFonts w:hint="eastAsia" w:ascii="Times New Roman" w:hAnsi="Times New Roman" w:eastAsia="仿宋_GB2312"/>
                <w:szCs w:val="24"/>
                <w:lang w:val="en-US" w:eastAsia="zh-CN"/>
              </w:rPr>
              <w:t>16</w:t>
            </w:r>
          </w:p>
        </w:tc>
        <w:tc>
          <w:tcPr>
            <w:tcW w:w="1787" w:type="dxa"/>
            <w:vAlign w:val="center"/>
          </w:tcPr>
          <w:p w14:paraId="4964A4AF">
            <w:pPr>
              <w:widowControl/>
              <w:spacing w:line="300" w:lineRule="exact"/>
              <w:rPr>
                <w:rFonts w:ascii="Times New Roman" w:hAnsi="Times New Roman" w:eastAsia="仿宋_GB2312"/>
                <w:sz w:val="24"/>
                <w:szCs w:val="24"/>
              </w:rPr>
            </w:pPr>
            <w:r>
              <w:rPr>
                <w:rFonts w:ascii="Times New Roman" w:hAnsi="Times New Roman" w:eastAsia="仿宋_GB2312"/>
                <w:sz w:val="24"/>
                <w:szCs w:val="24"/>
              </w:rPr>
              <w:t>建成绿美村庄占辖区内行政村比例（%）</w:t>
            </w:r>
          </w:p>
        </w:tc>
        <w:tc>
          <w:tcPr>
            <w:tcW w:w="1006" w:type="dxa"/>
            <w:vAlign w:val="center"/>
          </w:tcPr>
          <w:p w14:paraId="085F78C6">
            <w:pPr>
              <w:widowControl/>
              <w:spacing w:line="30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10</w:t>
            </w:r>
          </w:p>
        </w:tc>
        <w:tc>
          <w:tcPr>
            <w:tcW w:w="1073" w:type="dxa"/>
            <w:vAlign w:val="center"/>
          </w:tcPr>
          <w:p w14:paraId="1753A02B">
            <w:pPr>
              <w:widowControl/>
              <w:spacing w:line="30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30</w:t>
            </w:r>
          </w:p>
        </w:tc>
        <w:tc>
          <w:tcPr>
            <w:tcW w:w="1170" w:type="dxa"/>
            <w:vAlign w:val="center"/>
          </w:tcPr>
          <w:p w14:paraId="3489127F">
            <w:pPr>
              <w:widowControl/>
              <w:spacing w:line="300" w:lineRule="exact"/>
              <w:jc w:val="center"/>
              <w:rPr>
                <w:rFonts w:ascii="Times New Roman" w:hAnsi="Times New Roman" w:eastAsia="仿宋_GB2312"/>
                <w:sz w:val="24"/>
                <w:szCs w:val="24"/>
              </w:rPr>
            </w:pPr>
            <w:r>
              <w:rPr>
                <w:rFonts w:ascii="Times New Roman" w:hAnsi="Times New Roman" w:eastAsia="仿宋_GB2312"/>
                <w:sz w:val="24"/>
                <w:szCs w:val="24"/>
                <w:highlight w:val="none"/>
              </w:rPr>
              <w:t>完成省级下达目标</w:t>
            </w:r>
          </w:p>
        </w:tc>
        <w:tc>
          <w:tcPr>
            <w:tcW w:w="1095" w:type="dxa"/>
            <w:vAlign w:val="center"/>
          </w:tcPr>
          <w:p w14:paraId="068493CB">
            <w:pPr>
              <w:widowControl/>
              <w:spacing w:line="300" w:lineRule="exact"/>
              <w:jc w:val="center"/>
              <w:rPr>
                <w:rFonts w:ascii="Times New Roman" w:hAnsi="Times New Roman" w:eastAsia="仿宋_GB2312"/>
                <w:sz w:val="24"/>
                <w:szCs w:val="24"/>
              </w:rPr>
            </w:pPr>
            <w:r>
              <w:rPr>
                <w:rFonts w:ascii="Times New Roman" w:hAnsi="Times New Roman" w:eastAsia="仿宋_GB2312"/>
                <w:sz w:val="24"/>
                <w:szCs w:val="24"/>
                <w:highlight w:val="none"/>
              </w:rPr>
              <w:t>完成省级下达目标</w:t>
            </w:r>
          </w:p>
        </w:tc>
        <w:tc>
          <w:tcPr>
            <w:tcW w:w="773" w:type="dxa"/>
            <w:vAlign w:val="center"/>
          </w:tcPr>
          <w:p w14:paraId="093D8824">
            <w:pPr>
              <w:widowControl/>
              <w:spacing w:line="300" w:lineRule="exact"/>
              <w:jc w:val="center"/>
              <w:rPr>
                <w:rFonts w:ascii="Times New Roman" w:hAnsi="Times New Roman" w:eastAsia="仿宋_GB2312"/>
                <w:sz w:val="24"/>
                <w:szCs w:val="24"/>
              </w:rPr>
            </w:pPr>
            <w:r>
              <w:rPr>
                <w:rFonts w:ascii="Times New Roman" w:hAnsi="Times New Roman" w:eastAsia="仿宋_GB2312"/>
                <w:sz w:val="24"/>
                <w:szCs w:val="24"/>
              </w:rPr>
              <w:t>预期性</w:t>
            </w:r>
          </w:p>
        </w:tc>
        <w:tc>
          <w:tcPr>
            <w:tcW w:w="1261" w:type="dxa"/>
            <w:vAlign w:val="center"/>
          </w:tcPr>
          <w:p w14:paraId="595E545C">
            <w:pPr>
              <w:widowControl/>
              <w:spacing w:line="300" w:lineRule="exact"/>
              <w:jc w:val="center"/>
              <w:rPr>
                <w:rFonts w:ascii="Times New Roman" w:hAnsi="Times New Roman" w:eastAsia="仿宋_GB2312"/>
                <w:sz w:val="24"/>
                <w:szCs w:val="24"/>
              </w:rPr>
            </w:pPr>
            <w:r>
              <w:rPr>
                <w:rFonts w:hint="eastAsia" w:ascii="Times New Roman" w:hAnsi="Times New Roman" w:eastAsia="仿宋_GB2312"/>
                <w:sz w:val="24"/>
                <w:szCs w:val="24"/>
                <w:lang w:val="en-US" w:eastAsia="zh-CN"/>
              </w:rPr>
              <w:t>县</w:t>
            </w:r>
            <w:r>
              <w:rPr>
                <w:rFonts w:ascii="Times New Roman" w:hAnsi="Times New Roman" w:eastAsia="仿宋_GB2312"/>
                <w:sz w:val="24"/>
                <w:szCs w:val="24"/>
              </w:rPr>
              <w:t>农业农村局</w:t>
            </w:r>
          </w:p>
        </w:tc>
      </w:tr>
      <w:tr w14:paraId="5936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F20A340">
            <w:pPr>
              <w:pStyle w:val="2"/>
              <w:spacing w:before="0" w:line="300" w:lineRule="exact"/>
              <w:jc w:val="center"/>
              <w:rPr>
                <w:rFonts w:ascii="Times New Roman" w:hAnsi="Times New Roman" w:eastAsia="仿宋_GB2312"/>
                <w:szCs w:val="24"/>
              </w:rPr>
            </w:pPr>
          </w:p>
        </w:tc>
        <w:tc>
          <w:tcPr>
            <w:tcW w:w="609" w:type="dxa"/>
            <w:vAlign w:val="center"/>
          </w:tcPr>
          <w:p w14:paraId="36DE40FD">
            <w:pPr>
              <w:pStyle w:val="2"/>
              <w:spacing w:before="0" w:line="300" w:lineRule="exact"/>
              <w:jc w:val="center"/>
              <w:rPr>
                <w:rFonts w:hint="default" w:ascii="Times New Roman" w:hAnsi="Times New Roman" w:eastAsia="仿宋_GB2312"/>
                <w:szCs w:val="24"/>
                <w:lang w:val="en-US" w:eastAsia="zh-CN"/>
              </w:rPr>
            </w:pPr>
            <w:r>
              <w:rPr>
                <w:rFonts w:hint="eastAsia" w:ascii="Times New Roman" w:hAnsi="Times New Roman" w:eastAsia="仿宋_GB2312"/>
                <w:szCs w:val="24"/>
                <w:lang w:val="en-US" w:eastAsia="zh-CN"/>
              </w:rPr>
              <w:t>17</w:t>
            </w:r>
          </w:p>
        </w:tc>
        <w:tc>
          <w:tcPr>
            <w:tcW w:w="1787" w:type="dxa"/>
            <w:vAlign w:val="center"/>
          </w:tcPr>
          <w:p w14:paraId="5E354ED5">
            <w:pPr>
              <w:widowControl/>
              <w:spacing w:line="300" w:lineRule="exact"/>
              <w:rPr>
                <w:rFonts w:ascii="Times New Roman" w:hAnsi="Times New Roman" w:eastAsia="仿宋_GB2312"/>
                <w:sz w:val="24"/>
                <w:szCs w:val="24"/>
              </w:rPr>
            </w:pPr>
            <w:r>
              <w:rPr>
                <w:rFonts w:ascii="Times New Roman" w:hAnsi="Times New Roman" w:eastAsia="仿宋_GB2312"/>
                <w:sz w:val="24"/>
                <w:szCs w:val="24"/>
              </w:rPr>
              <w:t>建成绿美公路总里程（公里）</w:t>
            </w:r>
          </w:p>
        </w:tc>
        <w:tc>
          <w:tcPr>
            <w:tcW w:w="1006" w:type="dxa"/>
            <w:vAlign w:val="center"/>
          </w:tcPr>
          <w:p w14:paraId="0D540E65">
            <w:pPr>
              <w:widowControl/>
              <w:spacing w:line="300" w:lineRule="exact"/>
              <w:jc w:val="center"/>
              <w:rPr>
                <w:rFonts w:ascii="Times New Roman" w:hAnsi="Times New Roman" w:eastAsia="仿宋_GB2312"/>
                <w:sz w:val="24"/>
                <w:szCs w:val="24"/>
                <w:highlight w:val="none"/>
              </w:rPr>
            </w:pPr>
            <w:r>
              <w:rPr>
                <w:rFonts w:hint="eastAsia" w:ascii="Times New Roman" w:hAnsi="Times New Roman" w:eastAsia="仿宋_GB2312"/>
                <w:sz w:val="24"/>
                <w:highlight w:val="none"/>
              </w:rPr>
              <w:t>203</w:t>
            </w:r>
          </w:p>
        </w:tc>
        <w:tc>
          <w:tcPr>
            <w:tcW w:w="1073" w:type="dxa"/>
            <w:vAlign w:val="center"/>
          </w:tcPr>
          <w:p w14:paraId="3C1AB806">
            <w:pPr>
              <w:widowControl/>
              <w:spacing w:line="300" w:lineRule="exact"/>
              <w:jc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highlight w:val="none"/>
              </w:rPr>
              <w:t>4</w:t>
            </w:r>
            <w:r>
              <w:rPr>
                <w:rFonts w:hint="eastAsia" w:ascii="Times New Roman" w:hAnsi="Times New Roman" w:eastAsia="仿宋_GB2312"/>
                <w:sz w:val="24"/>
                <w:highlight w:val="none"/>
                <w:lang w:val="en-US" w:eastAsia="zh-CN"/>
              </w:rPr>
              <w:t>80</w:t>
            </w:r>
          </w:p>
        </w:tc>
        <w:tc>
          <w:tcPr>
            <w:tcW w:w="1170" w:type="dxa"/>
            <w:vAlign w:val="center"/>
          </w:tcPr>
          <w:p w14:paraId="30F8B72E">
            <w:pPr>
              <w:widowControl/>
              <w:spacing w:line="300" w:lineRule="exact"/>
              <w:jc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highlight w:val="none"/>
                <w:lang w:val="en-US" w:eastAsia="zh-CN"/>
              </w:rPr>
              <w:t>630</w:t>
            </w:r>
          </w:p>
        </w:tc>
        <w:tc>
          <w:tcPr>
            <w:tcW w:w="1095" w:type="dxa"/>
            <w:vAlign w:val="center"/>
          </w:tcPr>
          <w:p w14:paraId="73FE86C9">
            <w:pPr>
              <w:widowControl/>
              <w:spacing w:line="300" w:lineRule="exact"/>
              <w:jc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highlight w:val="none"/>
                <w:lang w:val="en-US" w:eastAsia="zh-CN"/>
              </w:rPr>
              <w:t>670</w:t>
            </w:r>
          </w:p>
        </w:tc>
        <w:tc>
          <w:tcPr>
            <w:tcW w:w="773" w:type="dxa"/>
            <w:vAlign w:val="center"/>
          </w:tcPr>
          <w:p w14:paraId="52D779EA">
            <w:pPr>
              <w:widowControl/>
              <w:spacing w:line="300" w:lineRule="exact"/>
              <w:jc w:val="center"/>
              <w:rPr>
                <w:rFonts w:ascii="Times New Roman" w:hAnsi="Times New Roman" w:eastAsia="仿宋_GB2312"/>
                <w:sz w:val="24"/>
                <w:szCs w:val="24"/>
              </w:rPr>
            </w:pPr>
            <w:r>
              <w:rPr>
                <w:rFonts w:ascii="Times New Roman" w:hAnsi="Times New Roman" w:eastAsia="仿宋_GB2312"/>
                <w:sz w:val="24"/>
                <w:szCs w:val="24"/>
              </w:rPr>
              <w:t>预期性</w:t>
            </w:r>
          </w:p>
        </w:tc>
        <w:tc>
          <w:tcPr>
            <w:tcW w:w="1261" w:type="dxa"/>
            <w:vAlign w:val="center"/>
          </w:tcPr>
          <w:p w14:paraId="71904AAB">
            <w:pPr>
              <w:widowControl/>
              <w:spacing w:line="300" w:lineRule="exact"/>
              <w:jc w:val="center"/>
              <w:rPr>
                <w:rFonts w:ascii="Times New Roman" w:hAnsi="Times New Roman" w:eastAsia="仿宋_GB2312"/>
                <w:sz w:val="24"/>
                <w:szCs w:val="24"/>
              </w:rPr>
            </w:pPr>
            <w:r>
              <w:rPr>
                <w:rFonts w:hint="eastAsia" w:ascii="Times New Roman" w:hAnsi="Times New Roman" w:eastAsia="仿宋_GB2312"/>
                <w:sz w:val="24"/>
                <w:szCs w:val="24"/>
                <w:lang w:val="en-US" w:eastAsia="zh-CN"/>
              </w:rPr>
              <w:t>县</w:t>
            </w:r>
            <w:r>
              <w:rPr>
                <w:rFonts w:ascii="Times New Roman" w:hAnsi="Times New Roman" w:eastAsia="仿宋_GB2312"/>
                <w:sz w:val="24"/>
                <w:szCs w:val="24"/>
              </w:rPr>
              <w:t>交通运输局</w:t>
            </w:r>
          </w:p>
        </w:tc>
      </w:tr>
      <w:tr w14:paraId="778C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5AE75576">
            <w:pPr>
              <w:pStyle w:val="2"/>
              <w:spacing w:before="0" w:line="300" w:lineRule="exact"/>
              <w:jc w:val="center"/>
              <w:rPr>
                <w:rFonts w:ascii="Times New Roman" w:hAnsi="Times New Roman" w:eastAsia="仿宋_GB2312"/>
                <w:szCs w:val="24"/>
              </w:rPr>
            </w:pPr>
          </w:p>
        </w:tc>
        <w:tc>
          <w:tcPr>
            <w:tcW w:w="609" w:type="dxa"/>
            <w:vAlign w:val="center"/>
          </w:tcPr>
          <w:p w14:paraId="390095CE">
            <w:pPr>
              <w:pStyle w:val="2"/>
              <w:spacing w:before="0" w:line="300" w:lineRule="exact"/>
              <w:jc w:val="center"/>
              <w:rPr>
                <w:rFonts w:hint="default" w:ascii="Times New Roman" w:hAnsi="Times New Roman" w:eastAsia="仿宋_GB2312"/>
                <w:szCs w:val="24"/>
                <w:lang w:val="en-US" w:eastAsia="zh-CN"/>
              </w:rPr>
            </w:pPr>
            <w:r>
              <w:rPr>
                <w:rFonts w:hint="eastAsia" w:ascii="Times New Roman" w:hAnsi="Times New Roman" w:eastAsia="仿宋_GB2312"/>
                <w:szCs w:val="24"/>
                <w:lang w:val="en-US" w:eastAsia="zh-CN"/>
              </w:rPr>
              <w:t>18</w:t>
            </w:r>
          </w:p>
        </w:tc>
        <w:tc>
          <w:tcPr>
            <w:tcW w:w="1787" w:type="dxa"/>
            <w:vAlign w:val="center"/>
          </w:tcPr>
          <w:p w14:paraId="44513CEC">
            <w:pPr>
              <w:widowControl/>
              <w:spacing w:line="300" w:lineRule="exact"/>
              <w:rPr>
                <w:rFonts w:ascii="Times New Roman" w:hAnsi="Times New Roman" w:eastAsia="仿宋_GB2312"/>
                <w:sz w:val="24"/>
                <w:szCs w:val="24"/>
              </w:rPr>
            </w:pPr>
            <w:r>
              <w:rPr>
                <w:rFonts w:ascii="Times New Roman" w:hAnsi="Times New Roman" w:eastAsia="仿宋_GB2312"/>
                <w:sz w:val="24"/>
                <w:szCs w:val="24"/>
              </w:rPr>
              <w:t>建成绿美河湖（个/条）</w:t>
            </w:r>
          </w:p>
        </w:tc>
        <w:tc>
          <w:tcPr>
            <w:tcW w:w="1006" w:type="dxa"/>
            <w:vAlign w:val="center"/>
          </w:tcPr>
          <w:p w14:paraId="01E8EA69">
            <w:pPr>
              <w:widowControl/>
              <w:spacing w:line="30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w:t>
            </w:r>
          </w:p>
        </w:tc>
        <w:tc>
          <w:tcPr>
            <w:tcW w:w="1073" w:type="dxa"/>
            <w:vAlign w:val="center"/>
          </w:tcPr>
          <w:p w14:paraId="583AAB92">
            <w:pPr>
              <w:widowControl/>
              <w:spacing w:line="30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1</w:t>
            </w:r>
          </w:p>
        </w:tc>
        <w:tc>
          <w:tcPr>
            <w:tcW w:w="1170" w:type="dxa"/>
            <w:vAlign w:val="center"/>
          </w:tcPr>
          <w:p w14:paraId="7D2696D9">
            <w:pPr>
              <w:widowControl/>
              <w:spacing w:line="300" w:lineRule="exact"/>
              <w:jc w:val="center"/>
              <w:rPr>
                <w:rFonts w:ascii="Times New Roman" w:hAnsi="Times New Roman" w:eastAsia="仿宋_GB2312"/>
                <w:sz w:val="24"/>
                <w:szCs w:val="24"/>
              </w:rPr>
            </w:pPr>
            <w:r>
              <w:rPr>
                <w:rFonts w:ascii="Times New Roman" w:hAnsi="Times New Roman" w:eastAsia="仿宋_GB2312"/>
                <w:sz w:val="24"/>
                <w:szCs w:val="24"/>
              </w:rPr>
              <w:t>完成省级下达目标</w:t>
            </w:r>
          </w:p>
        </w:tc>
        <w:tc>
          <w:tcPr>
            <w:tcW w:w="1095" w:type="dxa"/>
            <w:vAlign w:val="center"/>
          </w:tcPr>
          <w:p w14:paraId="79839980">
            <w:pPr>
              <w:widowControl/>
              <w:spacing w:line="300" w:lineRule="exact"/>
              <w:jc w:val="center"/>
              <w:rPr>
                <w:rFonts w:ascii="Times New Roman" w:hAnsi="Times New Roman" w:eastAsia="仿宋_GB2312"/>
                <w:sz w:val="24"/>
                <w:szCs w:val="24"/>
              </w:rPr>
            </w:pPr>
            <w:r>
              <w:rPr>
                <w:rFonts w:ascii="Times New Roman" w:hAnsi="Times New Roman" w:eastAsia="仿宋_GB2312"/>
                <w:sz w:val="24"/>
                <w:szCs w:val="24"/>
              </w:rPr>
              <w:t>完成省级下达目标</w:t>
            </w:r>
          </w:p>
        </w:tc>
        <w:tc>
          <w:tcPr>
            <w:tcW w:w="773" w:type="dxa"/>
            <w:vAlign w:val="center"/>
          </w:tcPr>
          <w:p w14:paraId="48D1F092">
            <w:pPr>
              <w:widowControl/>
              <w:spacing w:line="300" w:lineRule="exact"/>
              <w:jc w:val="center"/>
              <w:rPr>
                <w:rFonts w:ascii="Times New Roman" w:hAnsi="Times New Roman" w:eastAsia="仿宋_GB2312"/>
                <w:sz w:val="24"/>
                <w:szCs w:val="24"/>
              </w:rPr>
            </w:pPr>
            <w:r>
              <w:rPr>
                <w:rFonts w:ascii="Times New Roman" w:hAnsi="Times New Roman" w:eastAsia="仿宋_GB2312"/>
                <w:sz w:val="24"/>
                <w:szCs w:val="24"/>
              </w:rPr>
              <w:t>预期性</w:t>
            </w:r>
          </w:p>
        </w:tc>
        <w:tc>
          <w:tcPr>
            <w:tcW w:w="1261" w:type="dxa"/>
            <w:vAlign w:val="center"/>
          </w:tcPr>
          <w:p w14:paraId="4D4B40AE">
            <w:pPr>
              <w:widowControl/>
              <w:spacing w:line="300" w:lineRule="exact"/>
              <w:jc w:val="center"/>
              <w:rPr>
                <w:rFonts w:ascii="Times New Roman" w:hAnsi="Times New Roman" w:eastAsia="仿宋_GB2312"/>
                <w:sz w:val="24"/>
                <w:szCs w:val="24"/>
              </w:rPr>
            </w:pPr>
            <w:r>
              <w:rPr>
                <w:rFonts w:hint="eastAsia" w:ascii="Times New Roman" w:hAnsi="Times New Roman" w:eastAsia="仿宋_GB2312"/>
                <w:sz w:val="24"/>
                <w:szCs w:val="24"/>
                <w:lang w:val="en-US" w:eastAsia="zh-CN"/>
              </w:rPr>
              <w:t>县</w:t>
            </w:r>
            <w:r>
              <w:rPr>
                <w:rFonts w:ascii="Times New Roman" w:hAnsi="Times New Roman" w:eastAsia="仿宋_GB2312"/>
                <w:sz w:val="24"/>
                <w:szCs w:val="24"/>
              </w:rPr>
              <w:t>水务局</w:t>
            </w:r>
          </w:p>
        </w:tc>
      </w:tr>
      <w:tr w14:paraId="1703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290C1ABA">
            <w:pPr>
              <w:pStyle w:val="2"/>
              <w:spacing w:before="0" w:line="300" w:lineRule="exact"/>
              <w:jc w:val="center"/>
              <w:rPr>
                <w:rFonts w:ascii="Times New Roman" w:hAnsi="Times New Roman" w:eastAsia="仿宋_GB2312"/>
                <w:szCs w:val="24"/>
              </w:rPr>
            </w:pPr>
          </w:p>
        </w:tc>
        <w:tc>
          <w:tcPr>
            <w:tcW w:w="609" w:type="dxa"/>
            <w:vAlign w:val="center"/>
          </w:tcPr>
          <w:p w14:paraId="45E567F4">
            <w:pPr>
              <w:pStyle w:val="2"/>
              <w:spacing w:before="0" w:line="300" w:lineRule="exact"/>
              <w:jc w:val="center"/>
              <w:rPr>
                <w:rFonts w:hint="default" w:ascii="Times New Roman" w:hAnsi="Times New Roman" w:eastAsia="仿宋_GB2312"/>
                <w:szCs w:val="24"/>
                <w:lang w:val="en-US" w:eastAsia="zh-CN"/>
              </w:rPr>
            </w:pPr>
            <w:r>
              <w:rPr>
                <w:rFonts w:hint="eastAsia" w:ascii="Times New Roman" w:hAnsi="Times New Roman" w:eastAsia="仿宋_GB2312"/>
                <w:szCs w:val="24"/>
                <w:lang w:val="en-US" w:eastAsia="zh-CN"/>
              </w:rPr>
              <w:t>19</w:t>
            </w:r>
          </w:p>
        </w:tc>
        <w:tc>
          <w:tcPr>
            <w:tcW w:w="1787" w:type="dxa"/>
            <w:vAlign w:val="center"/>
          </w:tcPr>
          <w:p w14:paraId="2542A56F">
            <w:pPr>
              <w:widowControl/>
              <w:spacing w:line="300" w:lineRule="exact"/>
              <w:rPr>
                <w:rFonts w:ascii="Times New Roman" w:hAnsi="Times New Roman" w:eastAsia="仿宋_GB2312"/>
                <w:sz w:val="24"/>
                <w:szCs w:val="24"/>
              </w:rPr>
            </w:pPr>
            <w:r>
              <w:rPr>
                <w:rFonts w:ascii="Times New Roman" w:hAnsi="Times New Roman" w:eastAsia="仿宋_GB2312"/>
                <w:sz w:val="24"/>
                <w:szCs w:val="24"/>
              </w:rPr>
              <w:t>绿美校园数量（所）</w:t>
            </w:r>
          </w:p>
        </w:tc>
        <w:tc>
          <w:tcPr>
            <w:tcW w:w="1006" w:type="dxa"/>
            <w:vAlign w:val="center"/>
          </w:tcPr>
          <w:p w14:paraId="27AFAF63">
            <w:pPr>
              <w:widowControl/>
              <w:spacing w:line="300" w:lineRule="exact"/>
              <w:jc w:val="center"/>
              <w:rPr>
                <w:rFonts w:ascii="Times New Roman" w:hAnsi="Times New Roman" w:eastAsia="仿宋_GB2312"/>
                <w:sz w:val="24"/>
                <w:szCs w:val="24"/>
              </w:rPr>
            </w:pPr>
            <w:r>
              <w:rPr>
                <w:rFonts w:ascii="Times New Roman" w:hAnsi="Times New Roman" w:eastAsia="仿宋_GB2312"/>
                <w:sz w:val="24"/>
                <w:szCs w:val="24"/>
              </w:rPr>
              <w:t>--</w:t>
            </w:r>
          </w:p>
        </w:tc>
        <w:tc>
          <w:tcPr>
            <w:tcW w:w="1073" w:type="dxa"/>
            <w:vAlign w:val="center"/>
          </w:tcPr>
          <w:p w14:paraId="3BF30C9D">
            <w:pPr>
              <w:widowControl/>
              <w:spacing w:line="300" w:lineRule="exact"/>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4</w:t>
            </w:r>
          </w:p>
        </w:tc>
        <w:tc>
          <w:tcPr>
            <w:tcW w:w="1170" w:type="dxa"/>
            <w:vAlign w:val="center"/>
          </w:tcPr>
          <w:p w14:paraId="5F7688F2">
            <w:pPr>
              <w:widowControl/>
              <w:spacing w:line="30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8</w:t>
            </w:r>
          </w:p>
        </w:tc>
        <w:tc>
          <w:tcPr>
            <w:tcW w:w="1095" w:type="dxa"/>
            <w:vAlign w:val="center"/>
          </w:tcPr>
          <w:p w14:paraId="3B021513">
            <w:pPr>
              <w:widowControl/>
              <w:spacing w:line="30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12</w:t>
            </w:r>
          </w:p>
        </w:tc>
        <w:tc>
          <w:tcPr>
            <w:tcW w:w="773" w:type="dxa"/>
            <w:vAlign w:val="center"/>
          </w:tcPr>
          <w:p w14:paraId="0284C0EA">
            <w:pPr>
              <w:widowControl/>
              <w:spacing w:line="300" w:lineRule="exact"/>
              <w:jc w:val="center"/>
              <w:rPr>
                <w:rFonts w:ascii="Times New Roman" w:hAnsi="Times New Roman" w:eastAsia="仿宋_GB2312"/>
                <w:sz w:val="24"/>
                <w:szCs w:val="24"/>
              </w:rPr>
            </w:pPr>
            <w:r>
              <w:rPr>
                <w:rFonts w:ascii="Times New Roman" w:hAnsi="Times New Roman" w:eastAsia="仿宋_GB2312"/>
                <w:sz w:val="24"/>
                <w:szCs w:val="24"/>
              </w:rPr>
              <w:t>预期性</w:t>
            </w:r>
          </w:p>
        </w:tc>
        <w:tc>
          <w:tcPr>
            <w:tcW w:w="1261" w:type="dxa"/>
            <w:vAlign w:val="center"/>
          </w:tcPr>
          <w:p w14:paraId="3F705C0B">
            <w:pPr>
              <w:widowControl/>
              <w:spacing w:line="300" w:lineRule="exact"/>
              <w:jc w:val="center"/>
              <w:rPr>
                <w:rFonts w:ascii="Times New Roman" w:hAnsi="Times New Roman" w:eastAsia="仿宋_GB2312"/>
                <w:sz w:val="24"/>
                <w:szCs w:val="24"/>
              </w:rPr>
            </w:pPr>
            <w:r>
              <w:rPr>
                <w:rFonts w:hint="eastAsia" w:ascii="Times New Roman" w:hAnsi="Times New Roman" w:eastAsia="仿宋_GB2312"/>
                <w:sz w:val="24"/>
                <w:szCs w:val="24"/>
                <w:lang w:val="en-US" w:eastAsia="zh-CN"/>
              </w:rPr>
              <w:t>县</w:t>
            </w:r>
            <w:r>
              <w:rPr>
                <w:rFonts w:ascii="Times New Roman" w:hAnsi="Times New Roman" w:eastAsia="仿宋_GB2312"/>
                <w:sz w:val="24"/>
                <w:szCs w:val="24"/>
              </w:rPr>
              <w:t>教育体育局</w:t>
            </w:r>
          </w:p>
        </w:tc>
      </w:tr>
      <w:tr w14:paraId="01BD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1B157174">
            <w:pPr>
              <w:pStyle w:val="2"/>
              <w:spacing w:before="0" w:line="300" w:lineRule="exact"/>
              <w:jc w:val="center"/>
              <w:rPr>
                <w:rFonts w:ascii="Times New Roman" w:hAnsi="Times New Roman" w:eastAsia="仿宋_GB2312"/>
                <w:szCs w:val="24"/>
              </w:rPr>
            </w:pPr>
          </w:p>
        </w:tc>
        <w:tc>
          <w:tcPr>
            <w:tcW w:w="609" w:type="dxa"/>
            <w:vAlign w:val="center"/>
          </w:tcPr>
          <w:p w14:paraId="1A47019F">
            <w:pPr>
              <w:pStyle w:val="2"/>
              <w:spacing w:before="0" w:line="300" w:lineRule="exact"/>
              <w:jc w:val="center"/>
              <w:rPr>
                <w:rFonts w:hint="default" w:ascii="Times New Roman" w:hAnsi="Times New Roman" w:eastAsia="仿宋_GB2312"/>
                <w:szCs w:val="24"/>
                <w:lang w:val="en-US" w:eastAsia="zh-CN"/>
              </w:rPr>
            </w:pPr>
            <w:r>
              <w:rPr>
                <w:rFonts w:hint="eastAsia" w:ascii="Times New Roman" w:hAnsi="Times New Roman" w:eastAsia="仿宋_GB2312"/>
                <w:szCs w:val="24"/>
                <w:lang w:val="en-US" w:eastAsia="zh-CN"/>
              </w:rPr>
              <w:t>20</w:t>
            </w:r>
          </w:p>
        </w:tc>
        <w:tc>
          <w:tcPr>
            <w:tcW w:w="1787" w:type="dxa"/>
            <w:vAlign w:val="center"/>
          </w:tcPr>
          <w:p w14:paraId="6D26AB5F">
            <w:pPr>
              <w:widowControl/>
              <w:spacing w:line="300" w:lineRule="exact"/>
              <w:rPr>
                <w:rFonts w:ascii="Times New Roman" w:hAnsi="Times New Roman" w:eastAsia="仿宋_GB2312"/>
                <w:sz w:val="24"/>
                <w:szCs w:val="24"/>
              </w:rPr>
            </w:pPr>
            <w:r>
              <w:rPr>
                <w:rFonts w:ascii="Times New Roman" w:hAnsi="Times New Roman" w:eastAsia="仿宋_GB2312"/>
                <w:sz w:val="24"/>
                <w:szCs w:val="24"/>
              </w:rPr>
              <w:t>绿美景区占比（%）</w:t>
            </w:r>
          </w:p>
        </w:tc>
        <w:tc>
          <w:tcPr>
            <w:tcW w:w="1006" w:type="dxa"/>
            <w:vAlign w:val="center"/>
          </w:tcPr>
          <w:p w14:paraId="1834AB2A">
            <w:pPr>
              <w:widowControl/>
              <w:spacing w:line="300" w:lineRule="exact"/>
              <w:jc w:val="center"/>
              <w:rPr>
                <w:rFonts w:ascii="Times New Roman" w:hAnsi="Times New Roman" w:eastAsia="仿宋_GB2312"/>
                <w:sz w:val="24"/>
                <w:szCs w:val="24"/>
              </w:rPr>
            </w:pPr>
            <w:r>
              <w:rPr>
                <w:rFonts w:ascii="Times New Roman" w:hAnsi="Times New Roman" w:eastAsia="仿宋_GB2312"/>
                <w:sz w:val="24"/>
                <w:szCs w:val="24"/>
              </w:rPr>
              <w:t>--</w:t>
            </w:r>
          </w:p>
        </w:tc>
        <w:tc>
          <w:tcPr>
            <w:tcW w:w="1073" w:type="dxa"/>
            <w:vAlign w:val="center"/>
          </w:tcPr>
          <w:p w14:paraId="357FF360">
            <w:pPr>
              <w:widowControl/>
              <w:spacing w:line="30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100</w:t>
            </w:r>
          </w:p>
        </w:tc>
        <w:tc>
          <w:tcPr>
            <w:tcW w:w="1170" w:type="dxa"/>
            <w:vAlign w:val="center"/>
          </w:tcPr>
          <w:p w14:paraId="7968B945">
            <w:pPr>
              <w:widowControl/>
              <w:spacing w:line="30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100</w:t>
            </w:r>
          </w:p>
        </w:tc>
        <w:tc>
          <w:tcPr>
            <w:tcW w:w="1095" w:type="dxa"/>
            <w:vAlign w:val="center"/>
          </w:tcPr>
          <w:p w14:paraId="17DA9AC6">
            <w:pPr>
              <w:widowControl/>
              <w:spacing w:line="30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100</w:t>
            </w:r>
          </w:p>
        </w:tc>
        <w:tc>
          <w:tcPr>
            <w:tcW w:w="773" w:type="dxa"/>
            <w:vAlign w:val="center"/>
          </w:tcPr>
          <w:p w14:paraId="055BAFE3">
            <w:pPr>
              <w:widowControl/>
              <w:spacing w:line="300" w:lineRule="exact"/>
              <w:jc w:val="center"/>
              <w:rPr>
                <w:rFonts w:ascii="Times New Roman" w:hAnsi="Times New Roman" w:eastAsia="仿宋_GB2312"/>
                <w:sz w:val="24"/>
                <w:szCs w:val="24"/>
              </w:rPr>
            </w:pPr>
            <w:r>
              <w:rPr>
                <w:rFonts w:ascii="Times New Roman" w:hAnsi="Times New Roman" w:eastAsia="仿宋_GB2312"/>
                <w:sz w:val="24"/>
                <w:szCs w:val="24"/>
              </w:rPr>
              <w:t>预期性</w:t>
            </w:r>
          </w:p>
        </w:tc>
        <w:tc>
          <w:tcPr>
            <w:tcW w:w="1261" w:type="dxa"/>
            <w:vAlign w:val="center"/>
          </w:tcPr>
          <w:p w14:paraId="5816DAC4">
            <w:pPr>
              <w:widowControl/>
              <w:spacing w:line="300" w:lineRule="exact"/>
              <w:jc w:val="center"/>
              <w:rPr>
                <w:rFonts w:ascii="Times New Roman" w:hAnsi="Times New Roman" w:eastAsia="仿宋_GB2312"/>
                <w:sz w:val="24"/>
                <w:szCs w:val="24"/>
              </w:rPr>
            </w:pPr>
            <w:r>
              <w:rPr>
                <w:rFonts w:hint="eastAsia" w:ascii="Times New Roman" w:hAnsi="Times New Roman" w:eastAsia="仿宋_GB2312"/>
                <w:sz w:val="24"/>
                <w:szCs w:val="24"/>
                <w:lang w:val="en-US" w:eastAsia="zh-CN"/>
              </w:rPr>
              <w:t>县</w:t>
            </w:r>
            <w:r>
              <w:rPr>
                <w:rFonts w:ascii="Times New Roman" w:hAnsi="Times New Roman" w:eastAsia="仿宋_GB2312"/>
                <w:sz w:val="24"/>
                <w:szCs w:val="24"/>
              </w:rPr>
              <w:t>文化和旅游局</w:t>
            </w:r>
          </w:p>
        </w:tc>
      </w:tr>
      <w:tr w14:paraId="506A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24628BC8">
            <w:pPr>
              <w:pStyle w:val="2"/>
              <w:spacing w:before="0" w:line="300" w:lineRule="exact"/>
              <w:jc w:val="center"/>
              <w:rPr>
                <w:rFonts w:ascii="Times New Roman" w:hAnsi="Times New Roman" w:eastAsia="仿宋_GB2312"/>
                <w:szCs w:val="24"/>
              </w:rPr>
            </w:pPr>
            <w:r>
              <w:rPr>
                <w:rFonts w:ascii="Times New Roman" w:hAnsi="Times New Roman" w:eastAsia="仿宋_GB2312"/>
                <w:szCs w:val="24"/>
              </w:rPr>
              <w:t>城乡美化</w:t>
            </w:r>
          </w:p>
        </w:tc>
        <w:tc>
          <w:tcPr>
            <w:tcW w:w="609" w:type="dxa"/>
            <w:vAlign w:val="center"/>
          </w:tcPr>
          <w:p w14:paraId="3F115CFF">
            <w:pPr>
              <w:pStyle w:val="2"/>
              <w:spacing w:before="0" w:line="300" w:lineRule="exact"/>
              <w:jc w:val="center"/>
              <w:rPr>
                <w:rFonts w:hint="default" w:ascii="Times New Roman" w:hAnsi="Times New Roman" w:eastAsia="仿宋_GB2312"/>
                <w:szCs w:val="24"/>
                <w:lang w:val="en-US" w:eastAsia="zh-CN"/>
              </w:rPr>
            </w:pPr>
            <w:r>
              <w:rPr>
                <w:rFonts w:hint="eastAsia" w:ascii="Times New Roman" w:hAnsi="Times New Roman" w:eastAsia="仿宋_GB2312"/>
                <w:szCs w:val="24"/>
                <w:lang w:val="en-US" w:eastAsia="zh-CN"/>
              </w:rPr>
              <w:t>21</w:t>
            </w:r>
          </w:p>
        </w:tc>
        <w:tc>
          <w:tcPr>
            <w:tcW w:w="1787" w:type="dxa"/>
            <w:vAlign w:val="center"/>
          </w:tcPr>
          <w:p w14:paraId="63969326">
            <w:pPr>
              <w:widowControl/>
              <w:spacing w:line="300" w:lineRule="exact"/>
              <w:rPr>
                <w:rFonts w:ascii="Times New Roman" w:hAnsi="Times New Roman" w:eastAsia="仿宋_GB2312"/>
                <w:sz w:val="24"/>
                <w:szCs w:val="24"/>
              </w:rPr>
            </w:pPr>
            <w:r>
              <w:rPr>
                <w:rFonts w:ascii="Times New Roman" w:hAnsi="Times New Roman" w:eastAsia="仿宋_GB2312"/>
                <w:sz w:val="24"/>
                <w:szCs w:val="24"/>
              </w:rPr>
              <w:t>乡土植物运用占比（%）</w:t>
            </w:r>
          </w:p>
        </w:tc>
        <w:tc>
          <w:tcPr>
            <w:tcW w:w="1006" w:type="dxa"/>
            <w:vAlign w:val="center"/>
          </w:tcPr>
          <w:p w14:paraId="60B32A80">
            <w:pPr>
              <w:widowControl/>
              <w:spacing w:line="300" w:lineRule="exact"/>
              <w:jc w:val="center"/>
              <w:rPr>
                <w:rFonts w:ascii="Times New Roman" w:hAnsi="Times New Roman" w:eastAsia="仿宋_GB2312"/>
                <w:sz w:val="24"/>
                <w:szCs w:val="24"/>
              </w:rPr>
            </w:pPr>
            <w:r>
              <w:rPr>
                <w:rFonts w:ascii="Times New Roman" w:hAnsi="Times New Roman" w:eastAsia="仿宋_GB2312"/>
                <w:sz w:val="24"/>
                <w:szCs w:val="24"/>
              </w:rPr>
              <w:t>--</w:t>
            </w:r>
          </w:p>
        </w:tc>
        <w:tc>
          <w:tcPr>
            <w:tcW w:w="1073" w:type="dxa"/>
            <w:vAlign w:val="center"/>
          </w:tcPr>
          <w:p w14:paraId="7EF75482">
            <w:pPr>
              <w:widowControl/>
              <w:spacing w:line="30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65</w:t>
            </w:r>
          </w:p>
        </w:tc>
        <w:tc>
          <w:tcPr>
            <w:tcW w:w="1170" w:type="dxa"/>
            <w:vAlign w:val="center"/>
          </w:tcPr>
          <w:p w14:paraId="7EFE8788">
            <w:pPr>
              <w:widowControl/>
              <w:spacing w:line="30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67</w:t>
            </w:r>
          </w:p>
        </w:tc>
        <w:tc>
          <w:tcPr>
            <w:tcW w:w="1095" w:type="dxa"/>
            <w:vAlign w:val="center"/>
          </w:tcPr>
          <w:p w14:paraId="728B1B27">
            <w:pPr>
              <w:widowControl/>
              <w:spacing w:line="30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70</w:t>
            </w:r>
          </w:p>
        </w:tc>
        <w:tc>
          <w:tcPr>
            <w:tcW w:w="773" w:type="dxa"/>
            <w:vAlign w:val="center"/>
          </w:tcPr>
          <w:p w14:paraId="3DA5DFFB">
            <w:pPr>
              <w:widowControl/>
              <w:spacing w:line="300" w:lineRule="exact"/>
              <w:jc w:val="center"/>
              <w:rPr>
                <w:rFonts w:ascii="Times New Roman" w:hAnsi="Times New Roman" w:eastAsia="仿宋_GB2312"/>
                <w:sz w:val="24"/>
                <w:szCs w:val="24"/>
              </w:rPr>
            </w:pPr>
            <w:r>
              <w:rPr>
                <w:rFonts w:ascii="Times New Roman" w:hAnsi="Times New Roman" w:eastAsia="仿宋_GB2312"/>
                <w:sz w:val="24"/>
                <w:szCs w:val="24"/>
              </w:rPr>
              <w:t>预期性</w:t>
            </w:r>
          </w:p>
        </w:tc>
        <w:tc>
          <w:tcPr>
            <w:tcW w:w="1261" w:type="dxa"/>
            <w:vAlign w:val="center"/>
          </w:tcPr>
          <w:p w14:paraId="760710C5">
            <w:pPr>
              <w:widowControl/>
              <w:spacing w:line="300" w:lineRule="exact"/>
              <w:jc w:val="center"/>
              <w:rPr>
                <w:rFonts w:ascii="Times New Roman" w:hAnsi="Times New Roman" w:eastAsia="仿宋_GB2312"/>
                <w:sz w:val="24"/>
                <w:szCs w:val="24"/>
              </w:rPr>
            </w:pPr>
            <w:r>
              <w:rPr>
                <w:rFonts w:hint="eastAsia" w:ascii="Times New Roman" w:hAnsi="Times New Roman" w:eastAsia="仿宋_GB2312"/>
                <w:kern w:val="0"/>
                <w:sz w:val="24"/>
                <w:szCs w:val="24"/>
                <w:lang w:val="en-US" w:eastAsia="zh-CN"/>
              </w:rPr>
              <w:t>县城市管理局</w:t>
            </w:r>
          </w:p>
        </w:tc>
      </w:tr>
      <w:tr w14:paraId="1F87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781180D8">
            <w:pPr>
              <w:pStyle w:val="2"/>
              <w:spacing w:before="0" w:line="300" w:lineRule="exact"/>
              <w:jc w:val="center"/>
              <w:rPr>
                <w:rFonts w:ascii="Times New Roman" w:hAnsi="Times New Roman" w:eastAsia="仿宋_GB2312"/>
                <w:szCs w:val="24"/>
              </w:rPr>
            </w:pPr>
          </w:p>
        </w:tc>
        <w:tc>
          <w:tcPr>
            <w:tcW w:w="609" w:type="dxa"/>
            <w:vAlign w:val="center"/>
          </w:tcPr>
          <w:p w14:paraId="6F766963">
            <w:pPr>
              <w:pStyle w:val="2"/>
              <w:spacing w:before="0" w:line="300" w:lineRule="exact"/>
              <w:jc w:val="center"/>
              <w:rPr>
                <w:rFonts w:hint="default" w:ascii="Times New Roman" w:hAnsi="Times New Roman" w:eastAsia="仿宋_GB2312"/>
                <w:szCs w:val="24"/>
                <w:lang w:val="en-US" w:eastAsia="zh-CN"/>
              </w:rPr>
            </w:pPr>
            <w:r>
              <w:rPr>
                <w:rFonts w:hint="eastAsia" w:ascii="Times New Roman" w:hAnsi="Times New Roman" w:eastAsia="仿宋_GB2312"/>
                <w:szCs w:val="24"/>
                <w:lang w:val="en-US" w:eastAsia="zh-CN"/>
              </w:rPr>
              <w:t>22</w:t>
            </w:r>
          </w:p>
        </w:tc>
        <w:tc>
          <w:tcPr>
            <w:tcW w:w="1787" w:type="dxa"/>
            <w:vAlign w:val="center"/>
          </w:tcPr>
          <w:p w14:paraId="35D21975">
            <w:pPr>
              <w:widowControl/>
              <w:spacing w:line="300" w:lineRule="exact"/>
              <w:rPr>
                <w:rFonts w:ascii="Times New Roman" w:hAnsi="Times New Roman" w:eastAsia="仿宋_GB2312"/>
                <w:sz w:val="24"/>
                <w:szCs w:val="24"/>
              </w:rPr>
            </w:pPr>
            <w:r>
              <w:rPr>
                <w:rFonts w:ascii="Times New Roman" w:hAnsi="Times New Roman" w:eastAsia="仿宋_GB2312"/>
                <w:sz w:val="24"/>
                <w:szCs w:val="24"/>
              </w:rPr>
              <w:t>背街小巷整治（条）</w:t>
            </w:r>
          </w:p>
        </w:tc>
        <w:tc>
          <w:tcPr>
            <w:tcW w:w="1006" w:type="dxa"/>
            <w:vAlign w:val="center"/>
          </w:tcPr>
          <w:p w14:paraId="7DD52987">
            <w:pPr>
              <w:widowControl/>
              <w:spacing w:line="30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1</w:t>
            </w:r>
          </w:p>
        </w:tc>
        <w:tc>
          <w:tcPr>
            <w:tcW w:w="1073" w:type="dxa"/>
            <w:vAlign w:val="center"/>
          </w:tcPr>
          <w:p w14:paraId="0AF1222D">
            <w:pPr>
              <w:widowControl/>
              <w:spacing w:line="300" w:lineRule="exact"/>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3</w:t>
            </w:r>
          </w:p>
        </w:tc>
        <w:tc>
          <w:tcPr>
            <w:tcW w:w="1170" w:type="dxa"/>
            <w:vAlign w:val="center"/>
          </w:tcPr>
          <w:p w14:paraId="3E7843CD">
            <w:pPr>
              <w:widowControl/>
              <w:spacing w:line="300" w:lineRule="exact"/>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5</w:t>
            </w:r>
          </w:p>
        </w:tc>
        <w:tc>
          <w:tcPr>
            <w:tcW w:w="1095" w:type="dxa"/>
            <w:vAlign w:val="center"/>
          </w:tcPr>
          <w:p w14:paraId="6EFBA292">
            <w:pPr>
              <w:widowControl/>
              <w:spacing w:line="300" w:lineRule="exact"/>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7</w:t>
            </w:r>
          </w:p>
        </w:tc>
        <w:tc>
          <w:tcPr>
            <w:tcW w:w="773" w:type="dxa"/>
            <w:vAlign w:val="center"/>
          </w:tcPr>
          <w:p w14:paraId="5E0748E6">
            <w:pPr>
              <w:widowControl/>
              <w:spacing w:line="300" w:lineRule="exact"/>
              <w:jc w:val="center"/>
              <w:rPr>
                <w:rFonts w:ascii="Times New Roman" w:hAnsi="Times New Roman" w:eastAsia="仿宋_GB2312"/>
                <w:kern w:val="0"/>
                <w:sz w:val="24"/>
                <w:szCs w:val="24"/>
              </w:rPr>
            </w:pPr>
            <w:r>
              <w:rPr>
                <w:rFonts w:ascii="Times New Roman" w:hAnsi="Times New Roman" w:eastAsia="仿宋_GB2312"/>
                <w:sz w:val="24"/>
                <w:szCs w:val="24"/>
              </w:rPr>
              <w:t>预期性</w:t>
            </w:r>
          </w:p>
        </w:tc>
        <w:tc>
          <w:tcPr>
            <w:tcW w:w="1261" w:type="dxa"/>
            <w:vAlign w:val="center"/>
          </w:tcPr>
          <w:p w14:paraId="58C1FDA3">
            <w:pPr>
              <w:widowControl/>
              <w:spacing w:line="300" w:lineRule="exact"/>
              <w:jc w:val="center"/>
              <w:rPr>
                <w:rFonts w:ascii="Times New Roman" w:hAnsi="Times New Roman" w:eastAsia="仿宋_GB2312"/>
                <w:kern w:val="0"/>
                <w:sz w:val="24"/>
                <w:szCs w:val="24"/>
              </w:rPr>
            </w:pPr>
            <w:r>
              <w:rPr>
                <w:rFonts w:hint="eastAsia" w:ascii="Times New Roman" w:hAnsi="Times New Roman" w:eastAsia="仿宋_GB2312"/>
                <w:sz w:val="24"/>
                <w:szCs w:val="24"/>
                <w:lang w:val="en-US" w:eastAsia="zh-CN"/>
              </w:rPr>
              <w:t>县</w:t>
            </w:r>
            <w:r>
              <w:rPr>
                <w:rFonts w:ascii="Times New Roman" w:hAnsi="Times New Roman" w:eastAsia="仿宋_GB2312"/>
                <w:sz w:val="24"/>
                <w:szCs w:val="24"/>
              </w:rPr>
              <w:t>城市管理局</w:t>
            </w:r>
          </w:p>
        </w:tc>
      </w:tr>
      <w:tr w14:paraId="2854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238D93AE">
            <w:pPr>
              <w:pStyle w:val="2"/>
              <w:spacing w:before="0" w:line="300" w:lineRule="exact"/>
              <w:jc w:val="center"/>
              <w:rPr>
                <w:rFonts w:ascii="Times New Roman" w:hAnsi="Times New Roman" w:eastAsia="仿宋_GB2312"/>
                <w:szCs w:val="24"/>
              </w:rPr>
            </w:pPr>
          </w:p>
        </w:tc>
        <w:tc>
          <w:tcPr>
            <w:tcW w:w="609" w:type="dxa"/>
            <w:vAlign w:val="center"/>
          </w:tcPr>
          <w:p w14:paraId="71CE8828">
            <w:pPr>
              <w:widowControl/>
              <w:spacing w:line="30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23</w:t>
            </w:r>
          </w:p>
        </w:tc>
        <w:tc>
          <w:tcPr>
            <w:tcW w:w="1787" w:type="dxa"/>
            <w:vAlign w:val="center"/>
          </w:tcPr>
          <w:p w14:paraId="6045AAF0">
            <w:pPr>
              <w:widowControl/>
              <w:spacing w:line="300" w:lineRule="exact"/>
              <w:rPr>
                <w:rFonts w:ascii="Times New Roman" w:hAnsi="Times New Roman" w:eastAsia="仿宋_GB2312"/>
                <w:sz w:val="24"/>
                <w:szCs w:val="24"/>
              </w:rPr>
            </w:pPr>
            <w:r>
              <w:rPr>
                <w:rFonts w:ascii="Times New Roman" w:hAnsi="Times New Roman" w:eastAsia="仿宋_GB2312"/>
                <w:sz w:val="24"/>
                <w:szCs w:val="24"/>
              </w:rPr>
              <w:t>道路</w:t>
            </w:r>
            <w:r>
              <w:rPr>
                <w:rFonts w:hint="eastAsia" w:ascii="Times New Roman" w:hAnsi="Times New Roman" w:eastAsia="仿宋_GB2312"/>
                <w:sz w:val="24"/>
                <w:szCs w:val="24"/>
                <w:lang w:eastAsia="zh-CN"/>
              </w:rPr>
              <w:t>亮灯率</w:t>
            </w:r>
            <w:r>
              <w:rPr>
                <w:rFonts w:ascii="Times New Roman" w:hAnsi="Times New Roman" w:eastAsia="仿宋_GB2312"/>
                <w:sz w:val="24"/>
                <w:szCs w:val="24"/>
              </w:rPr>
              <w:t>（%）</w:t>
            </w:r>
          </w:p>
        </w:tc>
        <w:tc>
          <w:tcPr>
            <w:tcW w:w="1006" w:type="dxa"/>
            <w:vAlign w:val="center"/>
          </w:tcPr>
          <w:p w14:paraId="7B3560A8">
            <w:pPr>
              <w:widowControl/>
              <w:spacing w:line="300" w:lineRule="exact"/>
              <w:jc w:val="center"/>
              <w:rPr>
                <w:rFonts w:ascii="Times New Roman" w:hAnsi="Times New Roman" w:eastAsia="仿宋_GB2312"/>
                <w:sz w:val="24"/>
                <w:szCs w:val="24"/>
              </w:rPr>
            </w:pPr>
            <w:r>
              <w:rPr>
                <w:rFonts w:ascii="Times New Roman" w:hAnsi="Times New Roman" w:eastAsia="仿宋_GB2312"/>
                <w:sz w:val="24"/>
                <w:szCs w:val="24"/>
              </w:rPr>
              <w:t>--</w:t>
            </w:r>
          </w:p>
        </w:tc>
        <w:tc>
          <w:tcPr>
            <w:tcW w:w="1073" w:type="dxa"/>
            <w:vAlign w:val="center"/>
          </w:tcPr>
          <w:p w14:paraId="39BE3647">
            <w:pPr>
              <w:widowControl/>
              <w:spacing w:line="300" w:lineRule="exact"/>
              <w:jc w:val="center"/>
              <w:rPr>
                <w:rFonts w:hint="default" w:ascii="Times New Roman" w:hAnsi="Times New Roman" w:eastAsia="仿宋_GB2312"/>
                <w:sz w:val="24"/>
                <w:szCs w:val="24"/>
                <w:lang w:val="en-US" w:eastAsia="zh-CN"/>
              </w:rPr>
            </w:pPr>
            <w:r>
              <w:rPr>
                <w:rFonts w:ascii="Times New Roman" w:hAnsi="Times New Roman" w:eastAsia="仿宋_GB2312"/>
                <w:kern w:val="0"/>
                <w:sz w:val="24"/>
                <w:szCs w:val="24"/>
              </w:rPr>
              <w:t>≥</w:t>
            </w:r>
            <w:r>
              <w:rPr>
                <w:rFonts w:hint="eastAsia" w:ascii="Times New Roman" w:hAnsi="Times New Roman" w:eastAsia="仿宋_GB2312"/>
                <w:kern w:val="0"/>
                <w:sz w:val="24"/>
                <w:szCs w:val="24"/>
                <w:lang w:val="en-US" w:eastAsia="zh-CN"/>
              </w:rPr>
              <w:t>95</w:t>
            </w:r>
          </w:p>
        </w:tc>
        <w:tc>
          <w:tcPr>
            <w:tcW w:w="1170" w:type="dxa"/>
            <w:vAlign w:val="center"/>
          </w:tcPr>
          <w:p w14:paraId="63A51D00">
            <w:pPr>
              <w:widowControl/>
              <w:spacing w:line="300" w:lineRule="exact"/>
              <w:jc w:val="center"/>
              <w:rPr>
                <w:rFonts w:hint="default" w:ascii="Times New Roman" w:hAnsi="Times New Roman" w:eastAsia="仿宋_GB2312"/>
                <w:sz w:val="24"/>
                <w:szCs w:val="24"/>
                <w:lang w:val="en-US" w:eastAsia="zh-CN"/>
              </w:rPr>
            </w:pPr>
            <w:r>
              <w:rPr>
                <w:rFonts w:ascii="Times New Roman" w:hAnsi="Times New Roman" w:eastAsia="仿宋_GB2312"/>
                <w:kern w:val="0"/>
                <w:sz w:val="24"/>
                <w:szCs w:val="24"/>
              </w:rPr>
              <w:t>≥</w:t>
            </w:r>
            <w:r>
              <w:rPr>
                <w:rFonts w:hint="eastAsia" w:ascii="Times New Roman" w:hAnsi="Times New Roman" w:eastAsia="仿宋_GB2312"/>
                <w:kern w:val="0"/>
                <w:sz w:val="24"/>
                <w:szCs w:val="24"/>
                <w:lang w:val="en-US" w:eastAsia="zh-CN"/>
              </w:rPr>
              <w:t>95</w:t>
            </w:r>
          </w:p>
        </w:tc>
        <w:tc>
          <w:tcPr>
            <w:tcW w:w="1095" w:type="dxa"/>
            <w:vAlign w:val="center"/>
          </w:tcPr>
          <w:p w14:paraId="1A2308A5">
            <w:pPr>
              <w:widowControl/>
              <w:spacing w:line="300" w:lineRule="exact"/>
              <w:jc w:val="center"/>
              <w:rPr>
                <w:rFonts w:hint="default" w:ascii="Times New Roman" w:hAnsi="Times New Roman" w:eastAsia="仿宋_GB2312"/>
                <w:sz w:val="24"/>
                <w:szCs w:val="24"/>
                <w:lang w:val="en-US" w:eastAsia="zh-CN"/>
              </w:rPr>
            </w:pPr>
            <w:r>
              <w:rPr>
                <w:rFonts w:ascii="Times New Roman" w:hAnsi="Times New Roman" w:eastAsia="仿宋_GB2312"/>
                <w:kern w:val="0"/>
                <w:sz w:val="24"/>
                <w:szCs w:val="24"/>
              </w:rPr>
              <w:t>≥</w:t>
            </w:r>
            <w:r>
              <w:rPr>
                <w:rFonts w:hint="eastAsia" w:ascii="Times New Roman" w:hAnsi="Times New Roman" w:eastAsia="仿宋_GB2312"/>
                <w:kern w:val="0"/>
                <w:sz w:val="24"/>
                <w:szCs w:val="24"/>
                <w:lang w:val="en-US" w:eastAsia="zh-CN"/>
              </w:rPr>
              <w:t>95</w:t>
            </w:r>
          </w:p>
        </w:tc>
        <w:tc>
          <w:tcPr>
            <w:tcW w:w="773" w:type="dxa"/>
            <w:vAlign w:val="center"/>
          </w:tcPr>
          <w:p w14:paraId="4F623AE1">
            <w:pPr>
              <w:widowControl/>
              <w:spacing w:line="300" w:lineRule="exact"/>
              <w:jc w:val="center"/>
              <w:rPr>
                <w:rFonts w:ascii="Times New Roman" w:hAnsi="Times New Roman" w:eastAsia="仿宋_GB2312"/>
                <w:sz w:val="24"/>
                <w:szCs w:val="24"/>
              </w:rPr>
            </w:pPr>
            <w:r>
              <w:rPr>
                <w:rFonts w:ascii="Times New Roman" w:hAnsi="Times New Roman" w:eastAsia="仿宋_GB2312"/>
                <w:sz w:val="24"/>
                <w:szCs w:val="24"/>
              </w:rPr>
              <w:t>预期性</w:t>
            </w:r>
          </w:p>
        </w:tc>
        <w:tc>
          <w:tcPr>
            <w:tcW w:w="1261" w:type="dxa"/>
            <w:vAlign w:val="center"/>
          </w:tcPr>
          <w:p w14:paraId="235418E5">
            <w:pPr>
              <w:widowControl/>
              <w:spacing w:line="300" w:lineRule="exact"/>
              <w:jc w:val="center"/>
              <w:rPr>
                <w:rFonts w:ascii="Times New Roman" w:hAnsi="Times New Roman" w:eastAsia="仿宋_GB2312"/>
                <w:sz w:val="24"/>
                <w:szCs w:val="24"/>
              </w:rPr>
            </w:pPr>
            <w:r>
              <w:rPr>
                <w:rFonts w:hint="eastAsia" w:ascii="Times New Roman" w:hAnsi="Times New Roman" w:eastAsia="仿宋_GB2312"/>
                <w:sz w:val="24"/>
                <w:szCs w:val="24"/>
                <w:lang w:val="en-US" w:eastAsia="zh-CN"/>
              </w:rPr>
              <w:t>县</w:t>
            </w:r>
            <w:r>
              <w:rPr>
                <w:rFonts w:ascii="Times New Roman" w:hAnsi="Times New Roman" w:eastAsia="仿宋_GB2312"/>
                <w:sz w:val="24"/>
                <w:szCs w:val="24"/>
              </w:rPr>
              <w:t>城市管理局</w:t>
            </w:r>
          </w:p>
        </w:tc>
      </w:tr>
    </w:tbl>
    <w:p w14:paraId="20BE2BA7">
      <w:pPr>
        <w:pStyle w:val="2"/>
        <w:rPr>
          <w:rFonts w:hint="eastAsia"/>
          <w:lang w:val="en-US" w:eastAsia="zh-CN"/>
        </w:rPr>
      </w:pPr>
    </w:p>
    <w:p w14:paraId="226FE1E9">
      <w:pPr>
        <w:keepNext w:val="0"/>
        <w:keepLines w:val="0"/>
        <w:pageBreakBefore w:val="0"/>
        <w:widowControl w:val="0"/>
        <w:kinsoku/>
        <w:wordWrap/>
        <w:topLinePunct w:val="0"/>
        <w:autoSpaceDE/>
        <w:autoSpaceDN/>
        <w:bidi w:val="0"/>
        <w:adjustRightInd/>
        <w:snapToGrid/>
        <w:spacing w:line="560" w:lineRule="exact"/>
        <w:ind w:leftChars="0" w:firstLine="643" w:firstLineChars="200"/>
        <w:jc w:val="center"/>
        <w:textAlignment w:val="auto"/>
        <w:rPr>
          <w:rFonts w:hint="eastAsia" w:ascii="Times New Roman" w:hAnsi="Times New Roman" w:eastAsia="楷体_GB2312" w:cstheme="minorBidi"/>
          <w:b/>
          <w:bCs/>
          <w:kern w:val="2"/>
          <w:sz w:val="32"/>
          <w:szCs w:val="32"/>
          <w:lang w:val="en-US" w:eastAsia="zh-CN" w:bidi="ar-SA"/>
        </w:rPr>
      </w:pPr>
      <w:r>
        <w:rPr>
          <w:rFonts w:hint="eastAsia" w:ascii="Times New Roman" w:hAnsi="Times New Roman" w:eastAsia="楷体_GB2312" w:cstheme="minorBidi"/>
          <w:b/>
          <w:bCs/>
          <w:kern w:val="2"/>
          <w:sz w:val="32"/>
          <w:szCs w:val="32"/>
          <w:lang w:val="en-US" w:eastAsia="zh-CN" w:bidi="ar-SA"/>
        </w:rPr>
        <w:t>第三节  总体布局</w:t>
      </w:r>
    </w:p>
    <w:p w14:paraId="4C9DD9FF">
      <w:pPr>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围绕《寻甸回族彝族自治县国民经济和社会发展第十四个五年规划和二〇三五年远景目标纲要》《寻甸回族彝族自治县国土空间总体规划（2021-2035年）》《寻甸县“十四五”文化和旅游发展规划（2021-2025）》《寻甸县“十四五”生态环境保护规划》等相关规划，根据全县林山草地资源、旅游景区及旅游线路、城镇及交通道路现状，以优化绿美空间布局为切入点，构建“一核多极百点”的绿美寻甸空间布局。</w:t>
      </w:r>
    </w:p>
    <w:p w14:paraId="65D1BAB8">
      <w:pPr>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核(寻甸县城):以作为寻甸县县城区域为依托，着重优化城市生态空间结构，重点推进乡土树种进城，全面提升生态景观美丽品质，让生态景观进入城市，让城市融入自然，努力把寻甸县城打造成为独具特色的绿美寻甸核心区域。</w:t>
      </w:r>
    </w:p>
    <w:p w14:paraId="7C34BAA7">
      <w:pPr>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多极(绿美集镇):立足资源禀赋、地理区位、建设基础，突出当地特色，分类分步打造绿美集镇,加快自然生态条件好、植被多样性丰富、人口密集地区和旅游热点集镇绿化美化。</w:t>
      </w:r>
    </w:p>
    <w:p w14:paraId="578CE8F3">
      <w:pPr>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百点:发挥寻甸丰富的林草资源与生物多样性优势，按照与自然环境条件相适应、与生态资源和特色风貌相协调、与城乡居民美好生活需求相契合要求，因地制宜打造公众认可度高的绿美点位，全面提升城乡人居环境和人民生态福祉，让绿美家园遍地开花。</w:t>
      </w:r>
    </w:p>
    <w:p w14:paraId="0A34B2B9">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jc w:val="center"/>
        <w:textAlignment w:val="auto"/>
        <w:rPr>
          <w:rFonts w:hint="eastAsia" w:ascii="Times New Roman" w:hAnsi="Times New Roman" w:eastAsia="楷体_GB2312" w:cstheme="minorBidi"/>
          <w:b/>
          <w:bCs/>
          <w:kern w:val="2"/>
          <w:sz w:val="32"/>
          <w:szCs w:val="32"/>
          <w:lang w:val="en-US" w:eastAsia="zh-CN" w:bidi="ar-SA"/>
        </w:rPr>
      </w:pPr>
      <w:r>
        <w:rPr>
          <w:rFonts w:hint="eastAsia" w:ascii="Times New Roman" w:hAnsi="Times New Roman" w:eastAsia="楷体_GB2312" w:cstheme="minorBidi"/>
          <w:b/>
          <w:bCs/>
          <w:kern w:val="2"/>
          <w:sz w:val="32"/>
          <w:szCs w:val="32"/>
          <w:lang w:val="en-US" w:eastAsia="zh-CN" w:bidi="ar-SA"/>
        </w:rPr>
        <w:t>第四节  建设目标</w:t>
      </w:r>
    </w:p>
    <w:p w14:paraId="70DFE26C">
      <w:pPr>
        <w:pStyle w:val="3"/>
        <w:keepNext w:val="0"/>
        <w:keepLines w:val="0"/>
        <w:pageBreakBefore w:val="0"/>
        <w:widowControl w:val="0"/>
        <w:numPr>
          <w:ilvl w:val="0"/>
          <w:numId w:val="0"/>
        </w:numPr>
        <w:kinsoku/>
        <w:wordWrap/>
        <w:topLinePunct w:val="0"/>
        <w:autoSpaceDE/>
        <w:autoSpaceDN/>
        <w:bidi w:val="0"/>
        <w:adjustRightInd/>
        <w:snapToGrid/>
        <w:spacing w:after="0" w:line="560" w:lineRule="exact"/>
        <w:ind w:leftChars="0" w:firstLine="643" w:firstLineChars="200"/>
        <w:textAlignment w:val="auto"/>
        <w:outlineLvl w:val="3"/>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近期目标（</w:t>
      </w:r>
      <w:r>
        <w:rPr>
          <w:rFonts w:hint="default" w:ascii="仿宋_GB2312" w:hAnsi="仿宋_GB2312" w:eastAsia="仿宋_GB2312" w:cs="仿宋_GB2312"/>
          <w:b/>
          <w:bCs/>
          <w:kern w:val="2"/>
          <w:sz w:val="32"/>
          <w:szCs w:val="32"/>
          <w:lang w:val="en-US" w:eastAsia="zh-CN" w:bidi="ar-SA"/>
        </w:rPr>
        <w:t>2022</w:t>
      </w:r>
      <w:r>
        <w:rPr>
          <w:rFonts w:hint="eastAsia" w:ascii="仿宋_GB2312" w:hAnsi="仿宋_GB2312" w:eastAsia="仿宋_GB2312" w:cs="仿宋_GB2312"/>
          <w:b/>
          <w:bCs/>
          <w:kern w:val="2"/>
          <w:sz w:val="32"/>
          <w:szCs w:val="32"/>
          <w:lang w:val="en-US" w:eastAsia="zh-CN" w:bidi="ar-SA"/>
        </w:rPr>
        <w:t>-</w:t>
      </w:r>
      <w:r>
        <w:rPr>
          <w:rFonts w:hint="default" w:ascii="仿宋_GB2312" w:hAnsi="仿宋_GB2312" w:eastAsia="仿宋_GB2312" w:cs="仿宋_GB2312"/>
          <w:b/>
          <w:bCs/>
          <w:kern w:val="2"/>
          <w:sz w:val="32"/>
          <w:szCs w:val="32"/>
          <w:lang w:val="en-US" w:eastAsia="zh-CN" w:bidi="ar-SA"/>
        </w:rPr>
        <w:t>2024</w:t>
      </w:r>
      <w:r>
        <w:rPr>
          <w:rFonts w:hint="eastAsia" w:ascii="仿宋_GB2312" w:hAnsi="仿宋_GB2312" w:eastAsia="仿宋_GB2312" w:cs="仿宋_GB2312"/>
          <w:b/>
          <w:bCs/>
          <w:kern w:val="2"/>
          <w:sz w:val="32"/>
          <w:szCs w:val="32"/>
          <w:lang w:val="en-US" w:eastAsia="zh-CN" w:bidi="ar-SA"/>
        </w:rPr>
        <w:t>年）。</w:t>
      </w:r>
      <w:r>
        <w:rPr>
          <w:rFonts w:hint="eastAsia" w:ascii="仿宋_GB2312" w:hAnsi="仿宋_GB2312" w:eastAsia="仿宋_GB2312" w:cs="仿宋_GB2312"/>
          <w:b w:val="0"/>
          <w:bCs w:val="0"/>
          <w:kern w:val="2"/>
          <w:sz w:val="32"/>
          <w:szCs w:val="32"/>
          <w:lang w:val="en-US" w:eastAsia="zh-CN" w:bidi="ar-SA"/>
        </w:rPr>
        <w:t>近期为绿美寻甸创建期。对标绿美寻甸评价指标，以八大绿美建设为重点，聚焦寻甸地域特色，聚焦重点区域，全面推进绿色空间增量工程、美丽品质提质工程、绿美福祉增进工程、绿美示范引领工程和绿美保障增强工程，全面完成绿美寻甸建设的基础性工作，补齐绿美寻甸建设短板，全面达到绿美寻甸建设评价指标要求，初步建成绿美寻甸。到2024年，全县林木绿化率、城市建成区绿地率、绿化覆盖率、人均公园绿地面积、500米公园绿地覆盖半径覆盖率、城乡居民每万人拥有绿道长度、乡镇建成区绿化覆盖率等指标初步呈现提升趋势；50%以上乡镇建成1个以上休闲公园，70%以上行政村至少建成1个以上休闲绿地。以乡土树种、珍贵树种为重点的生物多样性进城乡取得明显成效。扩大绿美乡镇、绿美社区、绿美公路（铁路）、绿美铁路客运站、绿美园区、绿美景区、绿美校园、绿美河湖、绿美乡村数量，以人居、旅居环境为重点，人流量大、聚集度高、显示度强区域的美丽品质明显提升。</w:t>
      </w:r>
    </w:p>
    <w:p w14:paraId="353ACD4C">
      <w:pPr>
        <w:pStyle w:val="3"/>
        <w:keepNext w:val="0"/>
        <w:keepLines w:val="0"/>
        <w:pageBreakBefore w:val="0"/>
        <w:widowControl w:val="0"/>
        <w:numPr>
          <w:ilvl w:val="0"/>
          <w:numId w:val="0"/>
        </w:numPr>
        <w:kinsoku/>
        <w:wordWrap/>
        <w:topLinePunct w:val="0"/>
        <w:autoSpaceDE/>
        <w:autoSpaceDN/>
        <w:bidi w:val="0"/>
        <w:adjustRightInd/>
        <w:snapToGrid/>
        <w:spacing w:after="0" w:line="560" w:lineRule="exact"/>
        <w:ind w:leftChars="0" w:firstLine="643" w:firstLineChars="200"/>
        <w:textAlignment w:val="auto"/>
        <w:outlineLvl w:val="3"/>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中期目标（</w:t>
      </w:r>
      <w:r>
        <w:rPr>
          <w:rFonts w:hint="default" w:ascii="仿宋_GB2312" w:hAnsi="仿宋_GB2312" w:eastAsia="仿宋_GB2312" w:cs="仿宋_GB2312"/>
          <w:b/>
          <w:bCs/>
          <w:kern w:val="2"/>
          <w:sz w:val="32"/>
          <w:szCs w:val="32"/>
          <w:lang w:val="en-US" w:eastAsia="zh-CN" w:bidi="ar-SA"/>
        </w:rPr>
        <w:t>2025</w:t>
      </w:r>
      <w:r>
        <w:rPr>
          <w:rFonts w:hint="eastAsia" w:ascii="仿宋_GB2312" w:hAnsi="仿宋_GB2312" w:eastAsia="仿宋_GB2312" w:cs="仿宋_GB2312"/>
          <w:b/>
          <w:bCs/>
          <w:kern w:val="2"/>
          <w:sz w:val="32"/>
          <w:szCs w:val="32"/>
          <w:lang w:val="en-US" w:eastAsia="zh-CN" w:bidi="ar-SA"/>
        </w:rPr>
        <w:t>-</w:t>
      </w:r>
      <w:r>
        <w:rPr>
          <w:rFonts w:hint="default" w:ascii="仿宋_GB2312" w:hAnsi="仿宋_GB2312" w:eastAsia="仿宋_GB2312" w:cs="仿宋_GB2312"/>
          <w:b/>
          <w:bCs/>
          <w:kern w:val="2"/>
          <w:sz w:val="32"/>
          <w:szCs w:val="32"/>
          <w:lang w:val="en-US" w:eastAsia="zh-CN" w:bidi="ar-SA"/>
        </w:rPr>
        <w:t>2028</w:t>
      </w:r>
      <w:r>
        <w:rPr>
          <w:rFonts w:hint="eastAsia" w:ascii="仿宋_GB2312" w:hAnsi="仿宋_GB2312" w:eastAsia="仿宋_GB2312" w:cs="仿宋_GB2312"/>
          <w:b/>
          <w:bCs/>
          <w:kern w:val="2"/>
          <w:sz w:val="32"/>
          <w:szCs w:val="32"/>
          <w:lang w:val="en-US" w:eastAsia="zh-CN" w:bidi="ar-SA"/>
        </w:rPr>
        <w:t>年）。</w:t>
      </w:r>
      <w:r>
        <w:rPr>
          <w:rFonts w:hint="eastAsia" w:ascii="仿宋_GB2312" w:hAnsi="仿宋_GB2312" w:eastAsia="仿宋_GB2312" w:cs="仿宋_GB2312"/>
          <w:b w:val="0"/>
          <w:bCs w:val="0"/>
          <w:kern w:val="2"/>
          <w:sz w:val="32"/>
          <w:szCs w:val="32"/>
          <w:lang w:val="en-US" w:eastAsia="zh-CN" w:bidi="ar-SA"/>
        </w:rPr>
        <w:t>中期为绿美寻甸建设提升期。在绿美各项指标与城乡经济社会发展保持同步的基础上，绿美示范向全县延伸，在绿美建设的基础上，聚焦打造寻甸特色风格，进一步提升生态环境系统服务功能和服务能力，全县城乡地域风情更加浓郁。林山草地科普，自然教育工作持续推进，林山草地生态文化充分展现，优质生态产品供给能力持续增加，到2028年，全县林木绿化率、城市建成区绿地率、绿化覆盖率、人均公园绿地面积、500米公园绿地覆盖半径覆盖率、城乡居民每万人拥有绿道长度、乡镇建成区绿化覆盖率等指标进一步提升；80%以上乡镇建成1个以上休闲公园，90%以上行政村至少建成1个以上休闲绿地，北部生态第一城初步建成。</w:t>
      </w:r>
    </w:p>
    <w:p w14:paraId="1FA5A647">
      <w:pPr>
        <w:pStyle w:val="3"/>
        <w:keepNext w:val="0"/>
        <w:keepLines w:val="0"/>
        <w:pageBreakBefore w:val="0"/>
        <w:widowControl w:val="0"/>
        <w:numPr>
          <w:ilvl w:val="0"/>
          <w:numId w:val="0"/>
        </w:numPr>
        <w:kinsoku/>
        <w:wordWrap/>
        <w:topLinePunct w:val="0"/>
        <w:autoSpaceDE/>
        <w:autoSpaceDN/>
        <w:bidi w:val="0"/>
        <w:adjustRightInd/>
        <w:snapToGrid/>
        <w:spacing w:after="0" w:line="560" w:lineRule="exact"/>
        <w:ind w:leftChars="0" w:firstLine="643" w:firstLineChars="200"/>
        <w:textAlignment w:val="auto"/>
        <w:outlineLvl w:val="3"/>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远期目标（</w:t>
      </w:r>
      <w:r>
        <w:rPr>
          <w:rFonts w:hint="default" w:ascii="仿宋_GB2312" w:hAnsi="仿宋_GB2312" w:eastAsia="仿宋_GB2312" w:cs="仿宋_GB2312"/>
          <w:b/>
          <w:bCs/>
          <w:kern w:val="2"/>
          <w:sz w:val="32"/>
          <w:szCs w:val="32"/>
          <w:lang w:val="en-US" w:eastAsia="zh-CN" w:bidi="ar-SA"/>
        </w:rPr>
        <w:t>2029</w:t>
      </w:r>
      <w:r>
        <w:rPr>
          <w:rFonts w:hint="eastAsia" w:ascii="仿宋_GB2312" w:hAnsi="仿宋_GB2312" w:eastAsia="仿宋_GB2312" w:cs="仿宋_GB2312"/>
          <w:b/>
          <w:bCs/>
          <w:kern w:val="2"/>
          <w:sz w:val="32"/>
          <w:szCs w:val="32"/>
          <w:lang w:val="en-US" w:eastAsia="zh-CN" w:bidi="ar-SA"/>
        </w:rPr>
        <w:t>-</w:t>
      </w:r>
      <w:r>
        <w:rPr>
          <w:rFonts w:hint="default" w:ascii="仿宋_GB2312" w:hAnsi="仿宋_GB2312" w:eastAsia="仿宋_GB2312" w:cs="仿宋_GB2312"/>
          <w:b/>
          <w:bCs/>
          <w:kern w:val="2"/>
          <w:sz w:val="32"/>
          <w:szCs w:val="32"/>
          <w:lang w:val="en-US" w:eastAsia="zh-CN" w:bidi="ar-SA"/>
        </w:rPr>
        <w:t>2031</w:t>
      </w:r>
      <w:r>
        <w:rPr>
          <w:rFonts w:hint="eastAsia" w:ascii="仿宋_GB2312" w:hAnsi="仿宋_GB2312" w:eastAsia="仿宋_GB2312" w:cs="仿宋_GB2312"/>
          <w:b/>
          <w:bCs/>
          <w:kern w:val="2"/>
          <w:sz w:val="32"/>
          <w:szCs w:val="32"/>
          <w:lang w:val="en-US" w:eastAsia="zh-CN" w:bidi="ar-SA"/>
        </w:rPr>
        <w:t>年）。</w:t>
      </w:r>
      <w:r>
        <w:rPr>
          <w:rFonts w:hint="eastAsia" w:ascii="仿宋_GB2312" w:hAnsi="仿宋_GB2312" w:eastAsia="仿宋_GB2312" w:cs="仿宋_GB2312"/>
          <w:b w:val="0"/>
          <w:bCs w:val="0"/>
          <w:kern w:val="2"/>
          <w:sz w:val="32"/>
          <w:szCs w:val="32"/>
          <w:lang w:val="en-US" w:eastAsia="zh-CN" w:bidi="ar-SA"/>
        </w:rPr>
        <w:t>远期为绿美寻甸巩固期。进一步深化绿美寻甸建设成果，绿美寻甸颜值持续提升、林山草地风情更加浓郁、地域文化更加彰显、生态福利更加均衡。绿美寻甸建设服务国家发展战略、服务云南发展定位，服务昆明发展方向。到2031年，全县林木绿化率、城市建成区绿地率、绿化覆盖率、人均公园绿地面积、500米公园绿地覆盖半径覆盖率、城乡居民每万人拥有绿道长度、乡镇建成区绿化覆盖率等指标稳定保持高标准水平；全部乡镇建成1个以上休闲公园，全部行政村至少建成1个以上休闲绿地，北部生态第一城建设完成。</w:t>
      </w:r>
    </w:p>
    <w:p w14:paraId="3FE8E4F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center"/>
        <w:textAlignment w:val="auto"/>
        <w:outlineLvl w:val="0"/>
        <w:rPr>
          <w:rFonts w:ascii="宋体" w:hAnsi="宋体" w:eastAsia="黑体" w:cs="黑体"/>
          <w:b/>
          <w:bCs/>
          <w:sz w:val="32"/>
          <w:szCs w:val="32"/>
        </w:rPr>
      </w:pPr>
      <w:r>
        <w:rPr>
          <w:rFonts w:hint="eastAsia" w:ascii="宋体" w:hAnsi="宋体" w:eastAsia="黑体" w:cs="黑体"/>
          <w:b/>
          <w:bCs/>
          <w:sz w:val="32"/>
          <w:szCs w:val="32"/>
          <w:lang w:eastAsia="zh-CN"/>
        </w:rPr>
        <w:t>第二章</w:t>
      </w:r>
      <w:r>
        <w:rPr>
          <w:rFonts w:hint="eastAsia" w:ascii="宋体" w:hAnsi="宋体" w:eastAsia="黑体" w:cs="黑体"/>
          <w:b/>
          <w:bCs/>
          <w:sz w:val="32"/>
          <w:szCs w:val="32"/>
          <w:lang w:val="en-US" w:eastAsia="zh-CN"/>
        </w:rPr>
        <w:t xml:space="preserve">  </w:t>
      </w:r>
      <w:r>
        <w:rPr>
          <w:rFonts w:hint="eastAsia" w:ascii="宋体" w:hAnsi="宋体" w:eastAsia="黑体" w:cs="黑体"/>
          <w:b/>
          <w:bCs/>
          <w:sz w:val="32"/>
          <w:szCs w:val="32"/>
        </w:rPr>
        <w:t>绿美寻甸</w:t>
      </w:r>
      <w:r>
        <w:rPr>
          <w:rFonts w:hint="eastAsia" w:ascii="宋体" w:hAnsi="宋体" w:eastAsia="黑体" w:cs="黑体"/>
          <w:b/>
          <w:bCs/>
          <w:sz w:val="32"/>
          <w:szCs w:val="32"/>
          <w:lang w:eastAsia="zh-CN"/>
        </w:rPr>
        <w:t>构建理论</w:t>
      </w:r>
    </w:p>
    <w:p w14:paraId="186096C9">
      <w:pPr>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绿美寻甸绝不是简单的国土绿化和城乡造林，既不是简单的增加绿量，也不是单纯的增色添彩。既不是简单的数量扩充，也不是局部的质量调整，她是寻甸城乡居民的一种感受，是他乡游客的一种体验。她既是物质的，也是精神的；既是视觉的，也是多感的；既是传统的，也是时尚的。绿美寻甸是美丽寻甸的生命部分，是宜居寻甸的生态部分、是宜业寻甸的基础部分。绿美寻甸来源于寻甸自然苍翠的底色、绚丽缤纷的色彩、舒阔的林山草地以及多彩的民族文化，总之，她来源于寻甸这片古老而现代的土地。绿美寻甸的特质是苍翠之美、多样之美、缤纷之美和文化之美。</w:t>
      </w:r>
    </w:p>
    <w:p w14:paraId="0B7AC5E9">
      <w:pPr>
        <w:pStyle w:val="3"/>
        <w:keepNext w:val="0"/>
        <w:keepLines w:val="0"/>
        <w:pageBreakBefore w:val="0"/>
        <w:widowControl w:val="0"/>
        <w:numPr>
          <w:ilvl w:val="0"/>
          <w:numId w:val="0"/>
        </w:numPr>
        <w:kinsoku/>
        <w:wordWrap/>
        <w:topLinePunct w:val="0"/>
        <w:autoSpaceDE/>
        <w:autoSpaceDN/>
        <w:bidi w:val="0"/>
        <w:adjustRightInd/>
        <w:snapToGrid/>
        <w:spacing w:after="0" w:line="560" w:lineRule="exact"/>
        <w:ind w:leftChars="0" w:firstLine="643" w:firstLineChars="200"/>
        <w:textAlignment w:val="auto"/>
        <w:outlineLvl w:val="2"/>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（一）苍翠之美</w:t>
      </w:r>
    </w:p>
    <w:p w14:paraId="3CBD4CF7">
      <w:pPr>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寻甸之美美在苍翠欲滴的底色、连绵不绝的林山草地，美在林城相依、林村相依、林水相依、林路相依。十八大以来，寻甸县生态增绿成效明显。全县上下认真践行“绿水青山就是金山银山”理念，加强生态系统保护修复，狠抓环境综合治理，践行绿色低碳理念，持续改善生态环境质量，始终把环境保护、生态建设作为支撑全县可持续发展的重要基石，以“一江一海一区一园”为重点，统筹山水林田湖草沙等各种生态要素的协同治理，有效推进“三线一单”落地，高质量推进城市生态涵养区建设。寻甸县先后荣获国家卫生县城、国家级“中国候鸟旅居小城”、省级园林县城、第五届“云南省文明城市”等荣誉称号，创成省级绿美乡镇1个、市级绿美乡村182个，全县生态文明建设和环境保护工作取得了良好成效，初步构建了天蓝水青山绿地净的美丽家园，厚植了全面建成小康社会的绿色底色和成色。绿色已成为寻甸绿美的底色，也是绿美寻甸建设的底气。</w:t>
      </w:r>
    </w:p>
    <w:p w14:paraId="2DB9220E">
      <w:pPr>
        <w:pStyle w:val="3"/>
        <w:keepNext w:val="0"/>
        <w:keepLines w:val="0"/>
        <w:pageBreakBefore w:val="0"/>
        <w:widowControl w:val="0"/>
        <w:numPr>
          <w:ilvl w:val="0"/>
          <w:numId w:val="0"/>
        </w:numPr>
        <w:kinsoku/>
        <w:wordWrap/>
        <w:topLinePunct w:val="0"/>
        <w:autoSpaceDE/>
        <w:autoSpaceDN/>
        <w:bidi w:val="0"/>
        <w:adjustRightInd/>
        <w:snapToGrid/>
        <w:spacing w:after="0" w:line="560" w:lineRule="exact"/>
        <w:ind w:leftChars="0" w:firstLine="643" w:firstLineChars="200"/>
        <w:textAlignment w:val="auto"/>
        <w:outlineLvl w:val="2"/>
        <w:rPr>
          <w:rFonts w:hint="eastAsia" w:ascii="仿宋_GB2312" w:hAnsi="仿宋_GB2312" w:eastAsia="仿宋_GB2312" w:cs="仿宋_GB2312"/>
          <w:b/>
          <w:bCs/>
          <w:kern w:val="2"/>
          <w:sz w:val="32"/>
          <w:szCs w:val="32"/>
          <w:lang w:val="en-US" w:eastAsia="zh-CN" w:bidi="ar-SA"/>
        </w:rPr>
      </w:pPr>
      <w:bookmarkStart w:id="108" w:name="_Toc20639"/>
      <w:r>
        <w:rPr>
          <w:rFonts w:hint="eastAsia" w:ascii="仿宋_GB2312" w:hAnsi="仿宋_GB2312" w:eastAsia="仿宋_GB2312" w:cs="仿宋_GB2312"/>
          <w:b/>
          <w:bCs/>
          <w:kern w:val="2"/>
          <w:sz w:val="32"/>
          <w:szCs w:val="32"/>
          <w:lang w:val="en-US" w:eastAsia="zh-CN" w:bidi="ar-SA"/>
        </w:rPr>
        <w:t>（二）多样之美</w:t>
      </w:r>
      <w:bookmarkEnd w:id="108"/>
    </w:p>
    <w:p w14:paraId="15A3D2D1">
      <w:pPr>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绿美寻甸必然来源于多样之美，多样之美有色彩美、结构美、意境美、文化美、体验美,但归根结底离不开植物美。也就是说绿美寻甸的物质基础是植物多样性，绿美寻甸建设的优势是植物多样性,其建设目标也是提高植物多样性，尤其是城市植物多样性和本土树种多样性。植物多样性形成景观多样性，植物多样性也是动物多样性的基础，而动物的种类和种群数量又是城市生态环境的标志，也是构建人与自然和谐共生、鱼翔浅底、鸟语花香的宜居环境的重要内容。因此，绿美寻甸建设的方向必然是提高城市植物多样性，构建多样的、独特的、标志性的、城乡居民和中外游客认可和接受的地域特色植物景观。而要达到这样的目标，在不完全排斥外来树种、归化树种的情况下，就要推进乡土树种、珍贵树种进城市、进街道、进校园。通过乡土树种的充分利用，让植物多样性、生物多样性、乡土特色景观在城乡居民生产、生活空间再现。</w:t>
      </w:r>
    </w:p>
    <w:p w14:paraId="3A042FBE">
      <w:pPr>
        <w:pStyle w:val="3"/>
        <w:keepNext w:val="0"/>
        <w:keepLines w:val="0"/>
        <w:pageBreakBefore w:val="0"/>
        <w:widowControl w:val="0"/>
        <w:numPr>
          <w:ilvl w:val="0"/>
          <w:numId w:val="0"/>
        </w:numPr>
        <w:kinsoku/>
        <w:wordWrap/>
        <w:topLinePunct w:val="0"/>
        <w:autoSpaceDE/>
        <w:autoSpaceDN/>
        <w:bidi w:val="0"/>
        <w:adjustRightInd/>
        <w:snapToGrid/>
        <w:spacing w:after="0" w:line="560" w:lineRule="exact"/>
        <w:ind w:leftChars="0" w:firstLine="643" w:firstLineChars="200"/>
        <w:textAlignment w:val="auto"/>
        <w:outlineLvl w:val="2"/>
        <w:rPr>
          <w:rFonts w:hint="eastAsia" w:ascii="仿宋_GB2312" w:hAnsi="Times New Roman" w:eastAsia="仿宋_GB2312" w:cs="Times New Roman"/>
          <w:b/>
          <w:kern w:val="0"/>
          <w:sz w:val="32"/>
          <w:szCs w:val="32"/>
        </w:rPr>
      </w:pPr>
      <w:bookmarkStart w:id="109" w:name="_Toc20642"/>
      <w:r>
        <w:rPr>
          <w:rFonts w:hint="eastAsia" w:ascii="仿宋_GB2312" w:hAnsi="Times New Roman" w:eastAsia="仿宋_GB2312" w:cs="Times New Roman"/>
          <w:b/>
          <w:kern w:val="0"/>
          <w:sz w:val="32"/>
          <w:szCs w:val="32"/>
          <w:lang w:eastAsia="zh-CN"/>
        </w:rPr>
        <w:t>（三）</w:t>
      </w:r>
      <w:r>
        <w:rPr>
          <w:rFonts w:hint="eastAsia" w:ascii="仿宋_GB2312" w:hAnsi="Times New Roman" w:eastAsia="仿宋_GB2312" w:cs="Times New Roman"/>
          <w:b/>
          <w:kern w:val="0"/>
          <w:sz w:val="32"/>
          <w:szCs w:val="32"/>
        </w:rPr>
        <w:t>缤纷之美</w:t>
      </w:r>
      <w:bookmarkEnd w:id="109"/>
    </w:p>
    <w:p w14:paraId="75E5245E">
      <w:pPr>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 w:eastAsia="仿宋_GB2312" w:cs="仿宋"/>
          <w:sz w:val="28"/>
          <w:szCs w:val="36"/>
        </w:rPr>
      </w:pPr>
      <w:r>
        <w:rPr>
          <w:rFonts w:hint="eastAsia" w:ascii="仿宋_GB2312" w:hAnsi="仿宋_GB2312" w:eastAsia="仿宋_GB2312" w:cs="仿宋_GB2312"/>
          <w:b w:val="0"/>
          <w:bCs w:val="0"/>
          <w:kern w:val="2"/>
          <w:sz w:val="32"/>
          <w:szCs w:val="32"/>
          <w:lang w:val="en-US" w:eastAsia="zh-CN" w:bidi="ar-SA"/>
        </w:rPr>
        <w:t>城市色彩是城市特质的重要组成部分，而植物色彩是城市色彩中最富变化、最有生命的部分，也是绿美寻甸建设成效呈现的关键。因此，绿美寻甸建设应以缤纷寻甸为主题，以红色、黄色、紫色、粉色为基调，加大本土木本观花乔木树种，尤其是大花、多花、繁花树种的应用，在条件较为成熟的县城城区开展河滨公园提升建设、街心花园建设、城市景观大道建设，形成具有较大规模的花海、彩色节点和彩色廊道景观，构建绿美寻甸四时有彩，彩彩各异的缤纷骨架，同时通过多彩的花卉和彩叶灌木、地被和花境广泛应用、因时因地配置，整体上呈现绿美寻甸的缤纷之美。</w:t>
      </w:r>
    </w:p>
    <w:p w14:paraId="7CB32585">
      <w:pPr>
        <w:pStyle w:val="3"/>
        <w:keepNext w:val="0"/>
        <w:keepLines w:val="0"/>
        <w:pageBreakBefore w:val="0"/>
        <w:widowControl w:val="0"/>
        <w:numPr>
          <w:ilvl w:val="0"/>
          <w:numId w:val="0"/>
        </w:numPr>
        <w:kinsoku/>
        <w:wordWrap/>
        <w:topLinePunct w:val="0"/>
        <w:autoSpaceDE/>
        <w:autoSpaceDN/>
        <w:bidi w:val="0"/>
        <w:adjustRightInd/>
        <w:snapToGrid/>
        <w:spacing w:after="0" w:line="560" w:lineRule="exact"/>
        <w:ind w:leftChars="0" w:firstLine="643" w:firstLineChars="200"/>
        <w:textAlignment w:val="auto"/>
        <w:outlineLvl w:val="2"/>
        <w:rPr>
          <w:rFonts w:hint="eastAsia" w:ascii="仿宋_GB2312" w:hAnsi="Times New Roman" w:eastAsia="仿宋_GB2312" w:cs="Times New Roman"/>
          <w:b/>
          <w:kern w:val="0"/>
          <w:sz w:val="32"/>
          <w:szCs w:val="32"/>
          <w:lang w:val="en-US" w:eastAsia="zh-CN"/>
        </w:rPr>
      </w:pPr>
      <w:bookmarkStart w:id="110" w:name="_Toc24550"/>
      <w:r>
        <w:rPr>
          <w:rFonts w:hint="eastAsia" w:ascii="仿宋_GB2312" w:hAnsi="Times New Roman" w:eastAsia="仿宋_GB2312" w:cs="Times New Roman"/>
          <w:b/>
          <w:kern w:val="0"/>
          <w:sz w:val="32"/>
          <w:szCs w:val="32"/>
          <w:lang w:val="en-US" w:eastAsia="zh-CN"/>
        </w:rPr>
        <w:t>（四）文化之美</w:t>
      </w:r>
      <w:bookmarkEnd w:id="110"/>
    </w:p>
    <w:p w14:paraId="7EE080D2">
      <w:pPr>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文化是城市的根基，也是绿美寻甸建设的灵魂。植物文化是城市文化的重要组成部分，建设具有地域特色的植物文化景观是城市绿化美化的方向，也是打造城市风貌，提升城市品质的必然。植物文化是丰富多样的，既有中国传统文化、民族文化赋予的植物本身的内在文化，也有通过不同植物配置所形成的意境文化，还有通过其他文化植入所展现的综合植物文化。绿美寻甸呈现的景观必定不是简单的五感冲击，而是有文化植入和有故事的，因此，绿美寻甸建设要充分发掘传统文化、历史文化、民族文化和植物文化，使之相互融合，具有地域烙印、绿美故事，实现情由境生、情景交融的目标。</w:t>
      </w:r>
    </w:p>
    <w:p w14:paraId="74F6A5CF">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jc w:val="center"/>
        <w:textAlignment w:val="auto"/>
        <w:rPr>
          <w:rFonts w:hint="eastAsia" w:ascii="宋体" w:hAnsi="宋体" w:eastAsia="黑体" w:cs="黑体"/>
          <w:b/>
          <w:bCs/>
          <w:kern w:val="2"/>
          <w:sz w:val="32"/>
          <w:szCs w:val="32"/>
          <w:lang w:val="en-US" w:eastAsia="zh-CN" w:bidi="ar-SA"/>
        </w:rPr>
      </w:pPr>
      <w:r>
        <w:rPr>
          <w:rFonts w:hint="eastAsia" w:ascii="宋体" w:hAnsi="宋体" w:eastAsia="黑体" w:cs="黑体"/>
          <w:b/>
          <w:bCs/>
          <w:kern w:val="2"/>
          <w:sz w:val="32"/>
          <w:szCs w:val="32"/>
          <w:lang w:val="en-US" w:eastAsia="zh-CN" w:bidi="ar-SA"/>
        </w:rPr>
        <w:t>第三章  绿色空间增量</w:t>
      </w:r>
    </w:p>
    <w:p w14:paraId="06E6E8FC">
      <w:pPr>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绿色空间是城市生态环境的关键组成部分，是社会生活中的重要公共资源，既是城市环境中的自然资本，也对居民健康产生重要影响。城乡空间增绿优化对提高城市宜居性、吸引力、竞争力具有不可替代的作用。推动新型绿色城镇化建设，要在传统城市绿色空间的基础上，构筑多层次的绿色生态体系。具体而言，重视山水林田湖草各要素间的相互作用和影响，强调系统内部的有机联系，统筹城镇园林、乡村绿地、绿色廊道等城市绿色空间的系统化建设，全面增强城市自然生态系统的可持续发展能力。寻甸县城乡绿色空间增量工程按绿美城镇、绿美社区、绿美乡村、绿美交通、绿美廊道、绿美校园、绿美园区、绿美景区八个部分进行差异化优化建设,涵盖了对城市生态环境与居民休闲具有积极作用的各类绿色空间。</w:t>
      </w:r>
    </w:p>
    <w:p w14:paraId="2851FFE9">
      <w:pPr>
        <w:keepNext w:val="0"/>
        <w:keepLines w:val="0"/>
        <w:pageBreakBefore w:val="0"/>
        <w:widowControl w:val="0"/>
        <w:numPr>
          <w:ilvl w:val="0"/>
          <w:numId w:val="1"/>
        </w:numPr>
        <w:kinsoku/>
        <w:wordWrap/>
        <w:topLinePunct w:val="0"/>
        <w:autoSpaceDE/>
        <w:autoSpaceDN/>
        <w:bidi w:val="0"/>
        <w:adjustRightInd/>
        <w:snapToGrid/>
        <w:spacing w:line="560" w:lineRule="exact"/>
        <w:ind w:left="0" w:leftChars="0" w:firstLine="643" w:firstLineChars="200"/>
        <w:jc w:val="center"/>
        <w:textAlignment w:val="auto"/>
        <w:outlineLvl w:val="1"/>
        <w:rPr>
          <w:rFonts w:hint="eastAsia" w:ascii="黑体" w:hAnsi="黑体" w:eastAsia="黑体" w:cs="黑体"/>
          <w:b/>
          <w:kern w:val="0"/>
          <w:sz w:val="32"/>
          <w:szCs w:val="32"/>
          <w:highlight w:val="none"/>
          <w:lang w:val="en-US" w:eastAsia="zh-CN"/>
        </w:rPr>
      </w:pPr>
      <w:bookmarkStart w:id="111" w:name="_Toc593"/>
      <w:r>
        <w:rPr>
          <w:rFonts w:hint="eastAsia" w:ascii="黑体" w:hAnsi="黑体" w:eastAsia="黑体" w:cs="黑体"/>
          <w:b/>
          <w:kern w:val="0"/>
          <w:sz w:val="32"/>
          <w:szCs w:val="32"/>
          <w:highlight w:val="none"/>
          <w:lang w:val="en-US" w:eastAsia="zh-CN"/>
        </w:rPr>
        <w:t>绿美城</w:t>
      </w:r>
      <w:bookmarkEnd w:id="111"/>
      <w:r>
        <w:rPr>
          <w:rFonts w:hint="eastAsia" w:ascii="黑体" w:hAnsi="黑体" w:eastAsia="黑体" w:cs="黑体"/>
          <w:b/>
          <w:kern w:val="0"/>
          <w:sz w:val="32"/>
          <w:szCs w:val="32"/>
          <w:highlight w:val="none"/>
          <w:lang w:val="en-US" w:eastAsia="zh-CN"/>
        </w:rPr>
        <w:t>市</w:t>
      </w:r>
    </w:p>
    <w:p w14:paraId="7CB41CF4">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outlineLvl w:val="2"/>
        <w:rPr>
          <w:rFonts w:hint="eastAsia" w:ascii="黑体" w:hAnsi="黑体" w:eastAsia="黑体" w:cs="黑体"/>
          <w:b/>
          <w:color w:val="auto"/>
          <w:kern w:val="0"/>
          <w:sz w:val="32"/>
          <w:szCs w:val="32"/>
          <w:lang w:val="en-US" w:eastAsia="zh-CN" w:bidi="ar-SA"/>
        </w:rPr>
      </w:pPr>
      <w:bookmarkStart w:id="112" w:name="_Toc6689"/>
      <w:r>
        <w:rPr>
          <w:rFonts w:hint="eastAsia" w:ascii="黑体" w:hAnsi="黑体" w:eastAsia="黑体" w:cs="黑体"/>
          <w:b/>
          <w:color w:val="auto"/>
          <w:kern w:val="0"/>
          <w:sz w:val="32"/>
          <w:szCs w:val="32"/>
          <w:lang w:val="en-US" w:eastAsia="zh-CN" w:bidi="ar-SA"/>
        </w:rPr>
        <w:t>一、建设目标</w:t>
      </w:r>
      <w:bookmarkEnd w:id="112"/>
    </w:p>
    <w:p w14:paraId="49A3B64A">
      <w:pPr>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以寻甸县城镇自然生态资源为依托，以现有城镇绿地为基础，结合山体、水系形成城镇绿色网络格局。保护好山体、河流、林地等自然景观，强化绿地空间的覆盖率和连通性。以改善城镇生态环境质量、提升城镇景观和拓展居民日常游憩空间为出发点，将城镇生态建设与旅游开发、城市发展相结合，突出城镇特色、融入文化内涵、美化人居环境，形成自然、和谐、优美、富有特色的城镇绿色景观。</w:t>
      </w:r>
    </w:p>
    <w:p w14:paraId="3818399E">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outlineLvl w:val="2"/>
        <w:rPr>
          <w:rFonts w:hint="eastAsia" w:ascii="Times New Roman" w:hAnsi="Times New Roman" w:eastAsia="宋体" w:cs="Times New Roman"/>
          <w:b/>
          <w:color w:val="auto"/>
          <w:kern w:val="0"/>
          <w:sz w:val="32"/>
          <w:szCs w:val="32"/>
          <w:lang w:val="en-US" w:eastAsia="zh-CN" w:bidi="ar-SA"/>
        </w:rPr>
      </w:pPr>
      <w:bookmarkStart w:id="113" w:name="_Toc20997"/>
      <w:r>
        <w:rPr>
          <w:rFonts w:hint="eastAsia" w:ascii="Times New Roman" w:hAnsi="Times New Roman" w:eastAsia="宋体" w:cs="Times New Roman"/>
          <w:b/>
          <w:color w:val="auto"/>
          <w:kern w:val="0"/>
          <w:sz w:val="32"/>
          <w:szCs w:val="32"/>
          <w:lang w:val="en-US" w:eastAsia="zh-CN" w:bidi="ar-SA"/>
        </w:rPr>
        <w:t>二、建设内容</w:t>
      </w:r>
      <w:bookmarkEnd w:id="113"/>
    </w:p>
    <w:p w14:paraId="3278C1B7">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b/>
          <w:bCs/>
          <w:color w:val="auto"/>
          <w:sz w:val="32"/>
          <w:szCs w:val="32"/>
          <w:lang w:val="en-US" w:eastAsia="zh-CN"/>
        </w:rPr>
      </w:pPr>
      <w:bookmarkStart w:id="114" w:name="_Toc1043"/>
      <w:r>
        <w:rPr>
          <w:rFonts w:hint="eastAsia" w:ascii="仿宋" w:hAnsi="仿宋" w:eastAsia="仿宋" w:cs="仿宋"/>
          <w:b/>
          <w:bCs/>
          <w:color w:val="auto"/>
          <w:sz w:val="32"/>
          <w:szCs w:val="32"/>
          <w:lang w:val="en-US" w:eastAsia="zh-CN"/>
        </w:rPr>
        <w:t>（一）城区绿地</w:t>
      </w:r>
      <w:bookmarkEnd w:id="114"/>
    </w:p>
    <w:p w14:paraId="40B1BE62">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 w:hAnsi="仿宋" w:eastAsia="仿宋" w:cs="仿宋"/>
          <w:b/>
          <w:bCs/>
          <w:color w:val="auto"/>
          <w:sz w:val="32"/>
          <w:szCs w:val="32"/>
          <w:lang w:val="en-US" w:eastAsia="zh-CN"/>
        </w:rPr>
        <w:t>公园绿地。</w:t>
      </w:r>
      <w:r>
        <w:rPr>
          <w:rFonts w:hint="eastAsia" w:ascii="仿宋_GB2312" w:hAnsi="仿宋_GB2312" w:eastAsia="仿宋_GB2312" w:cs="仿宋_GB2312"/>
          <w:b w:val="0"/>
          <w:bCs w:val="0"/>
          <w:kern w:val="2"/>
          <w:sz w:val="32"/>
          <w:szCs w:val="32"/>
          <w:lang w:val="en-US" w:eastAsia="zh-CN" w:bidi="ar-SA"/>
        </w:rPr>
        <w:t>坚持布局均衡、提质增效原则，不断优化完善城区公园体系，精心打造城市绿美格局。城市公园作为游憩休闲、健身娱乐、交往学习的空间，在满足人民群众精神文化需求，提升生活品质方面发挥着重要作用。根据寻甸县城区公园建设数量质量和城市公园的空间分布，按照市民出行300—500米见公园绿地的要求，通过新建、扩建、提升等多种建设途径，以市民公园、口袋公园、特色游园建设为重点，科学合理分类建设各类公园，使公园绿地较均匀地分布，并且突显乡镇生态资源特征、民族特色，增加公园的游憩功能和体验性。通过乡土特色植物、特色雕塑小品等营造具有城市特色的生态公园。</w:t>
      </w:r>
    </w:p>
    <w:p w14:paraId="7ECFCE67">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 w:hAnsi="仿宋" w:eastAsia="仿宋" w:cs="仿宋"/>
          <w:b/>
          <w:bCs/>
          <w:color w:val="auto"/>
          <w:sz w:val="32"/>
          <w:szCs w:val="32"/>
          <w:lang w:val="en-US" w:eastAsia="zh-CN"/>
        </w:rPr>
        <w:t>附属绿地。</w:t>
      </w:r>
      <w:r>
        <w:rPr>
          <w:rFonts w:hint="eastAsia" w:ascii="仿宋_GB2312" w:hAnsi="仿宋_GB2312" w:eastAsia="仿宋_GB2312" w:cs="仿宋_GB2312"/>
          <w:b w:val="0"/>
          <w:bCs w:val="0"/>
          <w:kern w:val="2"/>
          <w:sz w:val="32"/>
          <w:szCs w:val="32"/>
          <w:lang w:val="en-US" w:eastAsia="zh-CN" w:bidi="ar-SA"/>
        </w:rPr>
        <w:t>①城区道路绿化。本着以人为本的原则，在满足交通安全的前提上，借鉴自然植物群落结构特点构建复层式群落结构，营造符合自然演进和高原水系特色的绿色廊道。改变传统道路绿地单一的“线”的处理，变“线”为“带”，充分利用现有的中央绿化隔离带、两旁绿化带以及周边建筑绿色空间，使交通空间、建筑空间和开放空间有机结合，让城市绿地连为一个整体，成为建筑景观、自然景观以及各种人工景观之间的“软”连接。树种选择枝下高大、抗病性强、耐污染能力强、树形优美的乡土树种和观花树种，控制适宜的植株密度和数量、种类，形成食物链和维持正常生态循环所需的环境，产生一定的生物栖息效应。同时将各乡镇民族文化、历史文化和高原水系特色融入道路绿化美化中，以植物造景为主、小品点缓为辅，充分体现不同道路的文化内涵和景观特色，形成“花叶相映、四季有景、层次丰富、尺度适宜、景观有序”的城市绿廊景观。</w:t>
      </w:r>
    </w:p>
    <w:p w14:paraId="4B4B206A">
      <w:pPr>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②城区社区绿化。居住型绿地是城市绿地的重要组成部分，与城市居民日常活动关系密切。居住绿地在美化居住区环境，为城市居民创造室外休憩活动场所中起着重要的作用。通过科学规划，见缝插绿，提高住区空间绿量。充分考虑绿地空间应具有的多样化功能，使让人向往的自然环境和宁静惬意的社区氛围得到充分体现。植物种类的选择上，体现适地适树原则，合理配置乔灌草、速生与慢生树种的比例，以观赏性强的开花灌木、常绿树和彩叶树为主:增加乔木的种植面积。可以考虑使用生长健壮病虫害少，便于养护管理的植物类型，同时，杜绝选用可能对人造成伤害、对环境造成污染的树种类型。</w:t>
      </w:r>
    </w:p>
    <w:p w14:paraId="3FA6F04D">
      <w:pPr>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③城区校园绿化。校园绿地是校园环境育人的重要绿色基础设施，城区校园绿地也是城市绿地的重要组成部分。尽可能增加校园绿化面积，提高校园绿地率和绿化覆盖率。构建以高大乔木为主体，结构多样，绿地生态系统服务功能良好的校园植物群落。推进乡土树种、珍贵树种、特色树种、引鸟树种进校园；结合第二课堂，师生深度参与校园绿地建设与养护，依托校园丰富的生物多样性和森林、绿地、湿地资源，建设森林课堂、湿地课堂，发挥校园绿地的自然教育功能。</w:t>
      </w:r>
    </w:p>
    <w:p w14:paraId="424B306F">
      <w:pPr>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④城区单位绿化。单位附属绿地作为城市绿地系统的重要组成部分,是一个单位整体状况和风貌的外部体现，对整个城市绿量增加、环境改善等都有着重要意义。在满足单位庭院基本功能的前提下，通过拆违建绿、立体绿化等形式，增加单位绿地率和绿视率,建设园林单位、森林单位。以城市主干道、历史文化街区、城区景点附近的单位为重点，以八大绿美行业主管部门单位庭院绿化美化提升为标杆，逐步向城区各单位推广。</w:t>
      </w:r>
    </w:p>
    <w:p w14:paraId="5ABEDCB8">
      <w:pPr>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⑤绿荫停车场。停车场绿化不仅具有遮荫效果，对于缓解城市热岛效应，吸收汽车尾气，改善城市生态环境也起到一定的作用。寻甸绿荫停车场遮阴乔木植物种类的选择须重点考虑，侧枝分枝点的高度不能影响车辆的行进。树种以冠大荫浓、深根性、较强的抗风、抗污染、抗高温、耐干早的乡土乔木树种为主，适量选择花灌木，设立绿色屏障，减少对周边环境的影响。</w:t>
      </w:r>
    </w:p>
    <w:p w14:paraId="45FB7ECC">
      <w:pPr>
        <w:keepNext w:val="0"/>
        <w:keepLines w:val="0"/>
        <w:pageBreakBefore w:val="0"/>
        <w:widowControl w:val="0"/>
        <w:kinsoku/>
        <w:wordWrap/>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防护绿地。</w:t>
      </w:r>
      <w:r>
        <w:rPr>
          <w:rFonts w:hint="eastAsia" w:ascii="仿宋_GB2312" w:hAnsi="仿宋_GB2312" w:eastAsia="仿宋_GB2312" w:cs="仿宋_GB2312"/>
          <w:b w:val="0"/>
          <w:bCs w:val="0"/>
          <w:kern w:val="2"/>
          <w:sz w:val="32"/>
          <w:szCs w:val="32"/>
          <w:lang w:val="en-US" w:eastAsia="zh-CN" w:bidi="ar-SA"/>
        </w:rPr>
        <w:t>防护绿地是指城市中具有卫生、隔离和安全防护功能的绿地。在已建设的防护绿地的基础上，丰富防护绿地的树种以及生物群落，形成具有防护功能和生态效益的完善防护绿地系统。主要采用群落式种植手法，构成复层结构植物群落，增进生态系统的抗逆性和稳定性；在树种选择上，选择涵养水源和保持水土能力较强的乡土树种，加大彩叶树种比例，增强观赏性。</w:t>
      </w:r>
    </w:p>
    <w:p w14:paraId="7ADE6978">
      <w:pPr>
        <w:keepNext w:val="0"/>
        <w:keepLines w:val="0"/>
        <w:pageBreakBefore w:val="0"/>
        <w:widowControl w:val="0"/>
        <w:kinsoku/>
        <w:wordWrap/>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立体绿化。</w:t>
      </w:r>
      <w:r>
        <w:rPr>
          <w:rFonts w:hint="eastAsia" w:ascii="仿宋_GB2312" w:hAnsi="仿宋_GB2312" w:eastAsia="仿宋_GB2312" w:cs="仿宋_GB2312"/>
          <w:b w:val="0"/>
          <w:bCs w:val="0"/>
          <w:kern w:val="2"/>
          <w:sz w:val="32"/>
          <w:szCs w:val="32"/>
          <w:lang w:val="en-US" w:eastAsia="zh-CN" w:bidi="ar-SA"/>
        </w:rPr>
        <w:t>立体绿化有助于进一步增加城市绿量、丰富城市景观，根据不同的立体条件,选择适宜种植的植物。立交桥、挡土墙等垂直绿化可选择种植炮仗花、蒜香膝、紫膝、叶子花、珊瑚膝、锦屏藤等攀援植物，减少工程建设成本，最大限度发挥植物作用，营造特色立体景观；屋顶绿化可以栽植体量较小、生态和景观效果好的植物,并且可以利用种植槽吸收雨水，减轻排水系统压力，从而改善城市生态环境、美化城市形象。</w:t>
      </w:r>
    </w:p>
    <w:p w14:paraId="6D16D63D">
      <w:pPr>
        <w:rPr>
          <w:rFonts w:hint="eastAsia"/>
          <w:lang w:val="en-US" w:eastAsia="zh-CN"/>
        </w:rPr>
      </w:pPr>
    </w:p>
    <w:tbl>
      <w:tblPr>
        <w:tblStyle w:val="10"/>
        <w:tblW w:w="9060" w:type="dxa"/>
        <w:tblInd w:w="0" w:type="dxa"/>
        <w:tblLayout w:type="fixed"/>
        <w:tblCellMar>
          <w:top w:w="0" w:type="dxa"/>
          <w:left w:w="108" w:type="dxa"/>
          <w:bottom w:w="0" w:type="dxa"/>
          <w:right w:w="108" w:type="dxa"/>
        </w:tblCellMar>
      </w:tblPr>
      <w:tblGrid>
        <w:gridCol w:w="9060"/>
      </w:tblGrid>
      <w:tr w14:paraId="7A4D095B">
        <w:tblPrEx>
          <w:tblCellMar>
            <w:top w:w="0" w:type="dxa"/>
            <w:left w:w="108" w:type="dxa"/>
            <w:bottom w:w="0" w:type="dxa"/>
            <w:right w:w="108" w:type="dxa"/>
          </w:tblCellMar>
        </w:tblPrEx>
        <w:trPr>
          <w:trHeight w:val="589" w:hRule="atLeast"/>
        </w:trPr>
        <w:tc>
          <w:tcPr>
            <w:tcW w:w="9060" w:type="dxa"/>
            <w:tcBorders>
              <w:top w:val="single" w:color="auto" w:sz="4" w:space="0"/>
              <w:left w:val="single" w:color="auto" w:sz="4" w:space="0"/>
              <w:bottom w:val="single" w:color="auto" w:sz="4" w:space="0"/>
              <w:right w:val="single" w:color="auto" w:sz="4" w:space="0"/>
            </w:tcBorders>
          </w:tcPr>
          <w:p w14:paraId="4D1BD637">
            <w:pPr>
              <w:overflowPunct w:val="0"/>
              <w:spacing w:line="578" w:lineRule="exact"/>
              <w:ind w:firstLine="562" w:firstLineChars="200"/>
              <w:jc w:val="center"/>
              <w:rPr>
                <w:rFonts w:hint="eastAsia" w:ascii="Times New Roman" w:hAnsi="Times New Roman" w:eastAsia="仿宋_GB2312"/>
                <w:b/>
                <w:bCs/>
                <w:color w:val="auto"/>
                <w:sz w:val="28"/>
                <w:szCs w:val="28"/>
                <w:highlight w:val="none"/>
                <w:lang w:val="en-US" w:eastAsia="zh-CN"/>
              </w:rPr>
            </w:pPr>
            <w:r>
              <w:rPr>
                <w:rFonts w:ascii="Times New Roman" w:hAnsi="Times New Roman" w:eastAsia="仿宋_GB2312"/>
                <w:b/>
                <w:bCs/>
                <w:color w:val="auto"/>
                <w:sz w:val="28"/>
                <w:szCs w:val="28"/>
                <w:highlight w:val="none"/>
              </w:rPr>
              <w:t>专栏</w:t>
            </w:r>
            <w:r>
              <w:rPr>
                <w:rFonts w:hint="eastAsia" w:ascii="Times New Roman" w:hAnsi="Times New Roman" w:eastAsia="仿宋_GB2312"/>
                <w:b/>
                <w:bCs/>
                <w:color w:val="auto"/>
                <w:sz w:val="28"/>
                <w:szCs w:val="28"/>
                <w:highlight w:val="none"/>
                <w:lang w:val="en-US" w:eastAsia="zh-CN"/>
              </w:rPr>
              <w:t xml:space="preserve">1  </w:t>
            </w:r>
            <w:r>
              <w:rPr>
                <w:rFonts w:hint="eastAsia" w:ascii="Times New Roman" w:hAnsi="Times New Roman" w:eastAsia="仿宋_GB2312"/>
                <w:b/>
                <w:bCs/>
                <w:color w:val="auto"/>
                <w:sz w:val="28"/>
                <w:szCs w:val="28"/>
                <w:highlight w:val="none"/>
              </w:rPr>
              <w:t xml:space="preserve"> </w:t>
            </w:r>
            <w:r>
              <w:rPr>
                <w:rFonts w:ascii="Times New Roman" w:hAnsi="Times New Roman" w:eastAsia="仿宋_GB2312"/>
                <w:b/>
                <w:bCs/>
                <w:color w:val="auto"/>
                <w:sz w:val="28"/>
                <w:szCs w:val="28"/>
                <w:highlight w:val="none"/>
              </w:rPr>
              <w:t>实施</w:t>
            </w:r>
            <w:r>
              <w:rPr>
                <w:rFonts w:hint="eastAsia" w:ascii="Times New Roman" w:hAnsi="Times New Roman" w:eastAsia="仿宋_GB2312"/>
                <w:b/>
                <w:bCs/>
                <w:color w:val="auto"/>
                <w:sz w:val="28"/>
                <w:szCs w:val="28"/>
                <w:highlight w:val="none"/>
                <w:lang w:val="en-US" w:eastAsia="zh-CN"/>
              </w:rPr>
              <w:t>内容</w:t>
            </w:r>
          </w:p>
        </w:tc>
      </w:tr>
      <w:tr w14:paraId="5F6A01A7">
        <w:tblPrEx>
          <w:tblCellMar>
            <w:top w:w="0" w:type="dxa"/>
            <w:left w:w="108" w:type="dxa"/>
            <w:bottom w:w="0" w:type="dxa"/>
            <w:right w:w="108" w:type="dxa"/>
          </w:tblCellMar>
        </w:tblPrEx>
        <w:trPr>
          <w:trHeight w:val="7762" w:hRule="atLeast"/>
        </w:trPr>
        <w:tc>
          <w:tcPr>
            <w:tcW w:w="9060" w:type="dxa"/>
            <w:tcBorders>
              <w:top w:val="single" w:color="auto" w:sz="4" w:space="0"/>
              <w:left w:val="single" w:color="auto" w:sz="4" w:space="0"/>
              <w:bottom w:val="single" w:color="auto" w:sz="4" w:space="0"/>
              <w:right w:val="single" w:color="auto" w:sz="4" w:space="0"/>
            </w:tcBorders>
          </w:tcPr>
          <w:p w14:paraId="5076E31A">
            <w:pPr>
              <w:keepNext w:val="0"/>
              <w:keepLines w:val="0"/>
              <w:pageBreakBefore w:val="0"/>
              <w:widowControl w:val="0"/>
              <w:kinsoku/>
              <w:wordWrap/>
              <w:overflowPunct w:val="0"/>
              <w:topLinePunct w:val="0"/>
              <w:autoSpaceDE/>
              <w:autoSpaceDN/>
              <w:bidi w:val="0"/>
              <w:adjustRightInd/>
              <w:snapToGrid/>
              <w:spacing w:line="240" w:lineRule="auto"/>
              <w:ind w:firstLine="723" w:firstLineChars="300"/>
              <w:textAlignment w:val="auto"/>
              <w:rPr>
                <w:rFonts w:hint="default" w:ascii="Times New Roman" w:hAnsi="Times New Roman" w:eastAsia="仿宋_GB2312" w:cs="Times New Roman"/>
                <w:b w:val="0"/>
                <w:bCs w:val="0"/>
                <w:i w:val="0"/>
                <w:color w:val="auto"/>
                <w:spacing w:val="0"/>
                <w:kern w:val="0"/>
                <w:sz w:val="24"/>
                <w:szCs w:val="24"/>
                <w:highlight w:val="none"/>
                <w:u w:val="none"/>
                <w:shd w:val="clear" w:color="auto" w:fill="auto"/>
                <w:lang w:val="en-US" w:eastAsia="zh-CN" w:bidi="ar"/>
              </w:rPr>
            </w:pPr>
            <w:r>
              <w:rPr>
                <w:rFonts w:hint="eastAsia" w:ascii="仿宋_GB2312" w:hAnsi="仿宋" w:eastAsia="仿宋_GB2312" w:cs="仿宋"/>
                <w:b/>
                <w:bCs/>
                <w:color w:val="auto"/>
                <w:sz w:val="24"/>
                <w:szCs w:val="32"/>
                <w:highlight w:val="none"/>
                <w:lang w:eastAsia="zh-CN"/>
              </w:rPr>
              <w:t>完善绿地系统规划</w:t>
            </w:r>
            <w:r>
              <w:rPr>
                <w:rFonts w:hint="eastAsia" w:ascii="仿宋_GB2312" w:hAnsi="仿宋" w:eastAsia="仿宋_GB2312" w:cs="仿宋"/>
                <w:color w:val="auto"/>
                <w:sz w:val="24"/>
                <w:szCs w:val="32"/>
                <w:highlight w:val="none"/>
                <w:lang w:eastAsia="zh-CN"/>
              </w:rPr>
              <w:t>：</w:t>
            </w:r>
            <w:r>
              <w:rPr>
                <w:rFonts w:hint="eastAsia" w:ascii="Times New Roman" w:hAnsi="Times New Roman" w:eastAsia="仿宋_GB2312" w:cs="Times New Roman"/>
                <w:b w:val="0"/>
                <w:bCs w:val="0"/>
                <w:i w:val="0"/>
                <w:color w:val="auto"/>
                <w:spacing w:val="0"/>
                <w:kern w:val="0"/>
                <w:sz w:val="24"/>
                <w:szCs w:val="24"/>
                <w:highlight w:val="none"/>
                <w:u w:val="none"/>
                <w:lang w:val="en-US" w:eastAsia="zh-CN" w:bidi="ar"/>
              </w:rPr>
              <w:t>根据社会发展和绿化美化工作的要求</w:t>
            </w:r>
            <w:r>
              <w:rPr>
                <w:rFonts w:hint="default" w:ascii="Times New Roman" w:hAnsi="Times New Roman" w:eastAsia="仿宋_GB2312" w:cs="Times New Roman"/>
                <w:b w:val="0"/>
                <w:bCs w:val="0"/>
                <w:i w:val="0"/>
                <w:color w:val="auto"/>
                <w:spacing w:val="0"/>
                <w:kern w:val="0"/>
                <w:sz w:val="24"/>
                <w:szCs w:val="24"/>
                <w:highlight w:val="none"/>
                <w:u w:val="none"/>
                <w:lang w:val="en-US" w:eastAsia="zh-CN" w:bidi="ar"/>
              </w:rPr>
              <w:t>，</w:t>
            </w:r>
            <w:r>
              <w:rPr>
                <w:rFonts w:hint="eastAsia" w:ascii="Times New Roman" w:hAnsi="Times New Roman" w:eastAsia="仿宋_GB2312" w:cs="Times New Roman"/>
                <w:b w:val="0"/>
                <w:bCs w:val="0"/>
                <w:i w:val="0"/>
                <w:color w:val="auto"/>
                <w:spacing w:val="0"/>
                <w:kern w:val="0"/>
                <w:sz w:val="24"/>
                <w:szCs w:val="24"/>
                <w:highlight w:val="none"/>
                <w:u w:val="none"/>
                <w:lang w:val="en-US" w:eastAsia="zh-CN" w:bidi="ar"/>
              </w:rPr>
              <w:t>不断健全完善</w:t>
            </w:r>
            <w:r>
              <w:rPr>
                <w:rFonts w:hint="default" w:ascii="Times New Roman" w:hAnsi="Times New Roman" w:eastAsia="仿宋_GB2312" w:cs="Times New Roman"/>
                <w:b w:val="0"/>
                <w:bCs w:val="0"/>
                <w:i w:val="0"/>
                <w:color w:val="auto"/>
                <w:spacing w:val="0"/>
                <w:kern w:val="0"/>
                <w:sz w:val="24"/>
                <w:szCs w:val="24"/>
                <w:highlight w:val="none"/>
                <w:u w:val="none"/>
                <w:lang w:val="en-US" w:eastAsia="zh-CN" w:bidi="ar"/>
              </w:rPr>
              <w:t>绿地系统</w:t>
            </w:r>
            <w:r>
              <w:rPr>
                <w:rFonts w:hint="eastAsia" w:ascii="Times New Roman" w:hAnsi="Times New Roman" w:eastAsia="仿宋_GB2312" w:cs="Times New Roman"/>
                <w:b w:val="0"/>
                <w:bCs w:val="0"/>
                <w:i w:val="0"/>
                <w:color w:val="auto"/>
                <w:spacing w:val="0"/>
                <w:kern w:val="0"/>
                <w:sz w:val="24"/>
                <w:szCs w:val="24"/>
                <w:highlight w:val="none"/>
                <w:u w:val="none"/>
                <w:lang w:val="en-US" w:eastAsia="zh-CN" w:bidi="ar"/>
              </w:rPr>
              <w:t>、</w:t>
            </w:r>
            <w:r>
              <w:rPr>
                <w:rFonts w:hint="default" w:ascii="Times New Roman" w:hAnsi="Times New Roman" w:eastAsia="仿宋_GB2312" w:cs="Times New Roman"/>
                <w:b w:val="0"/>
                <w:bCs w:val="0"/>
                <w:i w:val="0"/>
                <w:color w:val="auto"/>
                <w:spacing w:val="0"/>
                <w:kern w:val="0"/>
                <w:sz w:val="24"/>
                <w:szCs w:val="24"/>
                <w:highlight w:val="none"/>
                <w:u w:val="none"/>
                <w:lang w:val="en-US" w:eastAsia="zh-CN" w:bidi="ar"/>
              </w:rPr>
              <w:t>公园体系</w:t>
            </w:r>
            <w:r>
              <w:rPr>
                <w:rFonts w:hint="eastAsia" w:ascii="Times New Roman" w:hAnsi="Times New Roman" w:eastAsia="仿宋_GB2312" w:cs="Times New Roman"/>
                <w:b w:val="0"/>
                <w:bCs w:val="0"/>
                <w:i w:val="0"/>
                <w:color w:val="auto"/>
                <w:spacing w:val="0"/>
                <w:kern w:val="0"/>
                <w:sz w:val="24"/>
                <w:szCs w:val="24"/>
                <w:highlight w:val="none"/>
                <w:u w:val="none"/>
                <w:lang w:val="en-US" w:eastAsia="zh-CN" w:bidi="ar"/>
              </w:rPr>
              <w:t>、</w:t>
            </w:r>
            <w:r>
              <w:rPr>
                <w:rFonts w:hint="default" w:ascii="Times New Roman" w:hAnsi="Times New Roman" w:eastAsia="仿宋_GB2312" w:cs="Times New Roman"/>
                <w:b w:val="0"/>
                <w:bCs w:val="0"/>
                <w:i w:val="0"/>
                <w:color w:val="auto"/>
                <w:spacing w:val="0"/>
                <w:kern w:val="0"/>
                <w:sz w:val="24"/>
                <w:szCs w:val="24"/>
                <w:highlight w:val="none"/>
                <w:u w:val="none"/>
                <w:shd w:val="clear" w:color="auto" w:fill="auto"/>
                <w:lang w:val="en-US" w:eastAsia="zh-CN" w:bidi="ar"/>
              </w:rPr>
              <w:t>生物多样性保护</w:t>
            </w:r>
            <w:r>
              <w:rPr>
                <w:rFonts w:hint="eastAsia" w:ascii="Times New Roman" w:hAnsi="Times New Roman" w:eastAsia="仿宋_GB2312" w:cs="Times New Roman"/>
                <w:b w:val="0"/>
                <w:bCs w:val="0"/>
                <w:i w:val="0"/>
                <w:color w:val="auto"/>
                <w:spacing w:val="0"/>
                <w:kern w:val="0"/>
                <w:sz w:val="24"/>
                <w:szCs w:val="24"/>
                <w:highlight w:val="none"/>
                <w:u w:val="none"/>
                <w:shd w:val="clear" w:color="auto" w:fill="auto"/>
                <w:lang w:val="en-US" w:eastAsia="zh-CN" w:bidi="ar"/>
              </w:rPr>
              <w:t>等规划</w:t>
            </w:r>
            <w:r>
              <w:rPr>
                <w:rFonts w:hint="default" w:ascii="Times New Roman" w:hAnsi="Times New Roman" w:eastAsia="仿宋_GB2312" w:cs="Times New Roman"/>
                <w:b w:val="0"/>
                <w:bCs w:val="0"/>
                <w:i w:val="0"/>
                <w:color w:val="auto"/>
                <w:spacing w:val="0"/>
                <w:kern w:val="0"/>
                <w:sz w:val="24"/>
                <w:szCs w:val="24"/>
                <w:highlight w:val="none"/>
                <w:u w:val="none"/>
                <w:shd w:val="clear" w:color="auto" w:fill="auto"/>
                <w:lang w:val="en-US" w:eastAsia="zh-CN" w:bidi="ar"/>
              </w:rPr>
              <w:t>，确保</w:t>
            </w:r>
            <w:r>
              <w:rPr>
                <w:rFonts w:hint="eastAsia" w:ascii="Times New Roman" w:hAnsi="Times New Roman" w:eastAsia="仿宋_GB2312" w:cs="Times New Roman"/>
                <w:b w:val="0"/>
                <w:bCs w:val="0"/>
                <w:i w:val="0"/>
                <w:color w:val="auto"/>
                <w:spacing w:val="0"/>
                <w:kern w:val="0"/>
                <w:sz w:val="24"/>
                <w:szCs w:val="24"/>
                <w:highlight w:val="none"/>
                <w:u w:val="none"/>
                <w:shd w:val="clear" w:color="auto" w:fill="auto"/>
                <w:lang w:val="en-US" w:eastAsia="zh-CN" w:bidi="ar"/>
              </w:rPr>
              <w:t>城市</w:t>
            </w:r>
            <w:r>
              <w:rPr>
                <w:rFonts w:hint="default" w:ascii="Times New Roman" w:hAnsi="Times New Roman" w:eastAsia="仿宋_GB2312" w:cs="Times New Roman"/>
                <w:b w:val="0"/>
                <w:bCs w:val="0"/>
                <w:i w:val="0"/>
                <w:color w:val="auto"/>
                <w:spacing w:val="0"/>
                <w:kern w:val="0"/>
                <w:sz w:val="24"/>
                <w:szCs w:val="24"/>
                <w:highlight w:val="none"/>
                <w:u w:val="none"/>
                <w:shd w:val="clear" w:color="auto" w:fill="auto"/>
                <w:lang w:val="en-US" w:eastAsia="zh-CN" w:bidi="ar"/>
              </w:rPr>
              <w:t>重要生态系统、生物物种和生物遗传资源得到全面保护，全面</w:t>
            </w:r>
            <w:r>
              <w:rPr>
                <w:rFonts w:hint="default" w:ascii="Times New Roman" w:hAnsi="Times New Roman" w:eastAsia="仿宋_GB2312" w:cs="Times New Roman"/>
                <w:b w:val="0"/>
                <w:bCs w:val="0"/>
                <w:i w:val="0"/>
                <w:color w:val="auto"/>
                <w:spacing w:val="0"/>
                <w:kern w:val="0"/>
                <w:sz w:val="24"/>
                <w:szCs w:val="24"/>
                <w:highlight w:val="none"/>
                <w:u w:val="none"/>
                <w:lang w:val="en-US" w:eastAsia="zh-CN" w:bidi="ar"/>
              </w:rPr>
              <w:t>改善城市形象品质</w:t>
            </w:r>
            <w:r>
              <w:rPr>
                <w:rFonts w:hint="eastAsia" w:ascii="Times New Roman" w:hAnsi="Times New Roman" w:eastAsia="仿宋_GB2312" w:cs="Times New Roman"/>
                <w:b w:val="0"/>
                <w:bCs w:val="0"/>
                <w:i w:val="0"/>
                <w:color w:val="auto"/>
                <w:spacing w:val="0"/>
                <w:kern w:val="0"/>
                <w:sz w:val="24"/>
                <w:szCs w:val="24"/>
                <w:highlight w:val="none"/>
                <w:u w:val="none"/>
                <w:shd w:val="clear" w:color="auto" w:fill="auto"/>
                <w:lang w:val="en-US" w:eastAsia="zh-CN" w:bidi="ar"/>
              </w:rPr>
              <w:t>，</w:t>
            </w:r>
            <w:r>
              <w:rPr>
                <w:rFonts w:hint="default" w:ascii="Times New Roman" w:hAnsi="Times New Roman" w:eastAsia="仿宋_GB2312" w:cs="Times New Roman"/>
                <w:b w:val="0"/>
                <w:bCs w:val="0"/>
                <w:i w:val="0"/>
                <w:color w:val="auto"/>
                <w:spacing w:val="0"/>
                <w:kern w:val="0"/>
                <w:sz w:val="24"/>
                <w:szCs w:val="24"/>
                <w:highlight w:val="none"/>
                <w:u w:val="none"/>
                <w:shd w:val="clear" w:color="auto" w:fill="auto"/>
                <w:lang w:val="en-US" w:eastAsia="zh-CN" w:bidi="ar"/>
              </w:rPr>
              <w:t>提升生物多样性保护水平。</w:t>
            </w:r>
          </w:p>
          <w:p w14:paraId="1444E382">
            <w:pPr>
              <w:pStyle w:val="2"/>
              <w:keepNext w:val="0"/>
              <w:keepLines w:val="0"/>
              <w:pageBreakBefore w:val="0"/>
              <w:widowControl w:val="0"/>
              <w:kinsoku/>
              <w:wordWrap/>
              <w:topLinePunct w:val="0"/>
              <w:autoSpaceDE/>
              <w:autoSpaceDN/>
              <w:bidi w:val="0"/>
              <w:adjustRightInd/>
              <w:snapToGrid/>
              <w:spacing w:line="240" w:lineRule="auto"/>
              <w:ind w:firstLine="480"/>
              <w:textAlignment w:val="auto"/>
              <w:rPr>
                <w:rFonts w:hint="eastAsia" w:ascii="Times New Roman" w:hAnsi="Times New Roman" w:eastAsia="仿宋_GB2312" w:cs="Times New Roman"/>
                <w:color w:val="auto"/>
                <w:sz w:val="24"/>
                <w:szCs w:val="24"/>
                <w:highlight w:val="none"/>
                <w:lang w:val="en-US" w:eastAsia="zh-CN"/>
              </w:rPr>
            </w:pPr>
            <w:r>
              <w:rPr>
                <w:rFonts w:hint="eastAsia" w:ascii="仿宋_GB2312" w:hAnsi="仿宋" w:eastAsia="仿宋_GB2312" w:cs="仿宋"/>
                <w:b/>
                <w:bCs/>
                <w:color w:val="auto"/>
                <w:sz w:val="24"/>
                <w:szCs w:val="32"/>
                <w:highlight w:val="none"/>
                <w:lang w:eastAsia="zh-CN"/>
              </w:rPr>
              <w:t>强化绿地建设</w:t>
            </w:r>
            <w:r>
              <w:rPr>
                <w:rFonts w:hint="eastAsia" w:ascii="仿宋_GB2312" w:hAnsi="仿宋" w:eastAsia="仿宋_GB2312" w:cs="仿宋"/>
                <w:color w:val="auto"/>
                <w:sz w:val="24"/>
                <w:szCs w:val="32"/>
                <w:highlight w:val="none"/>
                <w:lang w:eastAsia="zh-CN"/>
              </w:rPr>
              <w:t>：</w:t>
            </w:r>
            <w:r>
              <w:rPr>
                <w:rFonts w:hint="default" w:ascii="Times New Roman" w:hAnsi="Times New Roman" w:eastAsia="仿宋_GB2312" w:cs="Times New Roman"/>
                <w:b w:val="0"/>
                <w:bCs w:val="0"/>
                <w:i w:val="0"/>
                <w:color w:val="auto"/>
                <w:spacing w:val="0"/>
                <w:kern w:val="0"/>
                <w:sz w:val="24"/>
                <w:szCs w:val="24"/>
                <w:highlight w:val="none"/>
                <w:u w:val="none"/>
                <w:lang w:val="en-US" w:eastAsia="zh-CN" w:bidi="ar"/>
              </w:rPr>
              <w:t>持续推进</w:t>
            </w:r>
            <w:r>
              <w:rPr>
                <w:rFonts w:hint="eastAsia" w:ascii="Times New Roman" w:hAnsi="Times New Roman" w:eastAsia="仿宋_GB2312" w:cs="Times New Roman"/>
                <w:b w:val="0"/>
                <w:bCs w:val="0"/>
                <w:i w:val="0"/>
                <w:color w:val="auto"/>
                <w:spacing w:val="0"/>
                <w:kern w:val="0"/>
                <w:sz w:val="24"/>
                <w:szCs w:val="24"/>
                <w:highlight w:val="none"/>
                <w:u w:val="none"/>
                <w:lang w:val="en-US" w:eastAsia="zh-CN" w:bidi="ar"/>
              </w:rPr>
              <w:t>城市</w:t>
            </w:r>
            <w:r>
              <w:rPr>
                <w:rFonts w:hint="default" w:ascii="Times New Roman" w:hAnsi="Times New Roman" w:eastAsia="仿宋_GB2312" w:cs="Times New Roman"/>
                <w:b w:val="0"/>
                <w:bCs w:val="0"/>
                <w:i w:val="0"/>
                <w:color w:val="auto"/>
                <w:spacing w:val="0"/>
                <w:kern w:val="0"/>
                <w:sz w:val="24"/>
                <w:szCs w:val="24"/>
                <w:highlight w:val="none"/>
                <w:u w:val="none"/>
                <w:lang w:val="en-US" w:eastAsia="zh-CN" w:bidi="ar"/>
              </w:rPr>
              <w:t>绿地建设，使绿地布局更加均衡、服务功能更加完善，展现四季常绿、全城有景、植物多样、环境优良的</w:t>
            </w:r>
            <w:r>
              <w:rPr>
                <w:rFonts w:hint="eastAsia" w:ascii="Times New Roman" w:hAnsi="Times New Roman" w:eastAsia="仿宋_GB2312" w:cs="Times New Roman"/>
                <w:b w:val="0"/>
                <w:bCs w:val="0"/>
                <w:i w:val="0"/>
                <w:color w:val="auto"/>
                <w:spacing w:val="0"/>
                <w:kern w:val="0"/>
                <w:sz w:val="24"/>
                <w:szCs w:val="24"/>
                <w:highlight w:val="none"/>
                <w:u w:val="none"/>
                <w:lang w:val="en-US" w:eastAsia="zh-CN" w:bidi="ar"/>
              </w:rPr>
              <w:t>城市</w:t>
            </w:r>
            <w:r>
              <w:rPr>
                <w:rFonts w:hint="default" w:ascii="Times New Roman" w:hAnsi="Times New Roman" w:eastAsia="仿宋_GB2312" w:cs="Times New Roman"/>
                <w:b w:val="0"/>
                <w:bCs w:val="0"/>
                <w:i w:val="0"/>
                <w:color w:val="auto"/>
                <w:spacing w:val="0"/>
                <w:kern w:val="0"/>
                <w:sz w:val="24"/>
                <w:szCs w:val="24"/>
                <w:highlight w:val="none"/>
                <w:u w:val="none"/>
                <w:lang w:val="en-US" w:eastAsia="zh-CN" w:bidi="ar"/>
              </w:rPr>
              <w:t>风貌。</w:t>
            </w:r>
            <w:r>
              <w:rPr>
                <w:rFonts w:hint="default" w:ascii="Times New Roman" w:hAnsi="Times New Roman" w:eastAsia="仿宋_GB2312" w:cs="Times New Roman"/>
                <w:color w:val="auto"/>
                <w:sz w:val="24"/>
                <w:szCs w:val="24"/>
                <w:highlight w:val="none"/>
                <w:lang w:val="en-US" w:eastAsia="zh-CN"/>
              </w:rPr>
              <w:t>梳理</w:t>
            </w:r>
            <w:r>
              <w:rPr>
                <w:rFonts w:hint="eastAsia" w:ascii="Times New Roman" w:hAnsi="Times New Roman" w:eastAsia="仿宋_GB2312" w:cs="Times New Roman"/>
                <w:color w:val="auto"/>
                <w:sz w:val="24"/>
                <w:szCs w:val="24"/>
                <w:highlight w:val="none"/>
                <w:lang w:val="en-US" w:eastAsia="zh-CN"/>
              </w:rPr>
              <w:t>县城</w:t>
            </w:r>
            <w:r>
              <w:rPr>
                <w:rFonts w:hint="default" w:ascii="Times New Roman" w:hAnsi="Times New Roman" w:eastAsia="仿宋_GB2312" w:cs="Times New Roman"/>
                <w:color w:val="auto"/>
                <w:sz w:val="24"/>
                <w:szCs w:val="24"/>
                <w:highlight w:val="none"/>
                <w:lang w:val="en-US" w:eastAsia="zh-CN"/>
              </w:rPr>
              <w:t>现状绿地，深入挖掘城市建设用地范围内可用地块，通过腾退还绿、留白增绿、拆围还绿等方式建设小微绿地</w:t>
            </w:r>
            <w:r>
              <w:rPr>
                <w:rFonts w:hint="eastAsia" w:ascii="Times New Roman" w:hAnsi="Times New Roman" w:eastAsia="仿宋_GB2312" w:cs="Times New Roman"/>
                <w:color w:val="auto"/>
                <w:sz w:val="24"/>
                <w:szCs w:val="24"/>
                <w:highlight w:val="none"/>
                <w:lang w:val="en-US" w:eastAsia="zh-CN"/>
              </w:rPr>
              <w:t>和“口袋公园”。</w:t>
            </w:r>
          </w:p>
          <w:p w14:paraId="7AB030D4">
            <w:pPr>
              <w:pStyle w:val="2"/>
              <w:rPr>
                <w:rFonts w:hint="default"/>
                <w:color w:val="auto"/>
                <w:highlight w:val="none"/>
                <w:lang w:val="en-US"/>
              </w:rPr>
            </w:pPr>
            <w:r>
              <w:rPr>
                <w:rFonts w:hint="eastAsia" w:ascii="Times New Roman" w:hAnsi="Times New Roman" w:eastAsia="仿宋_GB2312" w:cs="Times New Roman"/>
                <w:b w:val="0"/>
                <w:bCs w:val="0"/>
                <w:i w:val="0"/>
                <w:color w:val="auto"/>
                <w:spacing w:val="0"/>
                <w:kern w:val="0"/>
                <w:sz w:val="24"/>
                <w:szCs w:val="24"/>
                <w:highlight w:val="none"/>
                <w:u w:val="none"/>
                <w:lang w:val="en-US" w:eastAsia="zh-CN" w:bidi="ar"/>
              </w:rPr>
              <w:t xml:space="preserve">    </w:t>
            </w:r>
            <w:r>
              <w:rPr>
                <w:rFonts w:hint="eastAsia" w:ascii="仿宋_GB2312" w:hAnsi="仿宋" w:eastAsia="仿宋_GB2312" w:cs="仿宋"/>
                <w:b/>
                <w:bCs/>
                <w:color w:val="auto"/>
                <w:sz w:val="24"/>
                <w:szCs w:val="32"/>
                <w:highlight w:val="none"/>
                <w:lang w:eastAsia="zh-CN"/>
              </w:rPr>
              <w:t>加强绿化管养：</w:t>
            </w:r>
            <w:r>
              <w:rPr>
                <w:rFonts w:hint="eastAsia" w:ascii="Times New Roman" w:hAnsi="Times New Roman" w:eastAsia="仿宋_GB2312" w:cs="Times New Roman"/>
                <w:b w:val="0"/>
                <w:bCs w:val="0"/>
                <w:i w:val="0"/>
                <w:color w:val="auto"/>
                <w:spacing w:val="0"/>
                <w:kern w:val="0"/>
                <w:sz w:val="24"/>
                <w:szCs w:val="24"/>
                <w:highlight w:val="none"/>
                <w:u w:val="none"/>
                <w:lang w:val="en-US" w:eastAsia="zh-CN" w:bidi="ar"/>
              </w:rPr>
              <w:t>按照昆明市园林绿化三级管养体系，突出重点区域和重要路段精细化管理水平，合理配置管养资源，提高管养效能，维持良好的园林绿化景观。</w:t>
            </w:r>
          </w:p>
          <w:p w14:paraId="719E17DB">
            <w:pPr>
              <w:overflowPunct w:val="0"/>
              <w:spacing w:line="240" w:lineRule="auto"/>
              <w:ind w:firstLine="482" w:firstLineChars="200"/>
              <w:rPr>
                <w:rFonts w:hint="eastAsia" w:ascii="仿宋_GB2312" w:hAnsi="仿宋" w:eastAsia="仿宋_GB2312" w:cs="仿宋"/>
                <w:b/>
                <w:bCs/>
                <w:color w:val="auto"/>
                <w:sz w:val="24"/>
                <w:szCs w:val="32"/>
                <w:highlight w:val="none"/>
              </w:rPr>
            </w:pPr>
          </w:p>
          <w:p w14:paraId="67BFD2F9">
            <w:pPr>
              <w:overflowPunct w:val="0"/>
              <w:spacing w:line="240" w:lineRule="auto"/>
              <w:ind w:firstLine="482" w:firstLineChars="200"/>
              <w:rPr>
                <w:rFonts w:hint="eastAsia" w:ascii="仿宋_GB2312" w:hAnsi="仿宋" w:eastAsia="仿宋_GB2312" w:cs="仿宋"/>
                <w:color w:val="auto"/>
                <w:sz w:val="24"/>
                <w:szCs w:val="32"/>
                <w:highlight w:val="none"/>
                <w:lang w:val="en-US" w:eastAsia="zh-CN"/>
              </w:rPr>
            </w:pPr>
            <w:r>
              <w:rPr>
                <w:rFonts w:hint="eastAsia" w:ascii="仿宋_GB2312" w:hAnsi="仿宋" w:eastAsia="仿宋_GB2312" w:cs="仿宋"/>
                <w:b/>
                <w:bCs/>
                <w:color w:val="auto"/>
                <w:sz w:val="24"/>
                <w:szCs w:val="32"/>
                <w:highlight w:val="none"/>
              </w:rPr>
              <w:t>建设项目附属绿</w:t>
            </w:r>
            <w:r>
              <w:rPr>
                <w:rFonts w:hint="eastAsia" w:ascii="仿宋_GB2312" w:hAnsi="仿宋" w:eastAsia="仿宋_GB2312" w:cs="仿宋"/>
                <w:b/>
                <w:bCs/>
                <w:color w:val="auto"/>
                <w:sz w:val="24"/>
                <w:szCs w:val="32"/>
                <w:highlight w:val="none"/>
                <w:lang w:val="en-US" w:eastAsia="zh-CN"/>
              </w:rPr>
              <w:t>化工程</w:t>
            </w:r>
            <w:r>
              <w:rPr>
                <w:rFonts w:hint="eastAsia" w:ascii="仿宋_GB2312" w:hAnsi="仿宋" w:eastAsia="仿宋_GB2312" w:cs="仿宋"/>
                <w:color w:val="auto"/>
                <w:sz w:val="24"/>
                <w:szCs w:val="32"/>
                <w:highlight w:val="none"/>
                <w:lang w:eastAsia="zh-CN"/>
              </w:rPr>
              <w:t>：</w:t>
            </w:r>
            <w:r>
              <w:rPr>
                <w:rFonts w:hint="eastAsia" w:ascii="仿宋_GB2312" w:hAnsi="仿宋" w:eastAsia="仿宋_GB2312" w:cs="仿宋"/>
                <w:color w:val="auto"/>
                <w:sz w:val="24"/>
                <w:szCs w:val="32"/>
                <w:highlight w:val="none"/>
                <w:lang w:val="en-US" w:eastAsia="zh-CN"/>
              </w:rPr>
              <w:t>1、</w:t>
            </w:r>
            <w:r>
              <w:rPr>
                <w:rFonts w:hint="eastAsia" w:ascii="仿宋_GB2312" w:hAnsi="仿宋" w:eastAsia="仿宋_GB2312" w:cs="仿宋"/>
                <w:color w:val="auto"/>
                <w:sz w:val="24"/>
                <w:szCs w:val="32"/>
                <w:highlight w:val="none"/>
              </w:rPr>
              <w:t>凤龙路东延线市政道路绿化</w:t>
            </w:r>
            <w:r>
              <w:rPr>
                <w:rFonts w:hint="eastAsia" w:ascii="仿宋_GB2312" w:hAnsi="仿宋" w:eastAsia="仿宋_GB2312" w:cs="仿宋"/>
                <w:color w:val="auto"/>
                <w:sz w:val="24"/>
                <w:szCs w:val="32"/>
                <w:highlight w:val="none"/>
                <w:lang w:eastAsia="zh-CN"/>
              </w:rPr>
              <w:t>。</w:t>
            </w:r>
            <w:r>
              <w:rPr>
                <w:rFonts w:hint="eastAsia" w:ascii="仿宋_GB2312" w:hAnsi="仿宋" w:eastAsia="仿宋_GB2312" w:cs="仿宋"/>
                <w:color w:val="auto"/>
                <w:sz w:val="24"/>
                <w:szCs w:val="32"/>
                <w:highlight w:val="none"/>
              </w:rPr>
              <w:t>计划完成绿化面积2994.43㎡，计划完成总植树量726株</w:t>
            </w:r>
            <w:r>
              <w:rPr>
                <w:rFonts w:hint="eastAsia" w:ascii="仿宋_GB2312" w:hAnsi="仿宋" w:eastAsia="仿宋_GB2312" w:cs="仿宋"/>
                <w:color w:val="auto"/>
                <w:sz w:val="24"/>
                <w:szCs w:val="32"/>
                <w:highlight w:val="none"/>
                <w:lang w:eastAsia="zh-CN"/>
              </w:rPr>
              <w:t>。</w:t>
            </w:r>
            <w:r>
              <w:rPr>
                <w:rFonts w:hint="eastAsia" w:ascii="仿宋_GB2312" w:hAnsi="仿宋" w:eastAsia="仿宋_GB2312" w:cs="仿宋"/>
                <w:color w:val="auto"/>
                <w:sz w:val="24"/>
                <w:szCs w:val="32"/>
                <w:highlight w:val="none"/>
                <w:lang w:val="en-US" w:eastAsia="zh-CN"/>
              </w:rPr>
              <w:t>2、屏江中路市政道路绿化，计划完成绿化面积1820㎡，计划完成总植树量303株。3、规划26号路市政道路绿化，计划完成绿化面积450㎡，计划完成总植树量75株。</w:t>
            </w:r>
          </w:p>
          <w:p w14:paraId="19E59D9F">
            <w:pPr>
              <w:pStyle w:val="2"/>
              <w:spacing w:line="240" w:lineRule="auto"/>
              <w:ind w:firstLine="482" w:firstLineChars="200"/>
              <w:rPr>
                <w:rFonts w:hint="eastAsia" w:ascii="仿宋_GB2312" w:hAnsi="仿宋" w:eastAsia="仿宋_GB2312" w:cs="仿宋"/>
                <w:color w:val="auto"/>
                <w:kern w:val="2"/>
                <w:sz w:val="24"/>
                <w:szCs w:val="32"/>
                <w:highlight w:val="none"/>
                <w:lang w:val="en-US" w:eastAsia="zh-CN" w:bidi="ar-SA"/>
              </w:rPr>
            </w:pPr>
            <w:r>
              <w:rPr>
                <w:rFonts w:hint="eastAsia" w:ascii="仿宋_GB2312" w:hAnsi="仿宋" w:eastAsia="仿宋_GB2312" w:cs="仿宋"/>
                <w:b/>
                <w:bCs/>
                <w:color w:val="auto"/>
                <w:sz w:val="24"/>
                <w:szCs w:val="32"/>
                <w:highlight w:val="none"/>
                <w:lang w:eastAsia="zh-CN"/>
              </w:rPr>
              <w:t>存量绿地优化提升：</w:t>
            </w:r>
            <w:r>
              <w:rPr>
                <w:rFonts w:hint="eastAsia" w:ascii="仿宋_GB2312" w:hAnsi="仿宋" w:eastAsia="仿宋_GB2312" w:cs="仿宋"/>
                <w:color w:val="auto"/>
                <w:kern w:val="2"/>
                <w:sz w:val="24"/>
                <w:szCs w:val="32"/>
                <w:highlight w:val="none"/>
                <w:lang w:val="en-US" w:eastAsia="zh-CN" w:bidi="ar-SA"/>
              </w:rPr>
              <w:t>1、龙泉路绿美街道更新改造，计划完成绿化面积500㎡。2、月华路绿美街道更新改造，计划完成绿化面积300㎡。3、月秀路绿美街道更新改造，建设地点为寻甸县仁德街道月秀路，计划完成绿化面积300㎡。4、凤梧路绿美街道更新改造，计划完成绿化面积300㎡。5、文苑路绿美街道更新改造，计划完成绿化面积300㎡。6、玉屏街绿美街道更新改造，计划完成绿化面积200㎡。7、月中路绿美街道更新改造，计划完成绿化面积300㎡。8、县城重要节点绿化景观提升，计划完成绿化面积2000㎡。</w:t>
            </w:r>
          </w:p>
          <w:p w14:paraId="4BA81FA1">
            <w:pPr>
              <w:pStyle w:val="2"/>
              <w:spacing w:line="240" w:lineRule="auto"/>
              <w:ind w:firstLine="482" w:firstLineChars="200"/>
              <w:rPr>
                <w:rFonts w:hint="default"/>
                <w:color w:val="auto"/>
                <w:highlight w:val="none"/>
                <w:lang w:val="en-US" w:eastAsia="zh-CN"/>
              </w:rPr>
            </w:pPr>
            <w:r>
              <w:rPr>
                <w:rFonts w:hint="default" w:ascii="仿宋_GB2312" w:hAnsi="仿宋" w:eastAsia="仿宋_GB2312" w:cs="仿宋"/>
                <w:b/>
                <w:bCs/>
                <w:color w:val="auto"/>
                <w:kern w:val="2"/>
                <w:sz w:val="24"/>
                <w:szCs w:val="32"/>
                <w:highlight w:val="none"/>
                <w:lang w:val="en-US" w:eastAsia="zh-CN" w:bidi="ar-SA"/>
              </w:rPr>
              <w:t>其他类型优化提升</w:t>
            </w:r>
            <w:r>
              <w:rPr>
                <w:rFonts w:hint="eastAsia" w:ascii="仿宋_GB2312" w:hAnsi="仿宋" w:eastAsia="仿宋_GB2312" w:cs="仿宋"/>
                <w:b/>
                <w:bCs/>
                <w:color w:val="auto"/>
                <w:kern w:val="2"/>
                <w:sz w:val="24"/>
                <w:szCs w:val="32"/>
                <w:highlight w:val="none"/>
                <w:lang w:val="en-US" w:eastAsia="zh-CN" w:bidi="ar-SA"/>
              </w:rPr>
              <w:t>：</w:t>
            </w:r>
            <w:r>
              <w:rPr>
                <w:rFonts w:hint="eastAsia" w:ascii="仿宋_GB2312" w:hAnsi="仿宋" w:eastAsia="仿宋_GB2312" w:cs="仿宋"/>
                <w:b w:val="0"/>
                <w:bCs w:val="0"/>
                <w:color w:val="auto"/>
                <w:kern w:val="2"/>
                <w:sz w:val="24"/>
                <w:szCs w:val="32"/>
                <w:highlight w:val="none"/>
                <w:lang w:val="en-US" w:eastAsia="zh-CN" w:bidi="ar-SA"/>
              </w:rPr>
              <w:t>1、四清河绿道建设，计划完成绿化面积5000㎡。2、河滨公园、湿地公园绿道建设，计划完成绿化面积600㎡。</w:t>
            </w:r>
          </w:p>
        </w:tc>
      </w:tr>
    </w:tbl>
    <w:p w14:paraId="2DA691E2">
      <w:pPr>
        <w:pStyle w:val="2"/>
        <w:rPr>
          <w:rFonts w:hint="eastAsia"/>
          <w:lang w:val="en-US" w:eastAsia="zh-CN"/>
        </w:rPr>
      </w:pPr>
    </w:p>
    <w:p w14:paraId="3FC5A4D5">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b/>
          <w:bCs/>
          <w:color w:val="auto"/>
          <w:sz w:val="32"/>
          <w:szCs w:val="32"/>
          <w:lang w:val="en-US" w:eastAsia="zh-CN"/>
        </w:rPr>
      </w:pPr>
      <w:bookmarkStart w:id="115" w:name="_Toc6572"/>
      <w:r>
        <w:rPr>
          <w:rFonts w:hint="eastAsia" w:ascii="仿宋" w:hAnsi="仿宋" w:eastAsia="仿宋" w:cs="仿宋"/>
          <w:b/>
          <w:bCs/>
          <w:color w:val="auto"/>
          <w:sz w:val="32"/>
          <w:szCs w:val="32"/>
          <w:lang w:val="en-US" w:eastAsia="zh-CN"/>
        </w:rPr>
        <w:t>（二）乡镇绿地</w:t>
      </w:r>
      <w:bookmarkEnd w:id="115"/>
    </w:p>
    <w:p w14:paraId="5F885FEA">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 w:hAnsi="仿宋" w:eastAsia="仿宋" w:cs="仿宋"/>
          <w:b/>
          <w:bCs/>
          <w:color w:val="auto"/>
          <w:sz w:val="32"/>
          <w:szCs w:val="32"/>
          <w:lang w:val="en-US" w:eastAsia="zh-CN"/>
        </w:rPr>
        <w:t>休闲公园。</w:t>
      </w:r>
      <w:r>
        <w:rPr>
          <w:rFonts w:hint="eastAsia" w:ascii="仿宋_GB2312" w:hAnsi="仿宋_GB2312" w:eastAsia="仿宋_GB2312" w:cs="仿宋_GB2312"/>
          <w:b w:val="0"/>
          <w:bCs w:val="0"/>
          <w:kern w:val="2"/>
          <w:sz w:val="32"/>
          <w:szCs w:val="32"/>
          <w:lang w:val="en-US" w:eastAsia="zh-CN" w:bidi="ar-SA"/>
        </w:rPr>
        <w:t>结合乡镇发展规划，优化各乡镇驻地绿色空间布局，开展乡镇绿地建设和提升改造。通过见缝插绿、拆违建绿，有效增加乡镇绿化覆盖面积。对现有乡镇公园进行景观提升，增加游憩休闲设施；在乡镇休闲公园建设中，减少硬质铺装；配套建设健身活动广场、公厕、园灯、凉亭等设施，提升休闲公园公共服务能力和体验性遵循适地适树的原则，结合乡镇自然条件和乡镇风貌特色，增加乡土树种、观花树种应用。</w:t>
      </w:r>
    </w:p>
    <w:p w14:paraId="35F770F5">
      <w:pPr>
        <w:keepNext w:val="0"/>
        <w:keepLines w:val="0"/>
        <w:pageBreakBefore w:val="0"/>
        <w:widowControl w:val="0"/>
        <w:kinsoku/>
        <w:wordWrap/>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 w:hAnsi="仿宋" w:eastAsia="仿宋" w:cs="仿宋"/>
          <w:b/>
          <w:bCs/>
          <w:color w:val="auto"/>
          <w:sz w:val="32"/>
          <w:szCs w:val="32"/>
          <w:lang w:val="en-US" w:eastAsia="zh-CN"/>
        </w:rPr>
        <w:t>道路绿化。</w:t>
      </w:r>
      <w:r>
        <w:rPr>
          <w:rFonts w:hint="eastAsia" w:ascii="仿宋_GB2312" w:hAnsi="仿宋_GB2312" w:eastAsia="仿宋_GB2312" w:cs="仿宋_GB2312"/>
          <w:b w:val="0"/>
          <w:bCs w:val="0"/>
          <w:kern w:val="2"/>
          <w:sz w:val="32"/>
          <w:szCs w:val="32"/>
          <w:lang w:val="en-US" w:eastAsia="zh-CN" w:bidi="ar-SA"/>
        </w:rPr>
        <w:t>加强乡镇建成区道路绿化建设，道路绿地建设应注重对树种的选择，充分利用现有空间打造乔灌草相结合的道路绿化带，成为乡镇绿化的廊道和枢纽，不断提升乡镇道路绿化水平。</w:t>
      </w:r>
    </w:p>
    <w:tbl>
      <w:tblPr>
        <w:tblStyle w:val="10"/>
        <w:tblW w:w="9060" w:type="dxa"/>
        <w:tblInd w:w="0" w:type="dxa"/>
        <w:tblLayout w:type="fixed"/>
        <w:tblCellMar>
          <w:top w:w="0" w:type="dxa"/>
          <w:left w:w="108" w:type="dxa"/>
          <w:bottom w:w="0" w:type="dxa"/>
          <w:right w:w="108" w:type="dxa"/>
        </w:tblCellMar>
      </w:tblPr>
      <w:tblGrid>
        <w:gridCol w:w="9060"/>
      </w:tblGrid>
      <w:tr w14:paraId="5F61DAD2">
        <w:tblPrEx>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tcPr>
          <w:p w14:paraId="6A2EA379">
            <w:pPr>
              <w:overflowPunct w:val="0"/>
              <w:spacing w:line="578" w:lineRule="exact"/>
              <w:ind w:firstLine="562" w:firstLineChars="200"/>
              <w:jc w:val="center"/>
              <w:rPr>
                <w:rFonts w:hint="default" w:ascii="Times New Roman" w:hAnsi="Times New Roman" w:eastAsia="仿宋_GB2312"/>
                <w:b/>
                <w:bCs/>
                <w:sz w:val="28"/>
                <w:szCs w:val="28"/>
                <w:highlight w:val="none"/>
                <w:lang w:val="en-US" w:eastAsia="zh-CN"/>
              </w:rPr>
            </w:pPr>
            <w:r>
              <w:rPr>
                <w:rFonts w:ascii="Times New Roman" w:hAnsi="Times New Roman" w:eastAsia="仿宋_GB2312"/>
                <w:b/>
                <w:bCs/>
                <w:sz w:val="28"/>
                <w:szCs w:val="28"/>
                <w:highlight w:val="none"/>
              </w:rPr>
              <w:t>专栏</w:t>
            </w:r>
            <w:r>
              <w:rPr>
                <w:rFonts w:hint="eastAsia" w:ascii="Times New Roman" w:hAnsi="Times New Roman" w:eastAsia="仿宋_GB2312"/>
                <w:b/>
                <w:bCs/>
                <w:sz w:val="28"/>
                <w:szCs w:val="28"/>
                <w:highlight w:val="none"/>
                <w:lang w:val="en-US" w:eastAsia="zh-CN"/>
              </w:rPr>
              <w:t xml:space="preserve">2  </w:t>
            </w:r>
            <w:r>
              <w:rPr>
                <w:rFonts w:hint="eastAsia" w:ascii="Times New Roman" w:hAnsi="Times New Roman" w:eastAsia="仿宋_GB2312"/>
                <w:b/>
                <w:bCs/>
                <w:sz w:val="28"/>
                <w:szCs w:val="28"/>
                <w:highlight w:val="none"/>
              </w:rPr>
              <w:t xml:space="preserve"> </w:t>
            </w:r>
            <w:r>
              <w:rPr>
                <w:rFonts w:ascii="Times New Roman" w:hAnsi="Times New Roman" w:eastAsia="仿宋_GB2312"/>
                <w:b/>
                <w:bCs/>
                <w:sz w:val="28"/>
                <w:szCs w:val="28"/>
                <w:highlight w:val="none"/>
              </w:rPr>
              <w:t>实施</w:t>
            </w:r>
            <w:r>
              <w:rPr>
                <w:rFonts w:hint="eastAsia" w:ascii="Times New Roman" w:hAnsi="Times New Roman" w:eastAsia="仿宋_GB2312"/>
                <w:b/>
                <w:bCs/>
                <w:sz w:val="28"/>
                <w:szCs w:val="28"/>
                <w:highlight w:val="none"/>
                <w:lang w:val="en-US" w:eastAsia="zh-CN"/>
              </w:rPr>
              <w:t>内容</w:t>
            </w:r>
          </w:p>
        </w:tc>
      </w:tr>
      <w:tr w14:paraId="5B122D65">
        <w:tblPrEx>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tcPr>
          <w:p w14:paraId="53573180">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hint="eastAsia" w:ascii="仿宋_GB2312" w:hAnsi="仿宋" w:eastAsia="仿宋_GB2312" w:cs="仿宋"/>
                <w:color w:val="auto"/>
                <w:kern w:val="2"/>
                <w:sz w:val="24"/>
                <w:szCs w:val="32"/>
                <w:highlight w:val="none"/>
                <w:lang w:val="en-US" w:eastAsia="zh-CN" w:bidi="ar-SA"/>
              </w:rPr>
            </w:pPr>
            <w:r>
              <w:rPr>
                <w:rFonts w:hint="default" w:ascii="仿宋_GB2312" w:hAnsi="仿宋" w:eastAsia="仿宋_GB2312" w:cs="仿宋"/>
                <w:b/>
                <w:bCs/>
                <w:color w:val="auto"/>
                <w:kern w:val="2"/>
                <w:sz w:val="24"/>
                <w:szCs w:val="32"/>
                <w:highlight w:val="none"/>
                <w:lang w:val="en-US" w:eastAsia="zh-CN" w:bidi="ar-SA"/>
              </w:rPr>
              <w:t>至少建成绿美乡镇3个</w:t>
            </w:r>
            <w:r>
              <w:rPr>
                <w:rFonts w:hint="eastAsia" w:ascii="仿宋_GB2312" w:hAnsi="仿宋" w:eastAsia="仿宋_GB2312" w:cs="仿宋"/>
                <w:b/>
                <w:bCs/>
                <w:color w:val="auto"/>
                <w:kern w:val="2"/>
                <w:sz w:val="24"/>
                <w:szCs w:val="32"/>
                <w:highlight w:val="none"/>
                <w:lang w:val="en-US" w:eastAsia="zh-CN" w:bidi="ar-SA"/>
              </w:rPr>
              <w:t>。</w:t>
            </w:r>
            <w:r>
              <w:rPr>
                <w:rFonts w:hint="default" w:ascii="仿宋_GB2312" w:hAnsi="仿宋" w:eastAsia="仿宋_GB2312" w:cs="仿宋"/>
                <w:color w:val="auto"/>
                <w:kern w:val="2"/>
                <w:sz w:val="24"/>
                <w:szCs w:val="32"/>
                <w:highlight w:val="none"/>
                <w:lang w:val="en-US" w:eastAsia="zh-CN" w:bidi="ar-SA"/>
              </w:rPr>
              <w:t>重点围绕城郊、国省道沿线、重点旅游景区周边和特色小镇、历史文化名镇等乡镇开展建设</w:t>
            </w:r>
            <w:r>
              <w:rPr>
                <w:rFonts w:hint="eastAsia" w:ascii="仿宋_GB2312" w:hAnsi="仿宋" w:eastAsia="仿宋_GB2312" w:cs="仿宋"/>
                <w:color w:val="auto"/>
                <w:kern w:val="2"/>
                <w:sz w:val="24"/>
                <w:szCs w:val="32"/>
                <w:highlight w:val="none"/>
                <w:lang w:val="en-US" w:eastAsia="zh-CN" w:bidi="ar-SA"/>
              </w:rPr>
              <w:t>。</w:t>
            </w:r>
          </w:p>
          <w:p w14:paraId="58EAD353">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hint="eastAsia" w:ascii="仿宋_GB2312" w:hAnsi="仿宋" w:eastAsia="仿宋_GB2312" w:cs="仿宋"/>
                <w:color w:val="auto"/>
                <w:kern w:val="2"/>
                <w:sz w:val="24"/>
                <w:szCs w:val="32"/>
                <w:highlight w:val="none"/>
                <w:lang w:val="en-US" w:eastAsia="zh-CN" w:bidi="ar-SA"/>
              </w:rPr>
            </w:pPr>
            <w:r>
              <w:rPr>
                <w:rFonts w:hint="eastAsia" w:ascii="仿宋_GB2312" w:hAnsi="仿宋" w:eastAsia="仿宋_GB2312" w:cs="仿宋"/>
                <w:b/>
                <w:bCs/>
                <w:color w:val="auto"/>
                <w:kern w:val="2"/>
                <w:sz w:val="24"/>
                <w:szCs w:val="32"/>
                <w:highlight w:val="none"/>
                <w:lang w:val="en-US" w:eastAsia="zh-CN" w:bidi="ar-SA"/>
              </w:rPr>
              <w:t>打造七星镇。</w:t>
            </w:r>
            <w:r>
              <w:rPr>
                <w:rFonts w:hint="eastAsia" w:ascii="仿宋_GB2312" w:hAnsi="仿宋" w:eastAsia="仿宋_GB2312" w:cs="仿宋"/>
                <w:color w:val="auto"/>
                <w:kern w:val="2"/>
                <w:sz w:val="24"/>
                <w:szCs w:val="32"/>
                <w:highlight w:val="none"/>
                <w:lang w:val="en-US" w:eastAsia="zh-CN" w:bidi="ar-SA"/>
              </w:rPr>
              <w:t>以七星村委会、背街小巷、勒塘村农户庭院、菜地、桥头小广场、集镇、七星村委会停车场、卫生院、中心学校、镇政府所在地各机关企事业单位、双拥广场等地，总绿化面积9940平方米，种植苗木1900株，种植地被植物30000株，植草面积2300平方米。</w:t>
            </w:r>
          </w:p>
          <w:p w14:paraId="174B8623">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hint="default" w:ascii="仿宋_GB2312" w:hAnsi="仿宋" w:eastAsia="仿宋_GB2312" w:cs="仿宋"/>
                <w:color w:val="auto"/>
                <w:kern w:val="2"/>
                <w:sz w:val="24"/>
                <w:szCs w:val="32"/>
                <w:highlight w:val="none"/>
                <w:lang w:val="en-US" w:eastAsia="zh-CN" w:bidi="ar-SA"/>
              </w:rPr>
            </w:pPr>
            <w:r>
              <w:rPr>
                <w:rFonts w:hint="eastAsia" w:ascii="仿宋_GB2312" w:hAnsi="仿宋" w:eastAsia="仿宋_GB2312" w:cs="仿宋"/>
                <w:b/>
                <w:bCs/>
                <w:color w:val="auto"/>
                <w:kern w:val="2"/>
                <w:sz w:val="24"/>
                <w:szCs w:val="32"/>
                <w:highlight w:val="none"/>
                <w:lang w:val="en-US" w:eastAsia="zh-CN" w:bidi="ar-SA"/>
              </w:rPr>
              <w:t>打造柯渡镇。</w:t>
            </w:r>
            <w:r>
              <w:rPr>
                <w:rFonts w:hint="eastAsia" w:ascii="仿宋_GB2312" w:hAnsi="仿宋" w:eastAsia="仿宋_GB2312" w:cs="仿宋"/>
                <w:color w:val="auto"/>
                <w:kern w:val="2"/>
                <w:sz w:val="24"/>
                <w:szCs w:val="32"/>
                <w:highlight w:val="none"/>
                <w:lang w:val="en-US" w:eastAsia="zh-CN" w:bidi="ar-SA"/>
              </w:rPr>
              <w:t>结合保护乡村自然生态、提升乡村绿化美化、发展乡村生态产业三个方面，新增绿化面积6674平方米，年度新增植树量800株，年度提质优化绿化点位12个。动员农户拆除沿路私搭乱建附着物，腾挪公共空间，对村内道路、土埂和沟渠进行修缮和整理，村内主要道路的通达质量持续改善。</w:t>
            </w:r>
          </w:p>
          <w:p w14:paraId="4D3AFA81">
            <w:pPr>
              <w:numPr>
                <w:ilvl w:val="0"/>
                <w:numId w:val="0"/>
              </w:numPr>
              <w:ind w:leftChars="0"/>
              <w:rPr>
                <w:rFonts w:hint="default"/>
                <w:highlight w:val="none"/>
                <w:lang w:val="en-US" w:eastAsia="zh-CN"/>
              </w:rPr>
            </w:pPr>
          </w:p>
        </w:tc>
      </w:tr>
    </w:tbl>
    <w:p w14:paraId="0F89D45D">
      <w:pPr>
        <w:pStyle w:val="2"/>
        <w:keepNext w:val="0"/>
        <w:keepLines w:val="0"/>
        <w:pageBreakBefore w:val="0"/>
        <w:widowControl w:val="0"/>
        <w:kinsoku/>
        <w:wordWrap/>
        <w:topLinePunct w:val="0"/>
        <w:autoSpaceDE/>
        <w:autoSpaceDN/>
        <w:bidi w:val="0"/>
        <w:adjustRightInd/>
        <w:snapToGrid/>
        <w:spacing w:before="0" w:line="560" w:lineRule="exact"/>
        <w:jc w:val="both"/>
        <w:textAlignment w:val="auto"/>
        <w:rPr>
          <w:rFonts w:hint="eastAsia" w:ascii="Times New Roman" w:hAnsi="Times New Roman" w:eastAsia="宋体" w:cs="Times New Roman"/>
          <w:b/>
          <w:color w:val="auto"/>
          <w:kern w:val="0"/>
          <w:sz w:val="32"/>
          <w:szCs w:val="32"/>
          <w:highlight w:val="cyan"/>
          <w:lang w:val="en-US" w:eastAsia="zh-CN"/>
        </w:rPr>
      </w:pPr>
    </w:p>
    <w:p w14:paraId="06CC499F">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jc w:val="center"/>
        <w:textAlignment w:val="auto"/>
        <w:rPr>
          <w:rFonts w:hint="eastAsia" w:ascii="Times New Roman" w:hAnsi="Times New Roman" w:eastAsia="宋体" w:cs="Times New Roman"/>
          <w:b/>
          <w:color w:val="auto"/>
          <w:kern w:val="0"/>
          <w:sz w:val="32"/>
          <w:szCs w:val="32"/>
          <w:highlight w:val="none"/>
          <w:lang w:val="en-US" w:eastAsia="zh-CN"/>
        </w:rPr>
      </w:pPr>
      <w:r>
        <w:rPr>
          <w:rFonts w:hint="eastAsia" w:ascii="Times New Roman" w:hAnsi="Times New Roman" w:eastAsia="宋体" w:cs="Times New Roman"/>
          <w:b/>
          <w:color w:val="auto"/>
          <w:kern w:val="0"/>
          <w:sz w:val="32"/>
          <w:szCs w:val="32"/>
          <w:highlight w:val="none"/>
          <w:lang w:val="en-US" w:eastAsia="zh-CN"/>
        </w:rPr>
        <w:t>第二节 绿美社区</w:t>
      </w:r>
    </w:p>
    <w:p w14:paraId="64F8BA7E">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outlineLvl w:val="2"/>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一、建设目标</w:t>
      </w:r>
    </w:p>
    <w:p w14:paraId="51B21009">
      <w:pPr>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尊重群众意愿，精心设计方案，创新方式方法，调动人民群众积极参与，按照“后院前置、后绿前移”的思路，推进城市社区生态空间共享，将社区围院的通透式绿化与道路绿地融合，开展丰富多样的社区绿化美化活动。开展墙体、屋顶、围栏等立体绿化美化，推进社区开展生态空间共享，将围院通透式绿化与道路绿地充分融合。积极开展“绿美社区”、“绿色生态小区”示范建设，鼓励和引导社区居民推进临街阳台的绿化美化。落实社区绿化美化责任，建立健全管护长效机制。</w:t>
      </w:r>
    </w:p>
    <w:p w14:paraId="0DEBBB75">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outlineLvl w:val="2"/>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二、建设内容</w:t>
      </w:r>
    </w:p>
    <w:p w14:paraId="2389A04E">
      <w:pPr>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保护街区历史和文化，尊重场地特征与既有生态结构，通过拆临拆违、拆墙透绿等措施进一步提升街区绿色景观空间。加大对历史街区古树名木的保护，在场地条件许可的情况下，适度开展盆栽植物的摆放。</w:t>
      </w:r>
    </w:p>
    <w:p w14:paraId="78019AF9">
      <w:pPr>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以尊重居民意愿为前提，不断改善人居环境，满足居民使用需求。增加居住区绿地的生物量和生态系统服务功能，完善绿色空间的体验功能。充分考虑住区绿地的使用对象的特点，从适老性、宜幼性的角度，完善绿地的游憩设施和体验场地，增加绿地的可进入性和可体验性。</w:t>
      </w:r>
    </w:p>
    <w:p w14:paraId="4B6E2BAF">
      <w:pPr>
        <w:keepNext w:val="0"/>
        <w:keepLines w:val="0"/>
        <w:pageBreakBefore w:val="0"/>
        <w:widowControl w:val="0"/>
        <w:kinsoku/>
        <w:wordWrap/>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增加社区绿地面积乔木数量，改善社区附属绿地垂直结构，构建乔灌草藤复层近自然城市森林结构。提高绿地景观的异质性，打破城市绿地景观的趋同性。鼓励有条件的社区因地制宜开展垂直绿化打造。</w:t>
      </w:r>
    </w:p>
    <w:tbl>
      <w:tblPr>
        <w:tblStyle w:val="10"/>
        <w:tblW w:w="9060" w:type="dxa"/>
        <w:tblInd w:w="0" w:type="dxa"/>
        <w:tblLayout w:type="fixed"/>
        <w:tblCellMar>
          <w:top w:w="0" w:type="dxa"/>
          <w:left w:w="108" w:type="dxa"/>
          <w:bottom w:w="0" w:type="dxa"/>
          <w:right w:w="108" w:type="dxa"/>
        </w:tblCellMar>
      </w:tblPr>
      <w:tblGrid>
        <w:gridCol w:w="9060"/>
      </w:tblGrid>
      <w:tr w14:paraId="0DC452C3">
        <w:tblPrEx>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tcPr>
          <w:p w14:paraId="148CE3CC">
            <w:pPr>
              <w:overflowPunct w:val="0"/>
              <w:spacing w:line="578" w:lineRule="exact"/>
              <w:ind w:firstLine="562" w:firstLineChars="200"/>
              <w:jc w:val="center"/>
              <w:rPr>
                <w:rFonts w:hint="default" w:ascii="Times New Roman" w:hAnsi="Times New Roman" w:eastAsia="仿宋_GB2312"/>
                <w:b/>
                <w:bCs/>
                <w:sz w:val="28"/>
                <w:szCs w:val="28"/>
                <w:highlight w:val="none"/>
                <w:lang w:val="en-US" w:eastAsia="zh-CN"/>
              </w:rPr>
            </w:pPr>
            <w:r>
              <w:rPr>
                <w:rFonts w:ascii="Times New Roman" w:hAnsi="Times New Roman" w:eastAsia="仿宋_GB2312"/>
                <w:b/>
                <w:bCs/>
                <w:sz w:val="28"/>
                <w:szCs w:val="28"/>
                <w:highlight w:val="none"/>
              </w:rPr>
              <w:t>专栏</w:t>
            </w:r>
            <w:r>
              <w:rPr>
                <w:rFonts w:hint="eastAsia" w:ascii="Times New Roman" w:hAnsi="Times New Roman" w:eastAsia="仿宋_GB2312"/>
                <w:b/>
                <w:bCs/>
                <w:sz w:val="28"/>
                <w:szCs w:val="28"/>
                <w:highlight w:val="none"/>
                <w:lang w:val="en-US" w:eastAsia="zh-CN"/>
              </w:rPr>
              <w:t xml:space="preserve">3 </w:t>
            </w:r>
            <w:r>
              <w:rPr>
                <w:rFonts w:hint="eastAsia" w:ascii="Times New Roman" w:hAnsi="Times New Roman" w:eastAsia="仿宋_GB2312"/>
                <w:b/>
                <w:bCs/>
                <w:sz w:val="28"/>
                <w:szCs w:val="28"/>
                <w:highlight w:val="none"/>
              </w:rPr>
              <w:t xml:space="preserve"> </w:t>
            </w:r>
            <w:r>
              <w:rPr>
                <w:rFonts w:ascii="Times New Roman" w:hAnsi="Times New Roman" w:eastAsia="仿宋_GB2312"/>
                <w:b/>
                <w:bCs/>
                <w:sz w:val="28"/>
                <w:szCs w:val="28"/>
                <w:highlight w:val="none"/>
              </w:rPr>
              <w:t>实施</w:t>
            </w:r>
            <w:r>
              <w:rPr>
                <w:rFonts w:hint="eastAsia" w:ascii="Times New Roman" w:hAnsi="Times New Roman" w:eastAsia="仿宋_GB2312"/>
                <w:b/>
                <w:bCs/>
                <w:sz w:val="28"/>
                <w:szCs w:val="28"/>
                <w:highlight w:val="none"/>
                <w:lang w:val="en-US" w:eastAsia="zh-CN"/>
              </w:rPr>
              <w:t>内容</w:t>
            </w:r>
          </w:p>
        </w:tc>
      </w:tr>
      <w:tr w14:paraId="4A564647">
        <w:tblPrEx>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tcPr>
          <w:p w14:paraId="2F94CEA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_GB2312" w:hAnsi="仿宋" w:eastAsia="仿宋_GB2312" w:cs="仿宋"/>
                <w:color w:val="auto"/>
                <w:kern w:val="2"/>
                <w:sz w:val="24"/>
                <w:szCs w:val="32"/>
                <w:highlight w:val="none"/>
                <w:lang w:val="en-US" w:eastAsia="zh-CN" w:bidi="ar-SA"/>
              </w:rPr>
            </w:pPr>
            <w:r>
              <w:rPr>
                <w:rFonts w:hint="eastAsia" w:ascii="仿宋_GB2312" w:hAnsi="仿宋" w:eastAsia="仿宋_GB2312" w:cs="仿宋"/>
                <w:color w:val="auto"/>
                <w:kern w:val="2"/>
                <w:sz w:val="24"/>
                <w:szCs w:val="32"/>
                <w:highlight w:val="none"/>
                <w:lang w:val="en-US" w:eastAsia="zh-CN" w:bidi="ar-SA"/>
              </w:rPr>
              <w:t xml:space="preserve"> </w:t>
            </w:r>
            <w:r>
              <w:rPr>
                <w:rFonts w:hint="eastAsia" w:ascii="仿宋_GB2312" w:hAnsi="仿宋" w:eastAsia="仿宋_GB2312" w:cs="仿宋"/>
                <w:b/>
                <w:bCs/>
                <w:color w:val="auto"/>
                <w:kern w:val="2"/>
                <w:sz w:val="24"/>
                <w:szCs w:val="32"/>
                <w:highlight w:val="none"/>
                <w:lang w:val="en-US" w:eastAsia="zh-CN" w:bidi="ar-SA"/>
              </w:rPr>
              <w:t>基本成型老旧小区：</w:t>
            </w:r>
            <w:r>
              <w:rPr>
                <w:rFonts w:hint="eastAsia" w:ascii="仿宋_GB2312" w:hAnsi="仿宋" w:eastAsia="仿宋_GB2312" w:cs="仿宋"/>
                <w:color w:val="auto"/>
                <w:kern w:val="2"/>
                <w:sz w:val="24"/>
                <w:szCs w:val="32"/>
                <w:highlight w:val="none"/>
                <w:lang w:val="en-US" w:eastAsia="zh-CN" w:bidi="ar-SA"/>
              </w:rPr>
              <w:t>在具备条件、绿地率较高的老旧小区推进物业公司全面接手管理，引导逐步改造改进绿化树种，分批实施树种更换工作，使绿化搭配更科学，绿化维护管养更合理，绿地率达30%（如烟草小区、电力公司小区）</w:t>
            </w:r>
          </w:p>
          <w:p w14:paraId="180C745B">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hint="eastAsia" w:ascii="仿宋_GB2312" w:hAnsi="仿宋" w:eastAsia="仿宋_GB2312" w:cs="仿宋"/>
                <w:color w:val="auto"/>
                <w:kern w:val="2"/>
                <w:sz w:val="24"/>
                <w:szCs w:val="32"/>
                <w:highlight w:val="none"/>
                <w:lang w:val="en-US" w:eastAsia="zh-CN" w:bidi="ar-SA"/>
              </w:rPr>
            </w:pPr>
            <w:r>
              <w:rPr>
                <w:rFonts w:hint="eastAsia" w:ascii="仿宋_GB2312" w:hAnsi="仿宋" w:eastAsia="仿宋_GB2312" w:cs="仿宋"/>
                <w:b/>
                <w:bCs/>
                <w:color w:val="auto"/>
                <w:kern w:val="2"/>
                <w:sz w:val="24"/>
                <w:szCs w:val="32"/>
                <w:highlight w:val="none"/>
                <w:lang w:val="en-US" w:eastAsia="zh-CN" w:bidi="ar-SA"/>
              </w:rPr>
              <w:t>商品房开发小区：</w:t>
            </w:r>
            <w:r>
              <w:rPr>
                <w:rFonts w:hint="eastAsia" w:ascii="仿宋_GB2312" w:hAnsi="仿宋" w:eastAsia="仿宋_GB2312" w:cs="仿宋"/>
                <w:color w:val="auto"/>
                <w:kern w:val="2"/>
                <w:sz w:val="24"/>
                <w:szCs w:val="32"/>
                <w:highlight w:val="none"/>
                <w:lang w:val="en-US" w:eastAsia="zh-CN" w:bidi="ar-SA"/>
              </w:rPr>
              <w:t>推进物业管理科学化，引导绿化管护科学化、合理化，逐步更新改造更适合的树种，确保绿地率保持于规划审批时的指标。</w:t>
            </w:r>
          </w:p>
          <w:p w14:paraId="5E39E597">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hint="eastAsia" w:ascii="Times New Roman" w:hAnsi="Times New Roman" w:eastAsia="仿宋_GB2312"/>
                <w:sz w:val="24"/>
                <w:szCs w:val="24"/>
                <w:highlight w:val="none"/>
                <w:lang w:val="en-US" w:eastAsia="zh-CN"/>
              </w:rPr>
            </w:pPr>
            <w:r>
              <w:rPr>
                <w:rFonts w:hint="eastAsia" w:ascii="仿宋_GB2312" w:hAnsi="仿宋" w:eastAsia="仿宋_GB2312" w:cs="仿宋"/>
                <w:b/>
                <w:bCs/>
                <w:color w:val="auto"/>
                <w:kern w:val="2"/>
                <w:sz w:val="24"/>
                <w:szCs w:val="32"/>
                <w:highlight w:val="none"/>
                <w:lang w:val="en-US" w:eastAsia="zh-CN" w:bidi="ar-SA"/>
              </w:rPr>
              <w:t>新建商品房小区：</w:t>
            </w:r>
            <w:r>
              <w:rPr>
                <w:rFonts w:hint="eastAsia" w:ascii="仿宋_GB2312" w:hAnsi="仿宋" w:eastAsia="仿宋_GB2312" w:cs="仿宋"/>
                <w:color w:val="auto"/>
                <w:kern w:val="2"/>
                <w:sz w:val="24"/>
                <w:szCs w:val="32"/>
                <w:highlight w:val="none"/>
                <w:lang w:val="en-US" w:eastAsia="zh-CN" w:bidi="ar-SA"/>
              </w:rPr>
              <w:t>严格审批规划，确保配建绿地率不小于40%。造植树种尽量采用本土合适树种，规划核实严格审查，确保按规划审批种植，保证种植质量。</w:t>
            </w:r>
          </w:p>
        </w:tc>
      </w:tr>
    </w:tbl>
    <w:p w14:paraId="7D9496EB">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jc w:val="center"/>
        <w:textAlignment w:val="auto"/>
        <w:rPr>
          <w:rFonts w:hint="eastAsia" w:ascii="Times New Roman" w:hAnsi="Times New Roman" w:eastAsia="宋体" w:cs="Times New Roman"/>
          <w:b/>
          <w:color w:val="auto"/>
          <w:kern w:val="0"/>
          <w:sz w:val="32"/>
          <w:szCs w:val="32"/>
          <w:highlight w:val="none"/>
          <w:lang w:val="en-US" w:eastAsia="zh-CN"/>
        </w:rPr>
      </w:pPr>
      <w:r>
        <w:rPr>
          <w:rFonts w:hint="eastAsia" w:ascii="Times New Roman" w:hAnsi="Times New Roman" w:eastAsia="宋体" w:cs="Times New Roman"/>
          <w:b/>
          <w:color w:val="auto"/>
          <w:kern w:val="0"/>
          <w:sz w:val="32"/>
          <w:szCs w:val="32"/>
          <w:highlight w:val="none"/>
          <w:lang w:val="en-US" w:eastAsia="zh-CN"/>
        </w:rPr>
        <w:t xml:space="preserve">第三节 </w:t>
      </w:r>
      <w:bookmarkStart w:id="116" w:name="_Toc27334"/>
      <w:r>
        <w:rPr>
          <w:rFonts w:hint="eastAsia" w:ascii="Times New Roman" w:hAnsi="Times New Roman" w:eastAsia="宋体" w:cs="Times New Roman"/>
          <w:b/>
          <w:color w:val="auto"/>
          <w:kern w:val="0"/>
          <w:sz w:val="32"/>
          <w:szCs w:val="32"/>
          <w:highlight w:val="none"/>
          <w:lang w:val="en-US" w:eastAsia="zh-CN"/>
        </w:rPr>
        <w:t>绿美乡村</w:t>
      </w:r>
      <w:bookmarkEnd w:id="116"/>
    </w:p>
    <w:p w14:paraId="2F2EE046">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outlineLvl w:val="2"/>
        <w:rPr>
          <w:rFonts w:hint="eastAsia" w:ascii="仿宋_GB2312" w:hAnsi="仿宋_GB2312" w:eastAsia="仿宋_GB2312" w:cs="仿宋_GB2312"/>
          <w:b/>
          <w:bCs/>
          <w:kern w:val="2"/>
          <w:sz w:val="32"/>
          <w:szCs w:val="32"/>
          <w:lang w:val="en-US" w:eastAsia="zh-CN" w:bidi="ar-SA"/>
        </w:rPr>
      </w:pPr>
      <w:bookmarkStart w:id="117" w:name="_Toc16952"/>
      <w:r>
        <w:rPr>
          <w:rFonts w:hint="eastAsia" w:ascii="仿宋_GB2312" w:hAnsi="仿宋_GB2312" w:eastAsia="仿宋_GB2312" w:cs="仿宋_GB2312"/>
          <w:b/>
          <w:bCs/>
          <w:kern w:val="2"/>
          <w:sz w:val="32"/>
          <w:szCs w:val="32"/>
          <w:lang w:val="en-US" w:eastAsia="zh-CN" w:bidi="ar-SA"/>
        </w:rPr>
        <w:t>一、建设目标</w:t>
      </w:r>
      <w:bookmarkEnd w:id="117"/>
    </w:p>
    <w:p w14:paraId="3EC12653">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绿美乡村的建设，坚持“增林扩绿、林果并重，改善生态环境、推动经济发展”的总体思路，积极开展村庄道路、庭院、隙地绿化，因地制宜种植树木和花草，努力打造绿树成荫、生态宜居的美丽村庄。实现村庄的绿化、美化、净化，形成“村在林中、院在绿中、人在景中”的乡村生态格局。</w:t>
      </w:r>
    </w:p>
    <w:p w14:paraId="2A39DDDA">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outlineLvl w:val="2"/>
        <w:rPr>
          <w:rFonts w:hint="eastAsia" w:ascii="仿宋_GB2312" w:hAnsi="仿宋_GB2312" w:eastAsia="仿宋_GB2312" w:cs="仿宋_GB2312"/>
          <w:b/>
          <w:bCs/>
          <w:kern w:val="2"/>
          <w:sz w:val="32"/>
          <w:szCs w:val="32"/>
          <w:lang w:val="en-US" w:eastAsia="zh-CN" w:bidi="ar-SA"/>
        </w:rPr>
      </w:pPr>
      <w:bookmarkStart w:id="118" w:name="_Toc6738"/>
      <w:r>
        <w:rPr>
          <w:rFonts w:hint="eastAsia" w:ascii="仿宋_GB2312" w:hAnsi="仿宋_GB2312" w:eastAsia="仿宋_GB2312" w:cs="仿宋_GB2312"/>
          <w:b/>
          <w:bCs/>
          <w:kern w:val="2"/>
          <w:sz w:val="32"/>
          <w:szCs w:val="32"/>
          <w:lang w:val="en-US" w:eastAsia="zh-CN" w:bidi="ar-SA"/>
        </w:rPr>
        <w:t>二、建设内容</w:t>
      </w:r>
      <w:bookmarkEnd w:id="118"/>
    </w:p>
    <w:p w14:paraId="608267E4">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充分利用村庄原有的自然景观，加强适宜地区的“四旁”绿化，宜树则树、宜花则花、宜果则果，广植乡土树种，发展“小花园、小果园、小菜园、小茶园”等千方百计增加绿地绿量:建设公共集中休闲绿地，不断改善村庄生态环境，形成“浓萌蔽日、绿满村庄”的美好景象。</w:t>
      </w:r>
    </w:p>
    <w:p w14:paraId="31F9A34D">
      <w:pPr>
        <w:pStyle w:val="15"/>
        <w:keepNext w:val="0"/>
        <w:keepLines w:val="0"/>
        <w:pageBreakBefore w:val="0"/>
        <w:widowControl w:val="0"/>
        <w:numPr>
          <w:ilvl w:val="0"/>
          <w:numId w:val="0"/>
        </w:numPr>
        <w:kinsoku/>
        <w:wordWrap/>
        <w:topLinePunct w:val="0"/>
        <w:autoSpaceDE/>
        <w:autoSpaceDN/>
        <w:bidi w:val="0"/>
        <w:adjustRightInd/>
        <w:snapToGrid/>
        <w:spacing w:line="560" w:lineRule="exact"/>
        <w:ind w:leftChars="0" w:firstLine="643" w:firstLineChars="200"/>
        <w:jc w:val="both"/>
        <w:textAlignment w:val="auto"/>
        <w:outlineLvl w:val="2"/>
        <w:rPr>
          <w:rFonts w:hint="eastAsia" w:ascii="仿宋_GB2312" w:hAnsi="仿宋_GB2312" w:eastAsia="仿宋_GB2312" w:cs="仿宋_GB2312"/>
          <w:b w:val="0"/>
          <w:bCs w:val="0"/>
          <w:kern w:val="2"/>
          <w:sz w:val="32"/>
          <w:szCs w:val="32"/>
          <w:lang w:val="en-US" w:eastAsia="zh-CN" w:bidi="ar-SA"/>
        </w:rPr>
      </w:pPr>
      <w:bookmarkStart w:id="119" w:name="_Toc31395"/>
      <w:r>
        <w:rPr>
          <w:rFonts w:hint="eastAsia" w:ascii="仿宋_GB2312" w:hAnsi="仿宋_GB2312" w:eastAsia="仿宋_GB2312" w:cs="仿宋_GB2312"/>
          <w:b/>
          <w:bCs/>
          <w:kern w:val="2"/>
          <w:sz w:val="32"/>
          <w:szCs w:val="32"/>
          <w:lang w:val="en-US" w:eastAsia="zh-CN" w:bidi="ar-SA"/>
        </w:rPr>
        <w:t>公共休闲绿地</w:t>
      </w:r>
      <w:bookmarkEnd w:id="119"/>
      <w:r>
        <w:rPr>
          <w:rFonts w:hint="eastAsia"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充分利用村头小广场、公共用地、闲散地、废弃地开展村庄公共休闲绿地建设。以寻甸县地方文化特色和乡土风貌为基础，传承乡土文化，留住美丽，留住乡愁；在保证充足活动空间和绿化空间的基础上，加大游憩基础设施建设，增加活动广场面积和健身设施；植物选择以乡土树种为主，乔灌花草有机结合，提高绿化美化效果。</w:t>
      </w:r>
    </w:p>
    <w:p w14:paraId="0F50FF13">
      <w:pPr>
        <w:pStyle w:val="15"/>
        <w:keepNext w:val="0"/>
        <w:keepLines w:val="0"/>
        <w:pageBreakBefore w:val="0"/>
        <w:widowControl w:val="0"/>
        <w:numPr>
          <w:ilvl w:val="0"/>
          <w:numId w:val="0"/>
        </w:numPr>
        <w:kinsoku/>
        <w:wordWrap/>
        <w:topLinePunct w:val="0"/>
        <w:autoSpaceDE/>
        <w:autoSpaceDN/>
        <w:bidi w:val="0"/>
        <w:adjustRightInd/>
        <w:snapToGrid/>
        <w:spacing w:line="560" w:lineRule="exact"/>
        <w:ind w:leftChars="0" w:firstLine="643" w:firstLineChars="200"/>
        <w:jc w:val="both"/>
        <w:textAlignment w:val="auto"/>
        <w:outlineLvl w:val="2"/>
        <w:rPr>
          <w:rFonts w:hint="eastAsia" w:ascii="仿宋_GB2312" w:hAnsi="仿宋_GB2312" w:eastAsia="仿宋_GB2312" w:cs="仿宋_GB2312"/>
          <w:b w:val="0"/>
          <w:bCs w:val="0"/>
          <w:kern w:val="2"/>
          <w:sz w:val="32"/>
          <w:szCs w:val="32"/>
          <w:lang w:val="en-US" w:eastAsia="zh-CN" w:bidi="ar-SA"/>
        </w:rPr>
      </w:pPr>
      <w:bookmarkStart w:id="120" w:name="_Toc21507"/>
      <w:r>
        <w:rPr>
          <w:rFonts w:hint="eastAsia" w:ascii="仿宋_GB2312" w:hAnsi="仿宋_GB2312" w:eastAsia="仿宋_GB2312" w:cs="仿宋_GB2312"/>
          <w:b/>
          <w:bCs/>
          <w:kern w:val="2"/>
          <w:sz w:val="32"/>
          <w:szCs w:val="32"/>
          <w:lang w:val="en-US" w:eastAsia="zh-CN" w:bidi="ar-SA"/>
        </w:rPr>
        <w:t>村庄绿化美化</w:t>
      </w:r>
      <w:bookmarkEnd w:id="120"/>
      <w:r>
        <w:rPr>
          <w:rFonts w:hint="eastAsia"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在保护和利用好现有村庄良好自然环境的基础上，利用村庄周围的荒地、荒滩进行绿化美化，形成村庄的绿色屏障。开展入村道路和村内道路两侧绿化，以乡士树种和兼具观赏性和经济性水果、经济林木为主。道路两侧的边角空地，可结合地形地貌特点和乡村文化、民族文化元素，采取乔灌结合、花草点缀形式，营造绿化景观小品，彰显乡村风貌。动员村民在房前屋后和自家庭院建设“小花园”、“小菜园”、“小果园”、“小茶园”等“微田园”。 同时，鼓励村民在村庄周边空地、自留地等，高标准栽植优良珍贵树种、优质乡土树种，发展优质高效用材林、特色经济林果、热带水果和林下经济。营造花果飘香，乡愁浓郁的乡村景观。</w:t>
      </w:r>
    </w:p>
    <w:tbl>
      <w:tblPr>
        <w:tblStyle w:val="10"/>
        <w:tblW w:w="9060" w:type="dxa"/>
        <w:tblInd w:w="0" w:type="dxa"/>
        <w:tblLayout w:type="fixed"/>
        <w:tblCellMar>
          <w:top w:w="0" w:type="dxa"/>
          <w:left w:w="108" w:type="dxa"/>
          <w:bottom w:w="0" w:type="dxa"/>
          <w:right w:w="108" w:type="dxa"/>
        </w:tblCellMar>
      </w:tblPr>
      <w:tblGrid>
        <w:gridCol w:w="9060"/>
      </w:tblGrid>
      <w:tr w14:paraId="363EBCA3">
        <w:tblPrEx>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tcPr>
          <w:p w14:paraId="34354D32">
            <w:pPr>
              <w:overflowPunct w:val="0"/>
              <w:spacing w:line="578" w:lineRule="exact"/>
              <w:ind w:firstLine="562" w:firstLineChars="200"/>
              <w:jc w:val="center"/>
              <w:rPr>
                <w:rFonts w:hint="default" w:ascii="Times New Roman" w:hAnsi="Times New Roman" w:eastAsia="仿宋_GB2312"/>
                <w:b/>
                <w:bCs/>
                <w:sz w:val="28"/>
                <w:szCs w:val="28"/>
                <w:lang w:val="en-US" w:eastAsia="zh-CN"/>
              </w:rPr>
            </w:pPr>
            <w:r>
              <w:rPr>
                <w:rFonts w:ascii="Times New Roman" w:hAnsi="Times New Roman" w:eastAsia="仿宋_GB2312"/>
                <w:b/>
                <w:bCs/>
                <w:sz w:val="28"/>
                <w:szCs w:val="28"/>
                <w:highlight w:val="none"/>
              </w:rPr>
              <w:t>专栏</w:t>
            </w:r>
            <w:r>
              <w:rPr>
                <w:rFonts w:hint="eastAsia" w:ascii="Times New Roman" w:hAnsi="Times New Roman" w:eastAsia="仿宋_GB2312"/>
                <w:b/>
                <w:bCs/>
                <w:sz w:val="28"/>
                <w:szCs w:val="28"/>
                <w:highlight w:val="none"/>
                <w:lang w:val="en-US" w:eastAsia="zh-CN"/>
              </w:rPr>
              <w:t xml:space="preserve">4 </w:t>
            </w:r>
            <w:r>
              <w:rPr>
                <w:rFonts w:hint="eastAsia" w:ascii="Times New Roman" w:hAnsi="Times New Roman" w:eastAsia="仿宋_GB2312"/>
                <w:b/>
                <w:bCs/>
                <w:sz w:val="28"/>
                <w:szCs w:val="28"/>
                <w:highlight w:val="none"/>
              </w:rPr>
              <w:t xml:space="preserve"> </w:t>
            </w:r>
            <w:r>
              <w:rPr>
                <w:rFonts w:ascii="Times New Roman" w:hAnsi="Times New Roman" w:eastAsia="仿宋_GB2312"/>
                <w:b/>
                <w:bCs/>
                <w:sz w:val="28"/>
                <w:szCs w:val="28"/>
                <w:highlight w:val="none"/>
              </w:rPr>
              <w:t>实施</w:t>
            </w:r>
            <w:r>
              <w:rPr>
                <w:rFonts w:hint="eastAsia" w:ascii="Times New Roman" w:hAnsi="Times New Roman" w:eastAsia="仿宋_GB2312"/>
                <w:b/>
                <w:bCs/>
                <w:sz w:val="28"/>
                <w:szCs w:val="28"/>
                <w:highlight w:val="none"/>
                <w:lang w:val="en-US" w:eastAsia="zh-CN"/>
              </w:rPr>
              <w:t>内容</w:t>
            </w:r>
          </w:p>
        </w:tc>
      </w:tr>
      <w:tr w14:paraId="6B1B8026">
        <w:tblPrEx>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tcPr>
          <w:p w14:paraId="2AD57304">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仿宋_GB2312" w:hAnsi="仿宋" w:eastAsia="仿宋_GB2312" w:cs="仿宋"/>
                <w:color w:val="auto"/>
                <w:kern w:val="2"/>
                <w:sz w:val="24"/>
                <w:szCs w:val="32"/>
                <w:highlight w:val="none"/>
                <w:lang w:val="en-US" w:eastAsia="zh-CN" w:bidi="ar-SA"/>
              </w:rPr>
            </w:pPr>
            <w:r>
              <w:rPr>
                <w:rFonts w:hint="default" w:ascii="仿宋_GB2312" w:hAnsi="仿宋" w:eastAsia="仿宋_GB2312" w:cs="仿宋"/>
                <w:color w:val="auto"/>
                <w:kern w:val="2"/>
                <w:sz w:val="24"/>
                <w:szCs w:val="32"/>
                <w:highlight w:val="none"/>
                <w:lang w:val="en-US" w:eastAsia="zh-CN" w:bidi="ar-SA"/>
              </w:rPr>
              <w:t>聚焦持续整治人居环境、保护乡村自然生态、提升乡村绿化美化、发展乡村生态产业4项重点任务，全领域开展绿美乡村建设，有效提高全县乡村绿化美化水平。</w:t>
            </w:r>
          </w:p>
          <w:p w14:paraId="12673879">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hint="default" w:ascii="仿宋_GB2312" w:hAnsi="仿宋" w:eastAsia="仿宋_GB2312" w:cs="仿宋"/>
                <w:color w:val="auto"/>
                <w:kern w:val="2"/>
                <w:sz w:val="24"/>
                <w:szCs w:val="32"/>
                <w:highlight w:val="none"/>
                <w:lang w:val="en-US" w:eastAsia="zh-CN" w:bidi="ar-SA"/>
              </w:rPr>
            </w:pPr>
            <w:r>
              <w:rPr>
                <w:rFonts w:hint="eastAsia" w:ascii="仿宋_GB2312" w:hAnsi="仿宋" w:eastAsia="仿宋_GB2312" w:cs="仿宋"/>
                <w:b/>
                <w:bCs/>
                <w:color w:val="auto"/>
                <w:kern w:val="2"/>
                <w:sz w:val="24"/>
                <w:szCs w:val="32"/>
                <w:highlight w:val="none"/>
                <w:lang w:val="en-US" w:eastAsia="zh-CN" w:bidi="ar-SA"/>
              </w:rPr>
              <w:t>打造省级绿美示范。</w:t>
            </w:r>
            <w:r>
              <w:rPr>
                <w:rFonts w:hint="eastAsia" w:ascii="仿宋_GB2312" w:hAnsi="仿宋" w:eastAsia="仿宋_GB2312" w:cs="仿宋"/>
                <w:color w:val="auto"/>
                <w:kern w:val="2"/>
                <w:sz w:val="24"/>
                <w:szCs w:val="32"/>
                <w:highlight w:val="none"/>
                <w:lang w:val="en-US" w:eastAsia="zh-CN" w:bidi="ar-SA"/>
              </w:rPr>
              <w:t>争取完成</w:t>
            </w:r>
            <w:r>
              <w:rPr>
                <w:rFonts w:hint="default" w:ascii="仿宋_GB2312" w:hAnsi="仿宋" w:eastAsia="仿宋_GB2312" w:cs="仿宋"/>
                <w:color w:val="auto"/>
                <w:kern w:val="2"/>
                <w:sz w:val="24"/>
                <w:szCs w:val="32"/>
                <w:highlight w:val="none"/>
                <w:lang w:val="en-US" w:eastAsia="zh-CN" w:bidi="ar-SA"/>
              </w:rPr>
              <w:t>省级绿美村庄3个，市级绿美村庄456个</w:t>
            </w:r>
            <w:r>
              <w:rPr>
                <w:rFonts w:hint="eastAsia" w:ascii="仿宋_GB2312" w:hAnsi="仿宋" w:eastAsia="仿宋_GB2312" w:cs="仿宋"/>
                <w:color w:val="auto"/>
                <w:kern w:val="2"/>
                <w:sz w:val="24"/>
                <w:szCs w:val="32"/>
                <w:highlight w:val="none"/>
                <w:lang w:val="en-US" w:eastAsia="zh-CN" w:bidi="ar-SA"/>
              </w:rPr>
              <w:t>，计划完成村内道路硬化1.3万平方米以上，破损路面修复1.9万平方米以上，排污沟建设及修复2.3万米以上，新增垃圾分类收集亭（箱、桶）1200座（只）以上，安装村庄道路两侧防护栏（墙）制作4.8万米以上，死角、边坡、土墙、危险建筑物加固或拆除3.2万平方米以上，墙体绿化美化3.7万平方米以上。</w:t>
            </w:r>
          </w:p>
          <w:p w14:paraId="4F08A9B2">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hint="default" w:ascii="Times New Roman" w:hAnsi="Times New Roman" w:eastAsia="仿宋_GB2312"/>
                <w:sz w:val="24"/>
                <w:szCs w:val="24"/>
                <w:lang w:val="en-US"/>
              </w:rPr>
            </w:pPr>
            <w:r>
              <w:rPr>
                <w:rFonts w:hint="eastAsia" w:ascii="仿宋_GB2312" w:hAnsi="仿宋" w:eastAsia="仿宋_GB2312" w:cs="仿宋"/>
                <w:b/>
                <w:bCs/>
                <w:color w:val="auto"/>
                <w:kern w:val="2"/>
                <w:sz w:val="24"/>
                <w:szCs w:val="32"/>
                <w:highlight w:val="none"/>
                <w:lang w:val="en-US" w:eastAsia="zh-CN" w:bidi="ar-SA"/>
              </w:rPr>
              <w:t>巩固创建提升效果</w:t>
            </w:r>
            <w:r>
              <w:rPr>
                <w:rFonts w:hint="eastAsia" w:ascii="仿宋_GB2312" w:hAnsi="仿宋" w:eastAsia="仿宋_GB2312" w:cs="仿宋"/>
                <w:color w:val="auto"/>
                <w:kern w:val="2"/>
                <w:sz w:val="24"/>
                <w:szCs w:val="32"/>
                <w:highlight w:val="none"/>
                <w:lang w:val="en-US" w:eastAsia="zh-CN" w:bidi="ar-SA"/>
              </w:rPr>
              <w:t>。加强已建成村庄的宣传及管护，注重农村人居环境整治，结合“百千万”工程、乡村振兴示范园（田园综合体）、森林乡村、民族团结示范村、传统村落、文明村、卫生村创建等开展农村人居环境示范带动，形成村庄比学赶超氛围。</w:t>
            </w:r>
          </w:p>
        </w:tc>
      </w:tr>
    </w:tbl>
    <w:p w14:paraId="6A677147">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jc w:val="center"/>
        <w:textAlignment w:val="auto"/>
        <w:rPr>
          <w:rFonts w:hint="eastAsia" w:ascii="Times New Roman" w:hAnsi="Times New Roman" w:eastAsia="宋体" w:cs="Times New Roman"/>
          <w:b/>
          <w:color w:val="auto"/>
          <w:kern w:val="0"/>
          <w:sz w:val="32"/>
          <w:szCs w:val="32"/>
          <w:highlight w:val="none"/>
          <w:lang w:val="en-US" w:eastAsia="zh-CN"/>
        </w:rPr>
      </w:pPr>
      <w:r>
        <w:rPr>
          <w:rFonts w:hint="eastAsia" w:ascii="Times New Roman" w:hAnsi="Times New Roman" w:eastAsia="宋体" w:cs="Times New Roman"/>
          <w:b/>
          <w:color w:val="auto"/>
          <w:kern w:val="0"/>
          <w:sz w:val="32"/>
          <w:szCs w:val="32"/>
          <w:highlight w:val="none"/>
          <w:lang w:val="en-US" w:eastAsia="zh-CN"/>
        </w:rPr>
        <w:t>第四节 绿美交通</w:t>
      </w:r>
    </w:p>
    <w:p w14:paraId="57EE8FF9">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outlineLvl w:val="2"/>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一、建设目标</w:t>
      </w:r>
    </w:p>
    <w:p w14:paraId="2B100629">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科学统筹绿美交通建设模式，加强交通建设项目生态环境保护和恢复，注重交通行业的绿美适宜性和协调性建设要求，提升交通设施的安全性和舒适性，突出地域文化特色，通过提升巩固、整体改造、新建等项目建设方式，高标准创建“畅、安、舒、绿、美”交通项目。实施乡村振兴战略、推动脱贫攻坚和加快县域经济发展提供了强有力的交通运输保障，2022年-2031年完成寻甸县境内671.606公里绿美公路建设。</w:t>
      </w:r>
    </w:p>
    <w:p w14:paraId="616912C4">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outlineLvl w:val="2"/>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二、建设内容</w:t>
      </w:r>
    </w:p>
    <w:p w14:paraId="317D5DC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公路规划建设作为绿美交通的重要板块，在保障交通安全的前提下，依据交通干线两侧的自然状况和功能需要，分层次、分地域、分地段确定建设标准，打造生物多样、季相明显、功能完善的绿化景观廊道，形成畅通、安全、舒适、美丽的绿美交通网络。凡穿越保护地的路段，考虑增设生物廊道，达到连接破碎生境、防止种群隔离和保护生物多样性的目的。农村公路绿化美化要结合路域环境整治、生态环境保护，与农村人居环境整治提升、文明城市卫生城市创建融合。做好交通要道两侧及可视范围内第一重面山区域的绿化美化，开展增阔提色、生态修复和森林质量提升工程，科学进行“加”、“减”、“疏”、“补”，通过植物组合，色彩对比、高低错落景观设置等方式，点线面结合，乔、灌、草、花、藤搭配，逐步打造交通精品线风情线、生态线、产业线。</w:t>
      </w:r>
    </w:p>
    <w:p w14:paraId="1D415015">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寻甸县绿美农村公路 2022~2031 年10年共完成97个项目671.606公里绿美公路建设，涉及到寻甸县境内所有乡镇街道。其中2022年已实施里程为203.364 公里， 2023 年实施里程为 270.342公里(涉及路线 38条)，2024年实施里程为 8.9公里，2025年实施里程28公里，2026年实施里程55公里，2027年实施里程10公里，2028年实施里程59公里，2029年实施里程29公里，2030年实施里程4公里，2031年实施里程4公里。</w:t>
      </w:r>
    </w:p>
    <w:tbl>
      <w:tblPr>
        <w:tblStyle w:val="10"/>
        <w:tblW w:w="9060" w:type="dxa"/>
        <w:tblInd w:w="0" w:type="dxa"/>
        <w:tblLayout w:type="fixed"/>
        <w:tblCellMar>
          <w:top w:w="0" w:type="dxa"/>
          <w:left w:w="108" w:type="dxa"/>
          <w:bottom w:w="0" w:type="dxa"/>
          <w:right w:w="108" w:type="dxa"/>
        </w:tblCellMar>
      </w:tblPr>
      <w:tblGrid>
        <w:gridCol w:w="9060"/>
      </w:tblGrid>
      <w:tr w14:paraId="4A1EC5D5">
        <w:tblPrEx>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tcPr>
          <w:p w14:paraId="7D406623">
            <w:pPr>
              <w:overflowPunct w:val="0"/>
              <w:spacing w:line="578" w:lineRule="exact"/>
              <w:ind w:firstLine="562" w:firstLineChars="200"/>
              <w:jc w:val="center"/>
              <w:rPr>
                <w:rFonts w:hint="default" w:ascii="Times New Roman" w:hAnsi="Times New Roman" w:eastAsia="仿宋_GB2312"/>
                <w:b/>
                <w:bCs/>
                <w:sz w:val="28"/>
                <w:szCs w:val="28"/>
                <w:lang w:val="en-US" w:eastAsia="zh-CN"/>
              </w:rPr>
            </w:pPr>
            <w:r>
              <w:rPr>
                <w:rFonts w:ascii="Times New Roman" w:hAnsi="Times New Roman" w:eastAsia="仿宋_GB2312"/>
                <w:b/>
                <w:bCs/>
                <w:sz w:val="28"/>
                <w:szCs w:val="28"/>
                <w:highlight w:val="none"/>
              </w:rPr>
              <w:t>专栏</w:t>
            </w:r>
            <w:r>
              <w:rPr>
                <w:rFonts w:hint="eastAsia" w:ascii="Times New Roman" w:hAnsi="Times New Roman" w:eastAsia="仿宋_GB2312"/>
                <w:b/>
                <w:bCs/>
                <w:sz w:val="28"/>
                <w:szCs w:val="28"/>
                <w:highlight w:val="none"/>
                <w:lang w:val="en-US" w:eastAsia="zh-CN"/>
              </w:rPr>
              <w:t xml:space="preserve">5 </w:t>
            </w:r>
            <w:r>
              <w:rPr>
                <w:rFonts w:hint="eastAsia" w:ascii="Times New Roman" w:hAnsi="Times New Roman" w:eastAsia="仿宋_GB2312"/>
                <w:b/>
                <w:bCs/>
                <w:sz w:val="28"/>
                <w:szCs w:val="28"/>
                <w:highlight w:val="none"/>
              </w:rPr>
              <w:t xml:space="preserve"> </w:t>
            </w:r>
            <w:r>
              <w:rPr>
                <w:rFonts w:ascii="Times New Roman" w:hAnsi="Times New Roman" w:eastAsia="仿宋_GB2312"/>
                <w:b/>
                <w:bCs/>
                <w:sz w:val="28"/>
                <w:szCs w:val="28"/>
                <w:highlight w:val="none"/>
              </w:rPr>
              <w:t>实施</w:t>
            </w:r>
            <w:r>
              <w:rPr>
                <w:rFonts w:hint="eastAsia" w:ascii="Times New Roman" w:hAnsi="Times New Roman" w:eastAsia="仿宋_GB2312"/>
                <w:b/>
                <w:bCs/>
                <w:sz w:val="28"/>
                <w:szCs w:val="28"/>
                <w:highlight w:val="none"/>
                <w:lang w:val="en-US" w:eastAsia="zh-CN"/>
              </w:rPr>
              <w:t>内容</w:t>
            </w:r>
          </w:p>
        </w:tc>
      </w:tr>
      <w:tr w14:paraId="0050294D">
        <w:tblPrEx>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tcPr>
          <w:p w14:paraId="76D9F1CD">
            <w:pPr>
              <w:rPr>
                <w:rFonts w:hint="eastAsia" w:ascii="仿宋_GB2312" w:hAnsi="仿宋" w:eastAsia="仿宋_GB2312" w:cs="仿宋"/>
                <w:color w:val="auto"/>
                <w:kern w:val="2"/>
                <w:sz w:val="24"/>
                <w:szCs w:val="32"/>
                <w:highlight w:val="none"/>
                <w:lang w:val="en-US" w:eastAsia="zh-CN" w:bidi="ar-SA"/>
              </w:rPr>
            </w:pPr>
            <w:r>
              <w:rPr>
                <w:rFonts w:hint="eastAsia" w:ascii="仿宋_GB2312" w:hAnsi="仿宋" w:eastAsia="仿宋_GB2312" w:cs="仿宋"/>
                <w:color w:val="auto"/>
                <w:kern w:val="2"/>
                <w:sz w:val="24"/>
                <w:szCs w:val="32"/>
                <w:highlight w:val="none"/>
                <w:lang w:val="en-US" w:eastAsia="zh-CN" w:bidi="ar-SA"/>
              </w:rPr>
              <w:t>（一）2022年完成203.364公里总投资5400万元，完成路面硬化59.2万平方米，完成4.9万平方米绿化面积，乡土植株25万株（灌木）。</w:t>
            </w:r>
          </w:p>
          <w:p w14:paraId="615AFC9B">
            <w:pPr>
              <w:rPr>
                <w:rFonts w:hint="eastAsia" w:ascii="仿宋_GB2312" w:hAnsi="仿宋" w:eastAsia="仿宋_GB2312" w:cs="仿宋"/>
                <w:color w:val="auto"/>
                <w:kern w:val="2"/>
                <w:sz w:val="24"/>
                <w:szCs w:val="32"/>
                <w:highlight w:val="none"/>
                <w:lang w:val="en-US" w:eastAsia="zh-CN" w:bidi="ar-SA"/>
              </w:rPr>
            </w:pPr>
            <w:r>
              <w:rPr>
                <w:rFonts w:hint="eastAsia" w:ascii="仿宋_GB2312" w:hAnsi="仿宋" w:eastAsia="仿宋_GB2312" w:cs="仿宋"/>
                <w:color w:val="auto"/>
                <w:kern w:val="2"/>
                <w:sz w:val="24"/>
                <w:szCs w:val="32"/>
                <w:highlight w:val="none"/>
                <w:lang w:val="en-US" w:eastAsia="zh-CN" w:bidi="ar-SA"/>
              </w:rPr>
              <w:t>（二）2023年度完成270.342公里总投资7000万元。完成路面硬化75.1万平方米，完成2.23万平方米绿化面积，乡土植株487株（乔木）。</w:t>
            </w:r>
          </w:p>
          <w:p w14:paraId="48D9CDE2">
            <w:pPr>
              <w:rPr>
                <w:rFonts w:hint="eastAsia" w:ascii="仿宋_GB2312" w:hAnsi="仿宋" w:eastAsia="仿宋_GB2312" w:cs="仿宋"/>
                <w:color w:val="auto"/>
                <w:kern w:val="2"/>
                <w:sz w:val="24"/>
                <w:szCs w:val="32"/>
                <w:highlight w:val="none"/>
                <w:lang w:val="en-US" w:eastAsia="zh-CN" w:bidi="ar-SA"/>
              </w:rPr>
            </w:pPr>
            <w:r>
              <w:rPr>
                <w:rFonts w:hint="eastAsia" w:ascii="仿宋_GB2312" w:hAnsi="仿宋" w:eastAsia="仿宋_GB2312" w:cs="仿宋"/>
                <w:color w:val="auto"/>
                <w:kern w:val="2"/>
                <w:sz w:val="24"/>
                <w:szCs w:val="32"/>
                <w:highlight w:val="none"/>
                <w:lang w:val="en-US" w:eastAsia="zh-CN" w:bidi="ar-SA"/>
              </w:rPr>
              <w:t>（三）2024年度完成易白公路支线8.9公里，计划投资10万元，完成5000平方米绿化面积，乡土植株50株（乔木）。</w:t>
            </w:r>
          </w:p>
          <w:p w14:paraId="4B12525A">
            <w:pPr>
              <w:rPr>
                <w:rFonts w:hint="eastAsia" w:ascii="仿宋_GB2312" w:hAnsi="仿宋" w:eastAsia="仿宋_GB2312" w:cs="仿宋"/>
                <w:color w:val="auto"/>
                <w:kern w:val="2"/>
                <w:sz w:val="24"/>
                <w:szCs w:val="32"/>
                <w:highlight w:val="none"/>
                <w:lang w:val="en-US" w:eastAsia="zh-CN" w:bidi="ar-SA"/>
              </w:rPr>
            </w:pPr>
            <w:r>
              <w:rPr>
                <w:rFonts w:hint="eastAsia" w:ascii="仿宋_GB2312" w:hAnsi="仿宋" w:eastAsia="仿宋_GB2312" w:cs="仿宋"/>
                <w:color w:val="auto"/>
                <w:kern w:val="2"/>
                <w:sz w:val="24"/>
                <w:szCs w:val="32"/>
                <w:highlight w:val="none"/>
                <w:lang w:val="en-US" w:eastAsia="zh-CN" w:bidi="ar-SA"/>
              </w:rPr>
              <w:t>（四）2025年度完成蒙姑-铁厂公路寻甸段28公里，计划投资20万元，完成1万平方米绿化面积，乡土植株80株（乔木）。</w:t>
            </w:r>
          </w:p>
          <w:p w14:paraId="235A3D3A">
            <w:pPr>
              <w:rPr>
                <w:rFonts w:hint="eastAsia" w:ascii="仿宋_GB2312" w:hAnsi="仿宋" w:eastAsia="仿宋_GB2312" w:cs="仿宋"/>
                <w:color w:val="auto"/>
                <w:kern w:val="2"/>
                <w:sz w:val="24"/>
                <w:szCs w:val="32"/>
                <w:highlight w:val="none"/>
                <w:lang w:val="en-US" w:eastAsia="zh-CN" w:bidi="ar-SA"/>
              </w:rPr>
            </w:pPr>
            <w:r>
              <w:rPr>
                <w:rFonts w:hint="eastAsia" w:ascii="仿宋_GB2312" w:hAnsi="仿宋" w:eastAsia="仿宋_GB2312" w:cs="仿宋"/>
                <w:color w:val="auto"/>
                <w:kern w:val="2"/>
                <w:sz w:val="24"/>
                <w:szCs w:val="32"/>
                <w:highlight w:val="none"/>
                <w:lang w:val="en-US" w:eastAsia="zh-CN" w:bidi="ar-SA"/>
              </w:rPr>
              <w:t>（五）2026年度完成寻甸-白石岩公路55公里，计划投资30万元，完成2.5万平方米绿化面积，乡土植株50株（乔木）。</w:t>
            </w:r>
          </w:p>
          <w:p w14:paraId="33A73EB0">
            <w:pPr>
              <w:rPr>
                <w:rFonts w:hint="eastAsia" w:ascii="仿宋_GB2312" w:hAnsi="仿宋" w:eastAsia="仿宋_GB2312" w:cs="仿宋"/>
                <w:color w:val="auto"/>
                <w:kern w:val="2"/>
                <w:sz w:val="24"/>
                <w:szCs w:val="32"/>
                <w:highlight w:val="none"/>
                <w:lang w:val="en-US" w:eastAsia="zh-CN" w:bidi="ar-SA"/>
              </w:rPr>
            </w:pPr>
            <w:r>
              <w:rPr>
                <w:rFonts w:hint="eastAsia" w:ascii="仿宋_GB2312" w:hAnsi="仿宋" w:eastAsia="仿宋_GB2312" w:cs="仿宋"/>
                <w:color w:val="auto"/>
                <w:kern w:val="2"/>
                <w:sz w:val="24"/>
                <w:szCs w:val="32"/>
                <w:highlight w:val="none"/>
                <w:lang w:val="en-US" w:eastAsia="zh-CN" w:bidi="ar-SA"/>
              </w:rPr>
              <w:t>（六）2027年度完成道院-马过河公路10公里，计划投资10万元，完成5000平方米绿化面积，乡土植株50株（乔木）。</w:t>
            </w:r>
          </w:p>
          <w:p w14:paraId="3105A222">
            <w:pPr>
              <w:rPr>
                <w:rFonts w:hint="eastAsia" w:ascii="仿宋_GB2312" w:hAnsi="仿宋" w:eastAsia="仿宋_GB2312" w:cs="仿宋"/>
                <w:color w:val="auto"/>
                <w:kern w:val="2"/>
                <w:sz w:val="24"/>
                <w:szCs w:val="32"/>
                <w:highlight w:val="none"/>
                <w:lang w:val="en-US" w:eastAsia="zh-CN" w:bidi="ar-SA"/>
              </w:rPr>
            </w:pPr>
            <w:r>
              <w:rPr>
                <w:rFonts w:hint="eastAsia" w:ascii="仿宋_GB2312" w:hAnsi="仿宋" w:eastAsia="仿宋_GB2312" w:cs="仿宋"/>
                <w:color w:val="auto"/>
                <w:kern w:val="2"/>
                <w:sz w:val="24"/>
                <w:szCs w:val="32"/>
                <w:highlight w:val="none"/>
                <w:lang w:val="en-US" w:eastAsia="zh-CN" w:bidi="ar-SA"/>
              </w:rPr>
              <w:t>（七）2028年度完成嵩玉线59公里，计划投资30万元，完成2万平方米绿化面积，乡土植株100株（乔木）。</w:t>
            </w:r>
          </w:p>
          <w:p w14:paraId="63BB5624">
            <w:pPr>
              <w:rPr>
                <w:rFonts w:hint="eastAsia" w:ascii="仿宋_GB2312" w:hAnsi="仿宋" w:eastAsia="仿宋_GB2312" w:cs="仿宋"/>
                <w:color w:val="auto"/>
                <w:kern w:val="2"/>
                <w:sz w:val="24"/>
                <w:szCs w:val="32"/>
                <w:highlight w:val="none"/>
                <w:lang w:val="en-US" w:eastAsia="zh-CN" w:bidi="ar-SA"/>
              </w:rPr>
            </w:pPr>
            <w:r>
              <w:rPr>
                <w:rFonts w:hint="eastAsia" w:ascii="仿宋_GB2312" w:hAnsi="仿宋" w:eastAsia="仿宋_GB2312" w:cs="仿宋"/>
                <w:color w:val="auto"/>
                <w:kern w:val="2"/>
                <w:sz w:val="24"/>
                <w:szCs w:val="32"/>
                <w:highlight w:val="none"/>
                <w:lang w:val="en-US" w:eastAsia="zh-CN" w:bidi="ar-SA"/>
              </w:rPr>
              <w:t>（八）2029年度完成河口-十甲公路29公里，计划投资20万元，完成1.9万平方米绿化面积，乡土植株50株（乔木）。</w:t>
            </w:r>
          </w:p>
          <w:p w14:paraId="651651E1">
            <w:pPr>
              <w:rPr>
                <w:rFonts w:hint="eastAsia" w:ascii="仿宋_GB2312" w:hAnsi="仿宋" w:eastAsia="仿宋_GB2312" w:cs="仿宋"/>
                <w:color w:val="auto"/>
                <w:kern w:val="2"/>
                <w:sz w:val="24"/>
                <w:szCs w:val="32"/>
                <w:highlight w:val="none"/>
                <w:lang w:val="en-US" w:eastAsia="zh-CN" w:bidi="ar-SA"/>
              </w:rPr>
            </w:pPr>
            <w:r>
              <w:rPr>
                <w:rFonts w:hint="eastAsia" w:ascii="仿宋_GB2312" w:hAnsi="仿宋" w:eastAsia="仿宋_GB2312" w:cs="仿宋"/>
                <w:color w:val="auto"/>
                <w:kern w:val="2"/>
                <w:sz w:val="24"/>
                <w:szCs w:val="32"/>
                <w:highlight w:val="none"/>
                <w:lang w:val="en-US" w:eastAsia="zh-CN" w:bidi="ar-SA"/>
              </w:rPr>
              <w:t>（九）2030年度完成柯渡至鸡街1公路4公里，计划投资5万元，完成3000平方米绿化面积，乡土植株30株（乔木）。</w:t>
            </w:r>
          </w:p>
          <w:p w14:paraId="3A37CC75">
            <w:pPr>
              <w:rPr>
                <w:rFonts w:hint="default"/>
                <w:lang w:val="en-US"/>
              </w:rPr>
            </w:pPr>
            <w:r>
              <w:rPr>
                <w:rFonts w:hint="eastAsia" w:ascii="仿宋_GB2312" w:hAnsi="仿宋" w:eastAsia="仿宋_GB2312" w:cs="仿宋"/>
                <w:color w:val="auto"/>
                <w:kern w:val="2"/>
                <w:sz w:val="24"/>
                <w:szCs w:val="32"/>
                <w:highlight w:val="none"/>
                <w:lang w:val="en-US" w:eastAsia="zh-CN" w:bidi="ar-SA"/>
              </w:rPr>
              <w:t>（十）2031年度完成柯渡联络线公路4公里，计划投资5万元，完成3000平方米绿化面积，乡土植株30株（乔木）。</w:t>
            </w:r>
          </w:p>
        </w:tc>
      </w:tr>
    </w:tbl>
    <w:p w14:paraId="6E33736B">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jc w:val="center"/>
        <w:textAlignment w:val="auto"/>
        <w:rPr>
          <w:rFonts w:hint="eastAsia" w:ascii="Times New Roman" w:hAnsi="Times New Roman" w:eastAsia="宋体" w:cs="Times New Roman"/>
          <w:b/>
          <w:kern w:val="0"/>
          <w:sz w:val="32"/>
          <w:szCs w:val="32"/>
          <w:lang w:val="en-US" w:eastAsia="zh-CN"/>
        </w:rPr>
      </w:pPr>
      <w:bookmarkStart w:id="121" w:name="_Toc31837"/>
      <w:r>
        <w:rPr>
          <w:rFonts w:hint="eastAsia" w:ascii="Times New Roman" w:hAnsi="Times New Roman" w:eastAsia="宋体" w:cs="Times New Roman"/>
          <w:b/>
          <w:kern w:val="0"/>
          <w:sz w:val="32"/>
          <w:szCs w:val="32"/>
          <w:lang w:val="en-US" w:eastAsia="zh-CN"/>
        </w:rPr>
        <w:t xml:space="preserve">第五节  </w:t>
      </w:r>
      <w:bookmarkEnd w:id="121"/>
      <w:r>
        <w:rPr>
          <w:rFonts w:hint="eastAsia" w:ascii="Times New Roman" w:hAnsi="Times New Roman" w:eastAsia="宋体" w:cs="Times New Roman"/>
          <w:b/>
          <w:kern w:val="0"/>
          <w:sz w:val="32"/>
          <w:szCs w:val="32"/>
          <w:lang w:val="en-US" w:eastAsia="zh-CN"/>
        </w:rPr>
        <w:t>绿美廊道</w:t>
      </w:r>
    </w:p>
    <w:p w14:paraId="2E7CFE86">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一、道路绿廊</w:t>
      </w:r>
    </w:p>
    <w:p w14:paraId="48FBE38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（一）建设目标</w:t>
      </w:r>
    </w:p>
    <w:p w14:paraId="66DF67D9">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以绿美交通建设为依托,加强生态保护与修复。在规划、设计、施工、运营、养护和管理全生命周期贯彻生态文明理念。至规划期末，保证铁路、高速公路、国道、省道、县道等主要交通干道适宜绿化路段应绿尽绿。</w:t>
      </w:r>
    </w:p>
    <w:p w14:paraId="12176777">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（二）建设内容</w:t>
      </w:r>
    </w:p>
    <w:p w14:paraId="55420E04">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道路绿廊作为城市绿地网络以及绿地景观的重要组成部分，在全县生态保护，旅游形象和文化传播中发挥着重要作用。道路绿廊建设应该以保障交通安全为前提根据不同的道路类型、自然条件、周边环境和城市特色进行差异化建设。乔木树种选择枝干下高较高、抗病性强、耐污染能力强、树形优美、管理粗放的乡土树种,灌木选择耐剪切、抗污染、耐贫瘠的乡土灌木，可适当增加开花植物种植量。通过植物配置，将寻甸县民族文化、林地草山特色融入道路绿化中，充分体现城市文化内涵和文化特色差异性。</w:t>
      </w:r>
    </w:p>
    <w:p w14:paraId="0C8C2438">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二、水岸绿廊</w:t>
      </w:r>
    </w:p>
    <w:p w14:paraId="7377A98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（一）建设目标</w:t>
      </w:r>
    </w:p>
    <w:p w14:paraId="588FDC3C">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寻甸持续开展以水源涵养林草生态系统，坚持尊重自然、保护优先，根据不同水体的生态环境和分布特点，打造水土保持林、护岸林和森林湿地为主的水系林网建设，打造“林草水相依、林草水相连、依水建林草、以林草涵养水”的林水网络体系。</w:t>
      </w:r>
    </w:p>
    <w:p w14:paraId="6F4DEB6B">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（二）建设内容</w:t>
      </w:r>
    </w:p>
    <w:p w14:paraId="36052C69">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在不影响行洪安全的前提下,保留河道蜿蜒曲折的线型,依托地形的高低起伏,构建丰富的水景系列和多样的湿地景观。通过近自然的手法,恢复湿地生境异质性。建设近自然驳岸，为动植物生长提供适宜的环境和栖息地，以生境异质性为构建多样的森林植被、湿地植被和水生植被，建设具有明显地域风格和特色的森林-湿地复合景观。依托生境多样、功能需求，选择观花、观果、色叶和芳香植物，通过科学配置，形成了春夏秋冬四季色彩景观序列。</w:t>
      </w:r>
    </w:p>
    <w:p w14:paraId="07C80107">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结合河道、水库生态保护与恢复，积极拓展绿化空间，挖掘绿地潜力。对未绿化河段和水库重点区域开展绿化，采用近自然的水岸绿化模式，构建稳定的湿地植物群落。对已绿化河段和区域开展补植补造，增加林木覆盖率，减少水土流失，有效涵养水源，改善区域生态环境。对流经城镇和村庄的河段注重群落的结构层次和生态效益，通过补植、抚育、更新以及搭配耐抗水湿的树种，辅以挺水、浮水和沉水植物，结合文化特色、民族风情，建设河滨绿化景观带，打造林水辉映的景观空间。</w:t>
      </w:r>
    </w:p>
    <w:tbl>
      <w:tblPr>
        <w:tblStyle w:val="10"/>
        <w:tblW w:w="9060" w:type="dxa"/>
        <w:tblInd w:w="0" w:type="dxa"/>
        <w:tblLayout w:type="fixed"/>
        <w:tblCellMar>
          <w:top w:w="0" w:type="dxa"/>
          <w:left w:w="108" w:type="dxa"/>
          <w:bottom w:w="0" w:type="dxa"/>
          <w:right w:w="108" w:type="dxa"/>
        </w:tblCellMar>
      </w:tblPr>
      <w:tblGrid>
        <w:gridCol w:w="9060"/>
      </w:tblGrid>
      <w:tr w14:paraId="463EC00E">
        <w:tblPrEx>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tcPr>
          <w:p w14:paraId="4E2EC104">
            <w:pPr>
              <w:overflowPunct w:val="0"/>
              <w:spacing w:line="578" w:lineRule="exact"/>
              <w:ind w:firstLine="562" w:firstLineChars="200"/>
              <w:jc w:val="center"/>
              <w:rPr>
                <w:rFonts w:hint="default" w:ascii="Times New Roman" w:hAnsi="Times New Roman" w:eastAsia="仿宋_GB2312"/>
                <w:b/>
                <w:bCs/>
                <w:sz w:val="28"/>
                <w:szCs w:val="28"/>
                <w:highlight w:val="none"/>
                <w:lang w:val="en-US" w:eastAsia="zh-CN"/>
              </w:rPr>
            </w:pPr>
            <w:r>
              <w:rPr>
                <w:rFonts w:ascii="Times New Roman" w:hAnsi="Times New Roman" w:eastAsia="仿宋_GB2312"/>
                <w:b/>
                <w:bCs/>
                <w:sz w:val="28"/>
                <w:szCs w:val="28"/>
                <w:highlight w:val="none"/>
              </w:rPr>
              <w:t>专栏</w:t>
            </w:r>
            <w:r>
              <w:rPr>
                <w:rFonts w:hint="eastAsia" w:ascii="Times New Roman" w:hAnsi="Times New Roman" w:eastAsia="仿宋_GB2312"/>
                <w:b/>
                <w:bCs/>
                <w:sz w:val="28"/>
                <w:szCs w:val="28"/>
                <w:highlight w:val="none"/>
                <w:lang w:val="en-US" w:eastAsia="zh-CN"/>
              </w:rPr>
              <w:t xml:space="preserve">6 </w:t>
            </w:r>
            <w:r>
              <w:rPr>
                <w:rFonts w:hint="eastAsia" w:ascii="Times New Roman" w:hAnsi="Times New Roman" w:eastAsia="仿宋_GB2312"/>
                <w:b/>
                <w:bCs/>
                <w:sz w:val="28"/>
                <w:szCs w:val="28"/>
                <w:highlight w:val="none"/>
              </w:rPr>
              <w:t xml:space="preserve"> </w:t>
            </w:r>
            <w:r>
              <w:rPr>
                <w:rFonts w:ascii="Times New Roman" w:hAnsi="Times New Roman" w:eastAsia="仿宋_GB2312"/>
                <w:b/>
                <w:bCs/>
                <w:sz w:val="28"/>
                <w:szCs w:val="28"/>
                <w:highlight w:val="none"/>
              </w:rPr>
              <w:t>实施</w:t>
            </w:r>
            <w:r>
              <w:rPr>
                <w:rFonts w:hint="eastAsia" w:ascii="Times New Roman" w:hAnsi="Times New Roman" w:eastAsia="仿宋_GB2312"/>
                <w:b/>
                <w:bCs/>
                <w:sz w:val="28"/>
                <w:szCs w:val="28"/>
                <w:highlight w:val="none"/>
                <w:lang w:val="en-US" w:eastAsia="zh-CN"/>
              </w:rPr>
              <w:t>内容</w:t>
            </w:r>
          </w:p>
        </w:tc>
      </w:tr>
      <w:tr w14:paraId="51544584">
        <w:tblPrEx>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tcPr>
          <w:p w14:paraId="66285304">
            <w:pPr>
              <w:pStyle w:val="2"/>
              <w:ind w:firstLine="482" w:firstLineChars="200"/>
              <w:rPr>
                <w:rFonts w:hint="eastAsia" w:ascii="仿宋_GB2312" w:hAnsi="仿宋" w:eastAsia="仿宋_GB2312" w:cs="仿宋"/>
                <w:kern w:val="2"/>
                <w:sz w:val="24"/>
                <w:szCs w:val="32"/>
                <w:highlight w:val="none"/>
                <w:lang w:val="en-US" w:eastAsia="zh-CN" w:bidi="ar-SA"/>
              </w:rPr>
            </w:pPr>
            <w:r>
              <w:rPr>
                <w:rFonts w:hint="eastAsia" w:ascii="仿宋_GB2312" w:hAnsi="仿宋" w:eastAsia="仿宋_GB2312" w:cs="仿宋"/>
                <w:b/>
                <w:bCs/>
                <w:kern w:val="2"/>
                <w:sz w:val="24"/>
                <w:szCs w:val="32"/>
                <w:highlight w:val="none"/>
                <w:lang w:val="en-US" w:eastAsia="zh-CN" w:bidi="ar-SA"/>
              </w:rPr>
              <w:t>道路绿廊：</w:t>
            </w:r>
            <w:r>
              <w:rPr>
                <w:rFonts w:hint="eastAsia" w:ascii="仿宋_GB2312" w:hAnsi="仿宋" w:eastAsia="仿宋_GB2312" w:cs="仿宋"/>
                <w:kern w:val="2"/>
                <w:sz w:val="24"/>
                <w:szCs w:val="32"/>
                <w:highlight w:val="none"/>
                <w:lang w:val="en-US" w:eastAsia="zh-CN" w:bidi="ar-SA"/>
              </w:rPr>
              <w:t>易白公路、二号井-杨家湾、易白公路支线、蒙姑-铁厂、寻甸-白石岩、道院-马过河、嵩玉线、河口-十甲、柯渡至鸡街1、柯渡联络线。</w:t>
            </w:r>
          </w:p>
          <w:p w14:paraId="6A6BB5E5">
            <w:pPr>
              <w:ind w:firstLine="480"/>
              <w:rPr>
                <w:rFonts w:hint="eastAsia" w:ascii="仿宋_GB2312" w:hAnsi="仿宋" w:eastAsia="仿宋_GB2312" w:cs="仿宋"/>
                <w:kern w:val="2"/>
                <w:sz w:val="24"/>
                <w:szCs w:val="32"/>
                <w:highlight w:val="none"/>
                <w:lang w:val="en-US" w:eastAsia="zh-CN" w:bidi="ar-SA"/>
              </w:rPr>
            </w:pPr>
            <w:r>
              <w:rPr>
                <w:rFonts w:hint="eastAsia" w:ascii="仿宋_GB2312" w:hAnsi="仿宋" w:eastAsia="仿宋_GB2312" w:cs="仿宋"/>
                <w:b/>
                <w:bCs/>
                <w:kern w:val="2"/>
                <w:sz w:val="24"/>
                <w:szCs w:val="32"/>
                <w:highlight w:val="none"/>
                <w:lang w:val="en-US" w:eastAsia="zh-CN" w:bidi="ar-SA"/>
              </w:rPr>
              <w:t>水岸绿廊：</w:t>
            </w:r>
            <w:r>
              <w:rPr>
                <w:rFonts w:hint="eastAsia" w:ascii="仿宋_GB2312" w:hAnsi="仿宋" w:eastAsia="仿宋_GB2312" w:cs="仿宋"/>
                <w:kern w:val="2"/>
                <w:sz w:val="24"/>
                <w:szCs w:val="32"/>
                <w:highlight w:val="none"/>
                <w:lang w:val="en-US" w:eastAsia="zh-CN" w:bidi="ar-SA"/>
              </w:rPr>
              <w:t>寻甸县清水海水源保护区生态修复一期工程；</w:t>
            </w:r>
          </w:p>
          <w:p w14:paraId="0E7E3DC5">
            <w:pPr>
              <w:ind w:firstLine="480"/>
              <w:rPr>
                <w:rFonts w:hint="eastAsia" w:ascii="仿宋_GB2312" w:hAnsi="仿宋" w:eastAsia="仿宋_GB2312" w:cs="仿宋"/>
                <w:color w:val="auto"/>
                <w:kern w:val="2"/>
                <w:sz w:val="24"/>
                <w:szCs w:val="32"/>
                <w:highlight w:val="none"/>
                <w:lang w:val="en-US" w:eastAsia="zh-CN" w:bidi="ar-SA"/>
              </w:rPr>
            </w:pPr>
            <w:r>
              <w:rPr>
                <w:rFonts w:hint="eastAsia" w:ascii="仿宋_GB2312" w:hAnsi="仿宋" w:eastAsia="仿宋_GB2312" w:cs="仿宋"/>
                <w:kern w:val="2"/>
                <w:sz w:val="24"/>
                <w:szCs w:val="32"/>
                <w:highlight w:val="none"/>
                <w:lang w:val="en-US" w:eastAsia="zh-CN" w:bidi="ar-SA"/>
              </w:rPr>
              <w:t>四清河水环境综合治理工程，投资772.0万元，</w:t>
            </w:r>
            <w:r>
              <w:rPr>
                <w:rFonts w:hint="eastAsia" w:ascii="仿宋_GB2312" w:hAnsi="仿宋" w:eastAsia="仿宋_GB2312" w:cs="仿宋"/>
                <w:color w:val="auto"/>
                <w:kern w:val="2"/>
                <w:sz w:val="24"/>
                <w:szCs w:val="32"/>
                <w:highlight w:val="none"/>
                <w:lang w:val="en-US" w:eastAsia="zh-CN" w:bidi="ar-SA"/>
              </w:rPr>
              <w:t>种植苗木2060株，种植地被植物41744株；</w:t>
            </w:r>
          </w:p>
          <w:p w14:paraId="1F436667">
            <w:pPr>
              <w:ind w:firstLine="480"/>
              <w:rPr>
                <w:rFonts w:hint="eastAsia" w:ascii="仿宋_GB2312" w:hAnsi="仿宋" w:eastAsia="仿宋_GB2312" w:cs="仿宋"/>
                <w:kern w:val="2"/>
                <w:sz w:val="24"/>
                <w:szCs w:val="32"/>
                <w:highlight w:val="none"/>
                <w:lang w:val="en-US" w:eastAsia="zh-CN" w:bidi="ar-SA"/>
              </w:rPr>
            </w:pPr>
            <w:r>
              <w:rPr>
                <w:rFonts w:hint="eastAsia" w:ascii="仿宋_GB2312" w:hAnsi="仿宋" w:eastAsia="仿宋_GB2312" w:cs="仿宋"/>
                <w:kern w:val="2"/>
                <w:sz w:val="24"/>
                <w:szCs w:val="32"/>
                <w:highlight w:val="none"/>
                <w:lang w:val="en-US" w:eastAsia="zh-CN" w:bidi="ar-SA"/>
              </w:rPr>
              <w:t>寻甸县前进河（城区段）水文化、水景观综合建设项目，投资199.97万元，完成滨河绿化提升改造面积2803m²，治理河段二建设内容为：健康步道1050㎡，滨河生态步道150㎡，滨河绿化提升6673m²；</w:t>
            </w:r>
          </w:p>
          <w:p w14:paraId="23D45DB8">
            <w:pPr>
              <w:ind w:firstLine="480"/>
              <w:rPr>
                <w:rFonts w:hint="eastAsia" w:ascii="仿宋_GB2312" w:hAnsi="仿宋" w:eastAsia="仿宋_GB2312" w:cs="仿宋"/>
                <w:kern w:val="2"/>
                <w:sz w:val="24"/>
                <w:szCs w:val="32"/>
                <w:highlight w:val="none"/>
                <w:lang w:val="en-US" w:eastAsia="zh-CN" w:bidi="ar-SA"/>
              </w:rPr>
            </w:pPr>
            <w:r>
              <w:rPr>
                <w:rFonts w:hint="eastAsia" w:ascii="仿宋_GB2312" w:hAnsi="仿宋" w:eastAsia="仿宋_GB2312" w:cs="仿宋"/>
                <w:kern w:val="2"/>
                <w:sz w:val="24"/>
                <w:szCs w:val="32"/>
                <w:highlight w:val="none"/>
                <w:lang w:val="en-US" w:eastAsia="zh-CN" w:bidi="ar-SA"/>
              </w:rPr>
              <w:t>寻甸县牛栏江（七星段）水文化、水景观综合建设项目，投资99.16万元，完成滨河生态步道72m、水文化观景平台166.48m²、滨河绿化提升6390m²；</w:t>
            </w:r>
          </w:p>
          <w:p w14:paraId="3E090114">
            <w:pPr>
              <w:ind w:firstLine="480"/>
              <w:rPr>
                <w:rFonts w:hint="default"/>
                <w:highlight w:val="none"/>
                <w:lang w:val="en-US" w:eastAsia="zh-CN"/>
              </w:rPr>
            </w:pPr>
            <w:r>
              <w:rPr>
                <w:rFonts w:hint="eastAsia" w:ascii="仿宋_GB2312" w:hAnsi="仿宋" w:eastAsia="仿宋_GB2312" w:cs="仿宋"/>
                <w:kern w:val="2"/>
                <w:sz w:val="24"/>
                <w:szCs w:val="32"/>
                <w:highlight w:val="none"/>
                <w:lang w:val="en-US" w:eastAsia="zh-CN" w:bidi="ar-SA"/>
              </w:rPr>
              <w:t>果马河水环境综合治理工程，投资2181万元，完成</w:t>
            </w:r>
            <w:r>
              <w:rPr>
                <w:rFonts w:hint="eastAsia" w:ascii="仿宋_GB2312" w:hAnsi="仿宋" w:eastAsia="仿宋_GB2312" w:cs="仿宋"/>
                <w:color w:val="auto"/>
                <w:kern w:val="2"/>
                <w:sz w:val="24"/>
                <w:szCs w:val="32"/>
                <w:highlight w:val="none"/>
                <w:lang w:val="en-US" w:eastAsia="zh-CN" w:bidi="ar-SA"/>
              </w:rPr>
              <w:t>种植苗木2307株</w:t>
            </w:r>
            <w:r>
              <w:rPr>
                <w:rFonts w:hint="eastAsia" w:ascii="仿宋_GB2312" w:hAnsi="仿宋" w:eastAsia="仿宋_GB2312" w:cs="仿宋"/>
                <w:kern w:val="2"/>
                <w:sz w:val="24"/>
                <w:szCs w:val="32"/>
                <w:highlight w:val="none"/>
                <w:lang w:val="en-US" w:eastAsia="zh-CN" w:bidi="ar-SA"/>
              </w:rPr>
              <w:t>。</w:t>
            </w:r>
          </w:p>
        </w:tc>
      </w:tr>
    </w:tbl>
    <w:p w14:paraId="0BD5BF09">
      <w:pPr>
        <w:pStyle w:val="2"/>
        <w:rPr>
          <w:rFonts w:hint="eastAsia"/>
          <w:lang w:val="en-US" w:eastAsia="zh-CN"/>
        </w:rPr>
      </w:pPr>
    </w:p>
    <w:p w14:paraId="36D58085">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jc w:val="center"/>
        <w:textAlignment w:val="auto"/>
        <w:rPr>
          <w:rFonts w:hint="eastAsia" w:ascii="Times New Roman" w:hAnsi="Times New Roman" w:eastAsia="宋体" w:cs="Times New Roman"/>
          <w:b/>
          <w:color w:val="auto"/>
          <w:kern w:val="0"/>
          <w:sz w:val="32"/>
          <w:szCs w:val="32"/>
          <w:highlight w:val="none"/>
          <w:lang w:val="en-US" w:eastAsia="zh-CN"/>
        </w:rPr>
      </w:pPr>
      <w:r>
        <w:rPr>
          <w:rFonts w:hint="eastAsia" w:ascii="Times New Roman" w:hAnsi="Times New Roman" w:eastAsia="宋体" w:cs="Times New Roman"/>
          <w:b/>
          <w:color w:val="auto"/>
          <w:kern w:val="0"/>
          <w:sz w:val="32"/>
          <w:szCs w:val="32"/>
          <w:highlight w:val="none"/>
          <w:lang w:val="en-US" w:eastAsia="zh-CN"/>
        </w:rPr>
        <w:t>第六节  绿美校园</w:t>
      </w:r>
    </w:p>
    <w:p w14:paraId="753DE2B6">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outlineLvl w:val="2"/>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一、建设目标</w:t>
      </w:r>
    </w:p>
    <w:p w14:paraId="4539DD75">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将校园原有自然水域、湿地、植被和古树名木纳入校园绿化整体规划、整体设计，将绿色发展理念融入校园建设、学科建设、教育教学管理、人才培养等环节，通过绿色教学、绿色环境、绿色活动、绿色传播，全面提高校园绿化美化水平和师生生态文明素养。倡导充分挖掘立体空间资源，创造高低变化微地形，营造多层次、多物种的校园绿色体系。开展垂直绿化、屋顶绿化，最大限度提升校园绿地率和绿化覆盖率，推进中小学校园绿地公共服务设施建设。选择适应当地生长环境且无刺、无毒、无异味、少飞花飞絮的乡土植物，以特色观赏型植物为主，同时兼顾保健植物、鸟嗜植物、香源植物、固碳植物等，建设形态优美、季相鲜明、颜色丰富的个性化景观，为学生提供活动休憩、健身娱乐、科普教育活动场所。完善校园自然标识系统,满足科普教育功能。</w:t>
      </w:r>
    </w:p>
    <w:p w14:paraId="5C0373C4">
      <w:pPr>
        <w:pStyle w:val="2"/>
        <w:rPr>
          <w:rFonts w:ascii="宋体" w:hAnsi="宋体" w:eastAsia="宋体" w:cs="宋体"/>
          <w:szCs w:val="24"/>
        </w:rPr>
      </w:pPr>
    </w:p>
    <w:p w14:paraId="2CAA5F03">
      <w:pPr>
        <w:pStyle w:val="3"/>
        <w:keepNext w:val="0"/>
        <w:keepLines w:val="0"/>
        <w:pageBreakBefore w:val="0"/>
        <w:widowControl w:val="0"/>
        <w:numPr>
          <w:ilvl w:val="0"/>
          <w:numId w:val="2"/>
        </w:numPr>
        <w:kinsoku/>
        <w:wordWrap/>
        <w:overflowPunct/>
        <w:topLinePunct w:val="0"/>
        <w:autoSpaceDE/>
        <w:autoSpaceDN/>
        <w:bidi w:val="0"/>
        <w:adjustRightInd/>
        <w:snapToGrid/>
        <w:spacing w:after="0" w:line="560" w:lineRule="exact"/>
        <w:jc w:val="both"/>
        <w:textAlignment w:val="auto"/>
        <w:outlineLvl w:val="2"/>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建设内容</w:t>
      </w:r>
    </w:p>
    <w:tbl>
      <w:tblPr>
        <w:tblStyle w:val="10"/>
        <w:tblW w:w="9060" w:type="dxa"/>
        <w:tblInd w:w="0" w:type="dxa"/>
        <w:tblLayout w:type="fixed"/>
        <w:tblCellMar>
          <w:top w:w="0" w:type="dxa"/>
          <w:left w:w="108" w:type="dxa"/>
          <w:bottom w:w="0" w:type="dxa"/>
          <w:right w:w="108" w:type="dxa"/>
        </w:tblCellMar>
      </w:tblPr>
      <w:tblGrid>
        <w:gridCol w:w="9060"/>
      </w:tblGrid>
      <w:tr w14:paraId="48C6199D">
        <w:tblPrEx>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tcPr>
          <w:p w14:paraId="773A3C20">
            <w:pPr>
              <w:overflowPunct w:val="0"/>
              <w:spacing w:line="578" w:lineRule="exact"/>
              <w:ind w:firstLine="562" w:firstLineChars="200"/>
              <w:jc w:val="center"/>
              <w:rPr>
                <w:rFonts w:hint="default" w:ascii="Times New Roman" w:hAnsi="Times New Roman" w:eastAsia="仿宋_GB2312"/>
                <w:b/>
                <w:bCs/>
                <w:sz w:val="28"/>
                <w:szCs w:val="28"/>
                <w:highlight w:val="none"/>
                <w:lang w:val="en-US" w:eastAsia="zh-CN"/>
              </w:rPr>
            </w:pPr>
            <w:r>
              <w:rPr>
                <w:rFonts w:ascii="Times New Roman" w:hAnsi="Times New Roman" w:eastAsia="仿宋_GB2312"/>
                <w:b/>
                <w:bCs/>
                <w:sz w:val="28"/>
                <w:szCs w:val="28"/>
                <w:highlight w:val="none"/>
              </w:rPr>
              <w:t>专栏</w:t>
            </w:r>
            <w:r>
              <w:rPr>
                <w:rFonts w:hint="eastAsia" w:ascii="Times New Roman" w:hAnsi="Times New Roman" w:eastAsia="仿宋_GB2312"/>
                <w:b/>
                <w:bCs/>
                <w:sz w:val="28"/>
                <w:szCs w:val="28"/>
                <w:highlight w:val="none"/>
                <w:lang w:val="en-US" w:eastAsia="zh-CN"/>
              </w:rPr>
              <w:t xml:space="preserve">7 </w:t>
            </w:r>
            <w:r>
              <w:rPr>
                <w:rFonts w:hint="eastAsia" w:ascii="Times New Roman" w:hAnsi="Times New Roman" w:eastAsia="仿宋_GB2312"/>
                <w:b/>
                <w:bCs/>
                <w:sz w:val="28"/>
                <w:szCs w:val="28"/>
                <w:highlight w:val="none"/>
              </w:rPr>
              <w:t xml:space="preserve"> </w:t>
            </w:r>
            <w:r>
              <w:rPr>
                <w:rFonts w:hint="eastAsia" w:ascii="仿宋_GB2312" w:hAnsi="仿宋_GB2312" w:eastAsia="仿宋_GB2312" w:cs="仿宋_GB2312"/>
                <w:b w:val="0"/>
                <w:bCs w:val="0"/>
                <w:kern w:val="2"/>
                <w:sz w:val="32"/>
                <w:szCs w:val="32"/>
                <w:highlight w:val="none"/>
                <w:lang w:val="en-US" w:eastAsia="zh-CN" w:bidi="ar-SA"/>
              </w:rPr>
              <w:t>实施内容</w:t>
            </w:r>
          </w:p>
        </w:tc>
      </w:tr>
      <w:tr w14:paraId="46A149FF">
        <w:tblPrEx>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tcPr>
          <w:p w14:paraId="7E6622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2" w:firstLineChars="200"/>
              <w:textAlignment w:val="auto"/>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仁德一小校园绿化美化项目。</w:t>
            </w:r>
            <w:r>
              <w:rPr>
                <w:rFonts w:hint="eastAsia" w:ascii="仿宋_GB2312" w:hAnsi="仿宋_GB2312" w:eastAsia="仿宋_GB2312" w:cs="仿宋_GB2312"/>
                <w:b w:val="0"/>
                <w:bCs w:val="0"/>
                <w:kern w:val="2"/>
                <w:sz w:val="24"/>
                <w:szCs w:val="24"/>
                <w:highlight w:val="none"/>
                <w:lang w:val="en-US" w:eastAsia="zh-CN" w:bidi="ar-SA"/>
              </w:rPr>
              <w:t>建设地点为寻甸县月华路与屏月西路交界处，建设内容及规模包括拟进行园区内绿化管养、补植、更换枯死树木、草坪，更换喷灌设备，项目计划投资300万元，绿化面积为13777平方米，植树量100株。</w:t>
            </w:r>
          </w:p>
          <w:p w14:paraId="368317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2" w:firstLineChars="200"/>
              <w:textAlignment w:val="auto"/>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仁德街道第一初级中学校园绿化美化项目。</w:t>
            </w:r>
            <w:r>
              <w:rPr>
                <w:rFonts w:hint="eastAsia" w:ascii="仿宋_GB2312" w:hAnsi="仿宋_GB2312" w:eastAsia="仿宋_GB2312" w:cs="仿宋_GB2312"/>
                <w:b w:val="0"/>
                <w:bCs w:val="0"/>
                <w:kern w:val="2"/>
                <w:sz w:val="24"/>
                <w:szCs w:val="24"/>
                <w:highlight w:val="none"/>
                <w:lang w:val="en-US" w:eastAsia="zh-CN" w:bidi="ar-SA"/>
              </w:rPr>
              <w:t>建设地点为寻甸回族彝族自治县仁德街道青云路20号，建设内容及规模包括拟进行园区内绿化管养、补植、更换枯死树木、草坪，更换喷灌设备，项目计划投资12万元，绿化面积480㎡,植树量120株。</w:t>
            </w:r>
          </w:p>
          <w:p w14:paraId="64CC44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2" w:firstLineChars="200"/>
              <w:textAlignment w:val="auto"/>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功山镇中心小学校园绿化美化项目。</w:t>
            </w:r>
            <w:r>
              <w:rPr>
                <w:rFonts w:hint="eastAsia" w:ascii="仿宋_GB2312" w:hAnsi="仿宋_GB2312" w:eastAsia="仿宋_GB2312" w:cs="仿宋_GB2312"/>
                <w:b w:val="0"/>
                <w:bCs w:val="0"/>
                <w:kern w:val="2"/>
                <w:sz w:val="24"/>
                <w:szCs w:val="24"/>
                <w:highlight w:val="none"/>
                <w:lang w:val="en-US" w:eastAsia="zh-CN" w:bidi="ar-SA"/>
              </w:rPr>
              <w:t>建设地点为寻甸县功山镇功山村委会红土洞村，建设内容及规模包括拟进行园区内绿化管养、补植、更换枯死树木、草坪，更换喷灌设备，项目计划投资10万元，绿化面积300㎡,植树量160株。</w:t>
            </w:r>
          </w:p>
          <w:p w14:paraId="608BC3DA">
            <w:pPr>
              <w:overflowPunct w:val="0"/>
              <w:spacing w:line="360" w:lineRule="auto"/>
              <w:ind w:firstLine="482" w:firstLineChars="200"/>
              <w:rPr>
                <w:rFonts w:ascii="Times New Roman" w:hAnsi="Times New Roman" w:eastAsia="仿宋_GB2312"/>
                <w:sz w:val="24"/>
                <w:szCs w:val="24"/>
                <w:highlight w:val="none"/>
              </w:rPr>
            </w:pPr>
            <w:r>
              <w:rPr>
                <w:rFonts w:hint="eastAsia" w:ascii="仿宋_GB2312" w:hAnsi="仿宋_GB2312" w:eastAsia="仿宋_GB2312" w:cs="仿宋_GB2312"/>
                <w:b/>
                <w:bCs/>
                <w:kern w:val="2"/>
                <w:sz w:val="24"/>
                <w:szCs w:val="24"/>
                <w:highlight w:val="none"/>
                <w:lang w:val="en-US" w:eastAsia="zh-CN" w:bidi="ar-SA"/>
              </w:rPr>
              <w:t>鸡街中学校园绿化美化项目。</w:t>
            </w:r>
            <w:r>
              <w:rPr>
                <w:rFonts w:hint="eastAsia" w:ascii="仿宋_GB2312" w:hAnsi="仿宋_GB2312" w:eastAsia="仿宋_GB2312" w:cs="仿宋_GB2312"/>
                <w:b w:val="0"/>
                <w:bCs w:val="0"/>
                <w:kern w:val="2"/>
                <w:sz w:val="24"/>
                <w:szCs w:val="24"/>
                <w:highlight w:val="none"/>
                <w:lang w:val="en-US" w:eastAsia="zh-CN" w:bidi="ar-SA"/>
              </w:rPr>
              <w:t>建设地点为寻甸县鸡街镇鸡街村委会鸡街村313号，建设内容及规模包括拟进行园区内绿化管养、补植、更换枯死树木、草坪，更换喷灌设备，项目计划投资5万元，绿化面积220㎡,植树量150株。</w:t>
            </w:r>
          </w:p>
        </w:tc>
      </w:tr>
    </w:tbl>
    <w:p w14:paraId="3A0B979D">
      <w:pPr>
        <w:pStyle w:val="2"/>
        <w:rPr>
          <w:rFonts w:hint="eastAsia"/>
          <w:highlight w:val="none"/>
          <w:lang w:val="en-US" w:eastAsia="zh-CN"/>
        </w:rPr>
      </w:pPr>
    </w:p>
    <w:p w14:paraId="081223A1">
      <w:pPr>
        <w:rPr>
          <w:rFonts w:hint="eastAsia"/>
          <w:lang w:val="en-US" w:eastAsia="zh-CN"/>
        </w:rPr>
      </w:pPr>
    </w:p>
    <w:p w14:paraId="2071FABA">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jc w:val="center"/>
        <w:textAlignment w:val="auto"/>
        <w:rPr>
          <w:rFonts w:hint="eastAsia" w:ascii="Times New Roman" w:hAnsi="Times New Roman" w:eastAsia="宋体" w:cs="Times New Roman"/>
          <w:b/>
          <w:kern w:val="0"/>
          <w:sz w:val="32"/>
          <w:szCs w:val="32"/>
          <w:highlight w:val="none"/>
          <w:lang w:val="en-US" w:eastAsia="zh-CN"/>
        </w:rPr>
      </w:pPr>
      <w:r>
        <w:rPr>
          <w:rFonts w:hint="eastAsia" w:ascii="Times New Roman" w:hAnsi="Times New Roman" w:eastAsia="宋体" w:cs="Times New Roman"/>
          <w:b/>
          <w:kern w:val="0"/>
          <w:sz w:val="32"/>
          <w:szCs w:val="32"/>
          <w:highlight w:val="none"/>
          <w:lang w:val="en-US" w:eastAsia="zh-CN"/>
        </w:rPr>
        <w:t>第七节  绿美园区</w:t>
      </w:r>
    </w:p>
    <w:p w14:paraId="0CB26421">
      <w:pPr>
        <w:pStyle w:val="3"/>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Chars="0" w:firstLine="643" w:firstLineChars="200"/>
        <w:jc w:val="both"/>
        <w:textAlignment w:val="auto"/>
        <w:outlineLvl w:val="2"/>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建设目标</w:t>
      </w:r>
    </w:p>
    <w:p w14:paraId="19702265">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强化规划引领作用。注重绿化美化规划或实施方案与园区总体规划的有机衔接，根据园区资源禀赋、景观特征和产业功能，优化园区功能布局。落实园区、企业绿化美化主体责任，加强对园区内原有植物资源的保护，以乡土植物为主，合理选择适应环境、生长稳定、观赏价值高、环境效益好且对生产及人员不会造成危害的植物进行绿化美化。</w:t>
      </w:r>
    </w:p>
    <w:p w14:paraId="27E3DB73">
      <w:pPr>
        <w:pStyle w:val="2"/>
        <w:ind w:firstLine="643" w:firstLineChars="200"/>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二、建设内容</w:t>
      </w:r>
    </w:p>
    <w:p w14:paraId="4D81612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开展园区道路绿化美化，确定道路骨干树种,建设兼具观赏和生态防护等功能的绿化带和景观道。开展园区补绿提质，消除园区裸露土地，创造条件在园区围墙、屋顶、墙面进行立体绿化，做到应绿尽绿;开展厂区绿化美化，在厂前区、生产区外围和仓储物流区等区域建设具有固土防尘、隔音降噪等功能的绿化带，构建有益身心健康、功能多样、特色鲜明的绿美空间。</w:t>
      </w:r>
    </w:p>
    <w:tbl>
      <w:tblPr>
        <w:tblStyle w:val="10"/>
        <w:tblW w:w="9060" w:type="dxa"/>
        <w:tblInd w:w="0" w:type="dxa"/>
        <w:tblLayout w:type="fixed"/>
        <w:tblCellMar>
          <w:top w:w="0" w:type="dxa"/>
          <w:left w:w="108" w:type="dxa"/>
          <w:bottom w:w="0" w:type="dxa"/>
          <w:right w:w="108" w:type="dxa"/>
        </w:tblCellMar>
      </w:tblPr>
      <w:tblGrid>
        <w:gridCol w:w="9060"/>
      </w:tblGrid>
      <w:tr w14:paraId="2C98CB1B">
        <w:tblPrEx>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tcPr>
          <w:p w14:paraId="022008F7">
            <w:pPr>
              <w:overflowPunct w:val="0"/>
              <w:spacing w:line="578" w:lineRule="exact"/>
              <w:ind w:firstLine="562" w:firstLineChars="200"/>
              <w:jc w:val="center"/>
              <w:rPr>
                <w:rFonts w:hint="default" w:ascii="Times New Roman" w:hAnsi="Times New Roman" w:eastAsia="仿宋_GB2312"/>
                <w:b/>
                <w:bCs/>
                <w:color w:val="auto"/>
                <w:sz w:val="28"/>
                <w:szCs w:val="28"/>
                <w:highlight w:val="none"/>
                <w:lang w:val="en-US" w:eastAsia="zh-CN"/>
              </w:rPr>
            </w:pPr>
            <w:r>
              <w:rPr>
                <w:rFonts w:ascii="Times New Roman" w:hAnsi="Times New Roman" w:eastAsia="仿宋_GB2312"/>
                <w:b/>
                <w:bCs/>
                <w:color w:val="auto"/>
                <w:sz w:val="28"/>
                <w:szCs w:val="28"/>
                <w:highlight w:val="none"/>
              </w:rPr>
              <w:t>专栏</w:t>
            </w:r>
            <w:r>
              <w:rPr>
                <w:rFonts w:hint="eastAsia" w:ascii="Times New Roman" w:hAnsi="Times New Roman" w:eastAsia="仿宋_GB2312"/>
                <w:b/>
                <w:bCs/>
                <w:color w:val="auto"/>
                <w:sz w:val="28"/>
                <w:szCs w:val="28"/>
                <w:highlight w:val="none"/>
                <w:lang w:val="en-US" w:eastAsia="zh-CN"/>
              </w:rPr>
              <w:t xml:space="preserve">8 </w:t>
            </w:r>
            <w:r>
              <w:rPr>
                <w:rFonts w:hint="eastAsia" w:ascii="Times New Roman" w:hAnsi="Times New Roman" w:eastAsia="仿宋_GB2312"/>
                <w:b/>
                <w:bCs/>
                <w:color w:val="auto"/>
                <w:sz w:val="28"/>
                <w:szCs w:val="28"/>
                <w:highlight w:val="none"/>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实施内容</w:t>
            </w:r>
          </w:p>
        </w:tc>
      </w:tr>
      <w:tr w14:paraId="7BA765E5">
        <w:tblPrEx>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tcPr>
          <w:p w14:paraId="7DE1BD2D">
            <w:pPr>
              <w:pStyle w:val="2"/>
              <w:ind w:firstLine="482" w:firstLineChars="200"/>
              <w:rPr>
                <w:rFonts w:hint="eastAsia" w:ascii="仿宋_GB2312" w:hAnsi="仿宋" w:eastAsia="仿宋_GB2312" w:cs="仿宋"/>
                <w:b w:val="0"/>
                <w:bCs w:val="0"/>
                <w:color w:val="auto"/>
                <w:kern w:val="2"/>
                <w:sz w:val="24"/>
                <w:szCs w:val="32"/>
                <w:highlight w:val="none"/>
                <w:lang w:val="en-US" w:eastAsia="zh-CN" w:bidi="ar-SA"/>
              </w:rPr>
            </w:pPr>
            <w:r>
              <w:rPr>
                <w:rFonts w:hint="eastAsia" w:ascii="仿宋_GB2312" w:hAnsi="仿宋" w:eastAsia="仿宋_GB2312" w:cs="仿宋"/>
                <w:b/>
                <w:bCs/>
                <w:color w:val="auto"/>
                <w:kern w:val="2"/>
                <w:sz w:val="24"/>
                <w:szCs w:val="32"/>
                <w:highlight w:val="none"/>
                <w:lang w:val="en-US" w:eastAsia="zh-CN" w:bidi="ar-SA"/>
              </w:rPr>
              <w:t>产业园区水体绿化、企业厂区绿化、道路绿化及绿化隔离带项目</w:t>
            </w:r>
            <w:r>
              <w:rPr>
                <w:rFonts w:hint="eastAsia" w:ascii="仿宋_GB2312" w:hAnsi="仿宋" w:eastAsia="仿宋_GB2312" w:cs="仿宋"/>
                <w:b w:val="0"/>
                <w:bCs w:val="0"/>
                <w:color w:val="auto"/>
                <w:kern w:val="2"/>
                <w:sz w:val="24"/>
                <w:szCs w:val="32"/>
                <w:highlight w:val="none"/>
                <w:lang w:val="en-US" w:eastAsia="zh-CN" w:bidi="ar-SA"/>
              </w:rPr>
              <w:t>。建设地点为金所片区、羊街片区及倘甸片区；建设内容及规模包括园内水体绿化3.49公顷、企业厂区绿化40个。</w:t>
            </w:r>
          </w:p>
          <w:p w14:paraId="1D2FDC93">
            <w:pPr>
              <w:pStyle w:val="2"/>
              <w:ind w:firstLine="480" w:firstLineChars="200"/>
              <w:rPr>
                <w:rFonts w:hint="eastAsia" w:ascii="仿宋_GB2312" w:hAnsi="仿宋" w:eastAsia="仿宋_GB2312" w:cs="仿宋"/>
                <w:b w:val="0"/>
                <w:bCs w:val="0"/>
                <w:color w:val="auto"/>
                <w:kern w:val="2"/>
                <w:sz w:val="24"/>
                <w:szCs w:val="32"/>
                <w:highlight w:val="none"/>
                <w:lang w:val="en-US" w:eastAsia="zh-CN" w:bidi="ar-SA"/>
              </w:rPr>
            </w:pPr>
            <w:r>
              <w:rPr>
                <w:rFonts w:hint="eastAsia" w:ascii="仿宋_GB2312" w:hAnsi="仿宋" w:eastAsia="仿宋_GB2312" w:cs="仿宋"/>
                <w:b w:val="0"/>
                <w:bCs w:val="0"/>
                <w:color w:val="auto"/>
                <w:kern w:val="2"/>
                <w:sz w:val="24"/>
                <w:szCs w:val="32"/>
                <w:highlight w:val="none"/>
                <w:lang w:val="en-US" w:eastAsia="zh-CN" w:bidi="ar-SA"/>
              </w:rPr>
              <w:t>2024年计划完成企业厂区绿化10个；</w:t>
            </w:r>
          </w:p>
          <w:p w14:paraId="5C4C4C7F">
            <w:pPr>
              <w:pStyle w:val="2"/>
              <w:ind w:firstLine="480" w:firstLineChars="200"/>
              <w:rPr>
                <w:rFonts w:hint="eastAsia" w:ascii="仿宋_GB2312" w:hAnsi="仿宋" w:eastAsia="仿宋_GB2312" w:cs="仿宋"/>
                <w:b w:val="0"/>
                <w:bCs w:val="0"/>
                <w:color w:val="auto"/>
                <w:kern w:val="2"/>
                <w:sz w:val="24"/>
                <w:szCs w:val="32"/>
                <w:highlight w:val="none"/>
                <w:lang w:val="en-US" w:eastAsia="zh-CN" w:bidi="ar-SA"/>
              </w:rPr>
            </w:pPr>
            <w:r>
              <w:rPr>
                <w:rFonts w:hint="eastAsia" w:ascii="仿宋_GB2312" w:hAnsi="仿宋" w:eastAsia="仿宋_GB2312" w:cs="仿宋"/>
                <w:b w:val="0"/>
                <w:bCs w:val="0"/>
                <w:color w:val="auto"/>
                <w:kern w:val="2"/>
                <w:sz w:val="24"/>
                <w:szCs w:val="32"/>
                <w:highlight w:val="none"/>
                <w:lang w:val="en-US" w:eastAsia="zh-CN" w:bidi="ar-SA"/>
              </w:rPr>
              <w:t>2025年计划完成企业厂区绿化8个；</w:t>
            </w:r>
          </w:p>
          <w:p w14:paraId="08B15FBB">
            <w:pPr>
              <w:pStyle w:val="2"/>
              <w:ind w:firstLine="480" w:firstLineChars="200"/>
              <w:rPr>
                <w:rFonts w:hint="eastAsia" w:ascii="仿宋_GB2312" w:hAnsi="仿宋" w:eastAsia="仿宋_GB2312" w:cs="仿宋"/>
                <w:b w:val="0"/>
                <w:bCs w:val="0"/>
                <w:color w:val="auto"/>
                <w:kern w:val="2"/>
                <w:sz w:val="24"/>
                <w:szCs w:val="32"/>
                <w:highlight w:val="none"/>
                <w:lang w:val="en-US" w:eastAsia="zh-CN" w:bidi="ar-SA"/>
              </w:rPr>
            </w:pPr>
            <w:r>
              <w:rPr>
                <w:rFonts w:hint="eastAsia" w:ascii="仿宋_GB2312" w:hAnsi="仿宋" w:eastAsia="仿宋_GB2312" w:cs="仿宋"/>
                <w:b w:val="0"/>
                <w:bCs w:val="0"/>
                <w:color w:val="auto"/>
                <w:kern w:val="2"/>
                <w:sz w:val="24"/>
                <w:szCs w:val="32"/>
                <w:highlight w:val="none"/>
                <w:lang w:val="en-US" w:eastAsia="zh-CN" w:bidi="ar-SA"/>
              </w:rPr>
              <w:t>2026年计划完成企业厂区绿化11个；</w:t>
            </w:r>
          </w:p>
          <w:p w14:paraId="70E5C2F4">
            <w:pPr>
              <w:pStyle w:val="2"/>
              <w:ind w:firstLine="480" w:firstLineChars="200"/>
              <w:rPr>
                <w:rFonts w:hint="eastAsia" w:ascii="仿宋_GB2312" w:hAnsi="仿宋" w:eastAsia="仿宋_GB2312" w:cs="仿宋"/>
                <w:b w:val="0"/>
                <w:bCs w:val="0"/>
                <w:color w:val="auto"/>
                <w:kern w:val="2"/>
                <w:sz w:val="24"/>
                <w:szCs w:val="32"/>
                <w:highlight w:val="none"/>
                <w:lang w:val="en-US" w:eastAsia="zh-CN" w:bidi="ar-SA"/>
              </w:rPr>
            </w:pPr>
            <w:r>
              <w:rPr>
                <w:rFonts w:hint="eastAsia" w:ascii="仿宋_GB2312" w:hAnsi="仿宋" w:eastAsia="仿宋_GB2312" w:cs="仿宋"/>
                <w:b w:val="0"/>
                <w:bCs w:val="0"/>
                <w:color w:val="auto"/>
                <w:kern w:val="2"/>
                <w:sz w:val="24"/>
                <w:szCs w:val="32"/>
                <w:highlight w:val="none"/>
                <w:lang w:val="en-US" w:eastAsia="zh-CN" w:bidi="ar-SA"/>
              </w:rPr>
              <w:t>2027年计划完成企业厂区绿化9个；</w:t>
            </w:r>
          </w:p>
          <w:p w14:paraId="27E5FB64">
            <w:pPr>
              <w:overflowPunct w:val="0"/>
              <w:spacing w:line="360" w:lineRule="auto"/>
              <w:ind w:firstLine="480" w:firstLineChars="200"/>
              <w:rPr>
                <w:rFonts w:ascii="Times New Roman" w:hAnsi="Times New Roman" w:eastAsia="仿宋_GB2312"/>
                <w:color w:val="auto"/>
                <w:sz w:val="24"/>
                <w:szCs w:val="24"/>
                <w:highlight w:val="none"/>
              </w:rPr>
            </w:pPr>
            <w:r>
              <w:rPr>
                <w:rFonts w:hint="eastAsia" w:ascii="仿宋_GB2312" w:hAnsi="仿宋" w:eastAsia="仿宋_GB2312" w:cs="仿宋"/>
                <w:b w:val="0"/>
                <w:bCs w:val="0"/>
                <w:color w:val="auto"/>
                <w:kern w:val="2"/>
                <w:sz w:val="24"/>
                <w:szCs w:val="32"/>
                <w:highlight w:val="none"/>
                <w:lang w:val="en-US" w:eastAsia="zh-CN" w:bidi="ar-SA"/>
              </w:rPr>
              <w:t>2028年计划完成企业厂区绿化12个。</w:t>
            </w:r>
          </w:p>
        </w:tc>
      </w:tr>
    </w:tbl>
    <w:p w14:paraId="2D0DD81A">
      <w:pPr>
        <w:pStyle w:val="2"/>
        <w:rPr>
          <w:rFonts w:hint="eastAsia"/>
          <w:lang w:val="en-US" w:eastAsia="zh-CN"/>
        </w:rPr>
      </w:pPr>
    </w:p>
    <w:p w14:paraId="47DF21C6">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jc w:val="center"/>
        <w:textAlignment w:val="auto"/>
        <w:rPr>
          <w:rFonts w:hint="eastAsia" w:ascii="Times New Roman" w:hAnsi="Times New Roman" w:eastAsia="宋体" w:cs="Times New Roman"/>
          <w:b/>
          <w:kern w:val="0"/>
          <w:sz w:val="32"/>
          <w:szCs w:val="32"/>
          <w:lang w:val="en-US" w:eastAsia="zh-CN"/>
        </w:rPr>
      </w:pPr>
      <w:r>
        <w:rPr>
          <w:rFonts w:hint="eastAsia" w:ascii="Times New Roman" w:hAnsi="Times New Roman" w:eastAsia="宋体" w:cs="Times New Roman"/>
          <w:b/>
          <w:kern w:val="0"/>
          <w:sz w:val="32"/>
          <w:szCs w:val="32"/>
          <w:lang w:val="en-US" w:eastAsia="zh-CN"/>
        </w:rPr>
        <w:t>第八节  绿美景区</w:t>
      </w:r>
    </w:p>
    <w:p w14:paraId="73D27793">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jc w:val="both"/>
        <w:textAlignment w:val="auto"/>
        <w:outlineLvl w:val="2"/>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一、建设目标</w:t>
      </w:r>
    </w:p>
    <w:p w14:paraId="3D85AF75">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按照巩固、提升两个层级有序推进景区绿化美化。根据旅游景区质量等级划分与评定标准及《绿色旅游景区》(LB/T015一2011)行业标准，在保持好现有旅游资源的基础上，根据景区自然环境进行科学合理的绿化配置，形成适合当地自然条件，品种丰富、具有观赏性的景观绿化效果。在游客中心、游步道、停车场等场地增绿添美，兼顾观花、观果、观叶等观赏性强的地被植物，突出景区整体生物多样性。高等级或具备条件的景区，应当种植体现寻甸生物多样性的珍稀物种，提升景区景观质量和资源吸引力。</w:t>
      </w:r>
    </w:p>
    <w:p w14:paraId="6424F87F">
      <w:pPr>
        <w:pStyle w:val="2"/>
        <w:ind w:firstLine="643" w:firstLineChars="200"/>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二、建设内容</w:t>
      </w:r>
    </w:p>
    <w:p w14:paraId="00073A4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一是自然生态型景区规划建设，根据景区自然环境进行科学合理的绿化配置，以管理服务区，游览车道、步道、观景平台、休憩场地为重点，充分挖掘绿化潜力，做到应种尽种、应绿尽绿。以种植适应当地气候、土壤条件的乡土树种为主，选用维护量小、抗逆性强、病虫害少，对人体无害，地域特色鲜明的观花、观果、芳香植物为主，突出景区整体生物多样性。将人工植物景观与自然植被融为一体，彰显绿美景区的生态魅力。加强对景区外部道路、附近村寨、山体、水系绿化美化提升工作，在游客可视范围内营造大美景区整体形象。</w:t>
      </w:r>
    </w:p>
    <w:p w14:paraId="39742DF5">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二是历史文化型景区规划建设，应结合不同历史文化型景区的特点，将民族文化、历史文化、时尚文化与生态景观高度融合。推进乡土树种、乡土元素、乡土景观进景区，展现寻甸珍奇动植物和民族文化多样性，普及人与自然和谐相处的习近平生态文明思想，对红色文化景区的植物配置进行严格把关，绿化美化目标与红色精神传承融合，促进红色文化景区的教育宣传作用。</w:t>
      </w:r>
    </w:p>
    <w:tbl>
      <w:tblPr>
        <w:tblStyle w:val="10"/>
        <w:tblW w:w="9060" w:type="dxa"/>
        <w:tblInd w:w="0" w:type="dxa"/>
        <w:tblLayout w:type="fixed"/>
        <w:tblCellMar>
          <w:top w:w="0" w:type="dxa"/>
          <w:left w:w="108" w:type="dxa"/>
          <w:bottom w:w="0" w:type="dxa"/>
          <w:right w:w="108" w:type="dxa"/>
        </w:tblCellMar>
      </w:tblPr>
      <w:tblGrid>
        <w:gridCol w:w="9060"/>
      </w:tblGrid>
      <w:tr w14:paraId="54328214">
        <w:tblPrEx>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tcPr>
          <w:p w14:paraId="69C42D90">
            <w:pPr>
              <w:overflowPunct w:val="0"/>
              <w:spacing w:line="578" w:lineRule="exact"/>
              <w:ind w:firstLine="562" w:firstLineChars="200"/>
              <w:jc w:val="center"/>
              <w:rPr>
                <w:rFonts w:hint="default" w:ascii="Times New Roman" w:hAnsi="Times New Roman" w:eastAsia="仿宋_GB2312"/>
                <w:b/>
                <w:bCs/>
                <w:sz w:val="28"/>
                <w:szCs w:val="28"/>
                <w:lang w:val="en-US" w:eastAsia="zh-CN"/>
              </w:rPr>
            </w:pPr>
            <w:r>
              <w:rPr>
                <w:rFonts w:ascii="Times New Roman" w:hAnsi="Times New Roman" w:eastAsia="仿宋_GB2312"/>
                <w:b/>
                <w:bCs/>
                <w:sz w:val="28"/>
                <w:szCs w:val="28"/>
                <w:highlight w:val="none"/>
              </w:rPr>
              <w:t>专栏</w:t>
            </w:r>
            <w:r>
              <w:rPr>
                <w:rFonts w:hint="eastAsia" w:ascii="Times New Roman" w:hAnsi="Times New Roman" w:eastAsia="仿宋_GB2312"/>
                <w:b/>
                <w:bCs/>
                <w:sz w:val="28"/>
                <w:szCs w:val="28"/>
                <w:highlight w:val="none"/>
                <w:lang w:val="en-US" w:eastAsia="zh-CN"/>
              </w:rPr>
              <w:t xml:space="preserve">9 </w:t>
            </w:r>
            <w:r>
              <w:rPr>
                <w:rFonts w:hint="eastAsia" w:ascii="Times New Roman" w:hAnsi="Times New Roman" w:eastAsia="仿宋_GB2312"/>
                <w:b/>
                <w:bCs/>
                <w:sz w:val="28"/>
                <w:szCs w:val="28"/>
                <w:highlight w:val="none"/>
              </w:rPr>
              <w:t xml:space="preserve"> </w:t>
            </w:r>
            <w:r>
              <w:rPr>
                <w:rFonts w:hint="eastAsia" w:ascii="仿宋_GB2312" w:hAnsi="仿宋_GB2312" w:eastAsia="仿宋_GB2312" w:cs="仿宋_GB2312"/>
                <w:b w:val="0"/>
                <w:bCs w:val="0"/>
                <w:kern w:val="2"/>
                <w:sz w:val="32"/>
                <w:szCs w:val="32"/>
                <w:highlight w:val="none"/>
                <w:lang w:val="en-US" w:eastAsia="zh-CN" w:bidi="ar-SA"/>
              </w:rPr>
              <w:t>实施内容</w:t>
            </w:r>
          </w:p>
        </w:tc>
      </w:tr>
      <w:tr w14:paraId="65BE38D4">
        <w:tblPrEx>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tcPr>
          <w:p w14:paraId="5B2C601E">
            <w:pPr>
              <w:pStyle w:val="2"/>
              <w:ind w:firstLine="482" w:firstLineChars="200"/>
              <w:rPr>
                <w:rFonts w:hint="eastAsia" w:ascii="仿宋_GB2312" w:hAnsi="仿宋" w:eastAsia="仿宋_GB2312" w:cs="仿宋"/>
                <w:b w:val="0"/>
                <w:bCs w:val="0"/>
                <w:color w:val="auto"/>
                <w:kern w:val="2"/>
                <w:sz w:val="24"/>
                <w:szCs w:val="32"/>
                <w:highlight w:val="none"/>
                <w:lang w:val="en-US" w:eastAsia="zh-CN" w:bidi="ar-SA"/>
              </w:rPr>
            </w:pPr>
            <w:r>
              <w:rPr>
                <w:rFonts w:hint="eastAsia" w:ascii="仿宋_GB2312" w:hAnsi="仿宋" w:eastAsia="仿宋_GB2312" w:cs="仿宋"/>
                <w:b/>
                <w:bCs/>
                <w:color w:val="auto"/>
                <w:kern w:val="2"/>
                <w:sz w:val="24"/>
                <w:szCs w:val="32"/>
                <w:highlight w:val="none"/>
                <w:lang w:val="en-US" w:eastAsia="zh-CN" w:bidi="ar-SA"/>
              </w:rPr>
              <w:t>凤龙湾绿美景区项目。</w:t>
            </w:r>
            <w:r>
              <w:rPr>
                <w:rFonts w:hint="eastAsia" w:ascii="仿宋_GB2312" w:hAnsi="仿宋" w:eastAsia="仿宋_GB2312" w:cs="仿宋"/>
                <w:b w:val="0"/>
                <w:bCs w:val="0"/>
                <w:color w:val="auto"/>
                <w:kern w:val="2"/>
                <w:sz w:val="24"/>
                <w:szCs w:val="32"/>
                <w:highlight w:val="none"/>
                <w:lang w:val="en-US" w:eastAsia="zh-CN" w:bidi="ar-SA"/>
              </w:rPr>
              <w:t>建设实施核心区、小坝者片区、南入口片区园、百果园片区、星空营地片区、萌宠动物园、松鼠乐园片区、莲花岛片区等17个片区的生态修复和绿化美化工程。</w:t>
            </w:r>
          </w:p>
          <w:p w14:paraId="22814698">
            <w:pPr>
              <w:pStyle w:val="2"/>
              <w:ind w:firstLine="482" w:firstLineChars="200"/>
              <w:rPr>
                <w:rFonts w:hint="eastAsia" w:ascii="仿宋_GB2312" w:hAnsi="仿宋" w:eastAsia="仿宋_GB2312" w:cs="仿宋"/>
                <w:b w:val="0"/>
                <w:bCs w:val="0"/>
                <w:color w:val="auto"/>
                <w:kern w:val="2"/>
                <w:sz w:val="24"/>
                <w:szCs w:val="32"/>
                <w:highlight w:val="none"/>
                <w:lang w:val="en-US" w:eastAsia="zh-CN" w:bidi="ar-SA"/>
              </w:rPr>
            </w:pPr>
            <w:r>
              <w:rPr>
                <w:rFonts w:hint="eastAsia" w:ascii="仿宋_GB2312" w:hAnsi="仿宋" w:eastAsia="仿宋_GB2312" w:cs="仿宋"/>
                <w:b/>
                <w:bCs/>
                <w:color w:val="auto"/>
                <w:kern w:val="2"/>
                <w:sz w:val="24"/>
                <w:szCs w:val="32"/>
                <w:highlight w:val="none"/>
                <w:lang w:val="en-US" w:eastAsia="zh-CN" w:bidi="ar-SA"/>
              </w:rPr>
              <w:t>一丘田生态农庄绿美景区项目</w:t>
            </w:r>
            <w:r>
              <w:rPr>
                <w:rFonts w:hint="eastAsia" w:ascii="仿宋_GB2312" w:hAnsi="仿宋" w:eastAsia="仿宋_GB2312" w:cs="仿宋"/>
                <w:b w:val="0"/>
                <w:bCs w:val="0"/>
                <w:color w:val="auto"/>
                <w:kern w:val="2"/>
                <w:sz w:val="24"/>
                <w:szCs w:val="32"/>
                <w:highlight w:val="none"/>
                <w:lang w:val="en-US" w:eastAsia="zh-CN" w:bidi="ar-SA"/>
              </w:rPr>
              <w:t>。景区将以高原现代农业发展为基础，以生态休闲文旅发展为驱动、以森林康养社区发展为提升，围绕森林康养“6+1”理论，把现代化农业、休闲旅游、社区合作、研学教育基地等融为一体的田园综合体。通过花卉旅游、花卉产业衍生品、康养产业、特色民宿、乡村旅游、乡村振兴、民族文化产业等，促进一二三产业融合发展。</w:t>
            </w:r>
          </w:p>
          <w:p w14:paraId="4898D3CA">
            <w:pPr>
              <w:pStyle w:val="2"/>
              <w:ind w:firstLine="482" w:firstLineChars="200"/>
              <w:rPr>
                <w:rFonts w:hint="eastAsia" w:ascii="仿宋_GB2312" w:hAnsi="仿宋" w:eastAsia="仿宋_GB2312" w:cs="仿宋"/>
                <w:b w:val="0"/>
                <w:bCs w:val="0"/>
                <w:color w:val="auto"/>
                <w:kern w:val="2"/>
                <w:sz w:val="24"/>
                <w:szCs w:val="32"/>
                <w:highlight w:val="none"/>
                <w:lang w:val="en-US" w:eastAsia="zh-CN" w:bidi="ar-SA"/>
              </w:rPr>
            </w:pPr>
            <w:r>
              <w:rPr>
                <w:rFonts w:hint="eastAsia" w:ascii="仿宋_GB2312" w:hAnsi="仿宋" w:eastAsia="仿宋_GB2312" w:cs="仿宋"/>
                <w:b/>
                <w:bCs/>
                <w:color w:val="auto"/>
                <w:kern w:val="2"/>
                <w:sz w:val="24"/>
                <w:szCs w:val="32"/>
                <w:highlight w:val="none"/>
                <w:lang w:val="en-US" w:eastAsia="zh-CN" w:bidi="ar-SA"/>
              </w:rPr>
              <w:t>花道人间绿美景区项目</w:t>
            </w:r>
            <w:r>
              <w:rPr>
                <w:rFonts w:hint="eastAsia" w:ascii="仿宋_GB2312" w:hAnsi="仿宋" w:eastAsia="仿宋_GB2312" w:cs="仿宋"/>
                <w:b w:val="0"/>
                <w:bCs w:val="0"/>
                <w:color w:val="auto"/>
                <w:kern w:val="2"/>
                <w:sz w:val="24"/>
                <w:szCs w:val="32"/>
                <w:highlight w:val="none"/>
                <w:lang w:val="en-US" w:eastAsia="zh-CN" w:bidi="ar-SA"/>
              </w:rPr>
              <w:t>。在现有281亩的大型花田景观基础上，补绿植绿，增添高品质绿化景观和文化小品景观，打造集生态、康养、观光、体验为一体的绿美景区。</w:t>
            </w:r>
          </w:p>
          <w:p w14:paraId="1337B812">
            <w:pPr>
              <w:pStyle w:val="2"/>
              <w:ind w:firstLine="480" w:firstLineChars="200"/>
              <w:rPr>
                <w:rFonts w:hint="eastAsia" w:ascii="仿宋_GB2312" w:hAnsi="仿宋" w:eastAsia="仿宋_GB2312" w:cs="仿宋"/>
                <w:b w:val="0"/>
                <w:bCs w:val="0"/>
                <w:color w:val="auto"/>
                <w:kern w:val="2"/>
                <w:sz w:val="24"/>
                <w:szCs w:val="32"/>
                <w:highlight w:val="none"/>
                <w:lang w:val="en-US" w:eastAsia="zh-CN" w:bidi="ar-SA"/>
              </w:rPr>
            </w:pPr>
            <w:r>
              <w:rPr>
                <w:rFonts w:hint="eastAsia" w:ascii="仿宋_GB2312" w:hAnsi="仿宋" w:eastAsia="仿宋_GB2312" w:cs="仿宋"/>
                <w:b w:val="0"/>
                <w:bCs w:val="0"/>
                <w:color w:val="auto"/>
                <w:kern w:val="2"/>
                <w:sz w:val="24"/>
                <w:szCs w:val="32"/>
                <w:highlight w:val="none"/>
                <w:lang w:val="en-US" w:eastAsia="zh-CN" w:bidi="ar-SA"/>
              </w:rPr>
              <w:t>依托多彩的民族风情、丰富的历史文化景观、良好的生态气候环境，通过旅游转型升级发展，与康体运动、养生融合发展，打造“红色寻甸”“山水寻甸”品牌，争取项目及投资。</w:t>
            </w:r>
          </w:p>
          <w:p w14:paraId="7F87F528">
            <w:pPr>
              <w:pStyle w:val="2"/>
              <w:ind w:firstLine="480" w:firstLineChars="200"/>
            </w:pPr>
            <w:r>
              <w:rPr>
                <w:rFonts w:hint="eastAsia" w:ascii="仿宋_GB2312" w:hAnsi="仿宋" w:eastAsia="仿宋_GB2312" w:cs="仿宋"/>
                <w:b w:val="0"/>
                <w:bCs w:val="0"/>
                <w:color w:val="auto"/>
                <w:kern w:val="2"/>
                <w:sz w:val="24"/>
                <w:szCs w:val="32"/>
                <w:highlight w:val="none"/>
                <w:lang w:val="en-US" w:eastAsia="zh-CN" w:bidi="ar-SA"/>
              </w:rPr>
              <w:t>提升休闲度假项目的内涵及服务内容，培育一批集聚效应显著、文化底蕴深厚、建筑风格鲜明、基础设施完备、市场管理规范、拉动消费明显的地方文化旅游项目。</w:t>
            </w:r>
          </w:p>
        </w:tc>
      </w:tr>
    </w:tbl>
    <w:p w14:paraId="7132C3F9">
      <w:pPr>
        <w:pStyle w:val="2"/>
        <w:jc w:val="center"/>
        <w:rPr>
          <w:rFonts w:hint="eastAsia"/>
          <w:lang w:val="en-US" w:eastAsia="zh-CN"/>
        </w:rPr>
      </w:pPr>
    </w:p>
    <w:p w14:paraId="74AA2C7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center"/>
        <w:textAlignment w:val="auto"/>
        <w:outlineLvl w:val="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第四章 美丽品质提升</w:t>
      </w:r>
    </w:p>
    <w:p w14:paraId="588870FB">
      <w:pPr>
        <w:pStyle w:val="2"/>
        <w:keepNext w:val="0"/>
        <w:keepLines w:val="0"/>
        <w:pageBreakBefore w:val="0"/>
        <w:widowControl w:val="0"/>
        <w:kinsoku/>
        <w:wordWrap/>
        <w:topLinePunct w:val="0"/>
        <w:autoSpaceDE/>
        <w:autoSpaceDN/>
        <w:bidi w:val="0"/>
        <w:adjustRightInd/>
        <w:snapToGrid/>
        <w:spacing w:before="0"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美丽品质提升工程由植物美、色彩美、结构美、季相美、壮丽美和特色美等指标构成。这些指标根据绿地美的一般规律构建，充分融入美丽元素，共同建构寻甸特色美。美丽品质是绿美寻甸的精华，是绿美寻甸实现的关键。</w:t>
      </w:r>
    </w:p>
    <w:p w14:paraId="01D14211">
      <w:pPr>
        <w:pStyle w:val="2"/>
        <w:numPr>
          <w:ilvl w:val="0"/>
          <w:numId w:val="0"/>
        </w:numPr>
        <w:ind w:leftChars="200"/>
        <w:rPr>
          <w:rFonts w:hint="eastAsia"/>
          <w:lang w:val="en-US" w:eastAsia="zh-CN"/>
        </w:rPr>
      </w:pPr>
    </w:p>
    <w:p w14:paraId="50C51FCF">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第一节  植物美</w:t>
      </w:r>
    </w:p>
    <w:p w14:paraId="4D3E03C6">
      <w:pPr>
        <w:pStyle w:val="2"/>
        <w:keepNext w:val="0"/>
        <w:keepLines w:val="0"/>
        <w:pageBreakBefore w:val="0"/>
        <w:widowControl w:val="0"/>
        <w:kinsoku/>
        <w:wordWrap/>
        <w:topLinePunct w:val="0"/>
        <w:autoSpaceDE/>
        <w:autoSpaceDN/>
        <w:bidi w:val="0"/>
        <w:adjustRightInd/>
        <w:snapToGrid/>
        <w:spacing w:before="0"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增加植物绿量的同时，积极开展生物多样性进城工程，推进乡土树种和珍贵树种的引种培育，从树种多样性提升、乡土树种广泛应用、功能性植物应用、特色植物园建设等多个方面，充分发挥和展示不同植物的景观效果，进一步展现寻甸植物之美。</w:t>
      </w:r>
    </w:p>
    <w:p w14:paraId="7710A38C">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树种多样性提升。</w:t>
      </w:r>
      <w:r>
        <w:rPr>
          <w:rFonts w:hint="eastAsia" w:ascii="仿宋_GB2312" w:hAnsi="仿宋_GB2312" w:eastAsia="仿宋_GB2312" w:cs="仿宋_GB2312"/>
          <w:sz w:val="32"/>
          <w:szCs w:val="32"/>
          <w:lang w:val="en-US" w:eastAsia="zh-CN"/>
        </w:rPr>
        <w:t>发挥寻甸县域内丰富的植物资源优势，在城区重点利用新建和改造提升的公园、社区和道路绿地，加大乡土树种、珍贵树种和观花、色叶、观型、观果，芳香树种使用。注重乔灌搭配，增加附生植物和藤本植物的种类，形成乔、灌、草、膝合理搭配、层次多样的植物群落景观。对建成区树种进行合理调配和控制，保证城区单一乔木树种的栽植数量不超过乔木总数量的20%。通过合理的复层植被绿化展现植物群落在颜色、形状、质地、线条以及配比等方面的多样性，保证景观整体效果。以寻甸县城镇建成区为建设范围，在滨河公园、社区公园和游园新建和提升中，增加生态植物景观，打造城区“林草相依”的地域特色；在专类公园、居住区和学校绿地建设中，引入观赏价值较高的珍稀树种，并做好挂牌科普；在道路绿地建设中，补植高大常绿乔木和下层灌木，提升道路植物识别度和特色。</w:t>
      </w:r>
    </w:p>
    <w:p w14:paraId="7EBC89DF">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乡土树种调控。</w:t>
      </w:r>
      <w:r>
        <w:rPr>
          <w:rFonts w:hint="eastAsia" w:ascii="仿宋_GB2312" w:hAnsi="仿宋_GB2312" w:eastAsia="仿宋_GB2312" w:cs="仿宋_GB2312"/>
          <w:sz w:val="32"/>
          <w:szCs w:val="32"/>
          <w:lang w:val="en-US" w:eastAsia="zh-CN"/>
        </w:rPr>
        <w:t>乡土树种具有物种多样性、环境适应性以及群落稳定性等优势，也是城市植物景观特色的具体体现，有利于增强地方植物景观的标识性、展示地域文化和乡土景观风貌。因此，要充分利用好乡土树种，发挥乡土树种的应用价值，构建具有寻甸乡土特色的园林景观。优先选用成本低、病虫害少，适应性强，并能体现鲜明特色的乡土树种和花卉。优化城乡苗圃基地的树种类别，在城区公园、社区、道路等所有绿地的新建和提升改造中，都要强力调控乡土植物的种植比例，通过最大限度使用乡土植物，构建和营造设计合理的近自然生态群落,确定地域特色代表植物,并加大在城市绿化美化中的应用。</w:t>
      </w:r>
    </w:p>
    <w:p w14:paraId="42B4392C">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功能性植物应用。</w:t>
      </w:r>
      <w:r>
        <w:rPr>
          <w:rFonts w:hint="eastAsia" w:ascii="仿宋_GB2312" w:hAnsi="仿宋_GB2312" w:eastAsia="仿宋_GB2312" w:cs="仿宋_GB2312"/>
          <w:sz w:val="32"/>
          <w:szCs w:val="32"/>
          <w:lang w:val="en-US" w:eastAsia="zh-CN"/>
        </w:rPr>
        <w:t>充分发挥城区绿地在城市生物多样性保护和提升中的作用，植物选择时，在保证提升树种多样性、选择乡土和珍稀树种进城等前提下，应进一步发掘植物在生物多样性提升中的功能价值，合理选用有引鸟、留鸟、引蝶等功能性的植物类型，如坚果和浆果类的挂果树种、蜜源植物等，增加城市鸟类、昆虫等动物多样性，提升城市生物多样性景观。在城市公园、社区绿地中选择环境适宜场地，打造引鸟、留鸟、引蝶植物群落，通过改造植物群落的树种组成和结构，有效提高城乡绿地的鸟类和蝶类多样性水平，为栖息、觅食、隐蔽、筑巢与繁殖提供树种保障。考虑不同动物或昆虫生活习性的差异性，鸟类、蝴蝶或其他动物多样性提升群落，应独立设置，总体上鸟类提升群落采用多种高大乔木与多种灌木交叉的绿化模式，形成鲜明的植物群落层次，长期保持稳定、多物种长期共存的复层、立体植物群落；蝶类提升群落采用蜜源和开花植物为主的灌木种植，并粗放管理。</w:t>
      </w:r>
    </w:p>
    <w:p w14:paraId="00AE8124">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特色植物园建设。</w:t>
      </w:r>
      <w:r>
        <w:rPr>
          <w:rFonts w:hint="eastAsia" w:ascii="仿宋_GB2312" w:hAnsi="仿宋_GB2312" w:eastAsia="仿宋_GB2312" w:cs="仿宋_GB2312"/>
          <w:sz w:val="32"/>
          <w:szCs w:val="32"/>
          <w:lang w:val="en-US" w:eastAsia="zh-CN"/>
        </w:rPr>
        <w:t>目前，寻甸县暂无植物园，植物园可承载生态植被、药用植物和功能性花卉收集、科普、研究、展示等多种功能。规划建议在县域城郊，探索建设1个独立的特色植物园，以乡土树种、珍贵树种、特有野生观赏植物、民族植物和药用植物为主。</w:t>
      </w:r>
    </w:p>
    <w:p w14:paraId="1BE4CF2B">
      <w:pPr>
        <w:rPr>
          <w:rFonts w:hint="eastAsia"/>
          <w:lang w:val="en-US" w:eastAsia="zh-CN"/>
        </w:rPr>
      </w:pPr>
    </w:p>
    <w:p w14:paraId="3A678698">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jc w:val="center"/>
        <w:textAlignment w:val="auto"/>
        <w:rPr>
          <w:rFonts w:hint="eastAsia" w:ascii="仿宋_GB2312" w:hAnsi="仿宋_GB2312" w:eastAsia="仿宋_GB2312" w:cs="仿宋_GB2312"/>
          <w:b/>
          <w:bCs/>
          <w:sz w:val="32"/>
          <w:szCs w:val="32"/>
          <w:lang w:val="en-US" w:eastAsia="zh-CN"/>
        </w:rPr>
      </w:pPr>
      <w:r>
        <w:rPr>
          <w:rFonts w:hint="eastAsia" w:ascii="宋体" w:hAnsi="宋体" w:eastAsia="宋体" w:cs="宋体"/>
          <w:b/>
          <w:bCs/>
          <w:sz w:val="32"/>
          <w:szCs w:val="32"/>
          <w:lang w:val="en-US" w:eastAsia="zh-CN"/>
        </w:rPr>
        <w:t>第二节  色彩美</w:t>
      </w:r>
    </w:p>
    <w:p w14:paraId="6DA4F865">
      <w:pPr>
        <w:pStyle w:val="2"/>
        <w:keepNext w:val="0"/>
        <w:keepLines w:val="0"/>
        <w:pageBreakBefore w:val="0"/>
        <w:widowControl w:val="0"/>
        <w:kinsoku/>
        <w:wordWrap/>
        <w:topLinePunct w:val="0"/>
        <w:autoSpaceDE/>
        <w:autoSpaceDN/>
        <w:bidi w:val="0"/>
        <w:adjustRightInd/>
        <w:snapToGrid/>
        <w:spacing w:before="0"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一城一特色、一街一景观、一园一色彩”的原则，充分利用自然生态资源塑造城市特色，以乡土树种为主，搭配色叶、开花灌木地被、攀缘、附生植物，因地制宜种植绿化苗木，增加开花、色叶植物以及具有民族文化风情的景观小品、生物多样性标识标牌，打造具有生物多样的生态景观。城市景观的色彩提升，主要围绕城市第一重面山山体景观营造、城市公园的色彩建设、城市重要节点景观提升来展开，合理利用较高色彩辨识度的树种和花卉，着力推进城市色彩度提升和人居环境的改善。乡村环境改善要以美丽乡村建设为契机，重点利用好进村道路两侧、公共绿地、居民庭院、荒废地、闲散地空间，形成具有田园风情的独特乡村色彩植物景观。</w:t>
      </w:r>
    </w:p>
    <w:p w14:paraId="6B77B1D9">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多彩面山。</w:t>
      </w:r>
      <w:r>
        <w:rPr>
          <w:rFonts w:hint="eastAsia" w:ascii="仿宋_GB2312" w:hAnsi="仿宋_GB2312" w:eastAsia="仿宋_GB2312" w:cs="仿宋_GB2312"/>
          <w:sz w:val="32"/>
          <w:szCs w:val="32"/>
          <w:lang w:val="en-US" w:eastAsia="zh-CN"/>
        </w:rPr>
        <w:t>城市面山是居民“望得见山，看得见水”的重要山体资源，是城市景观提升重要的生态背景，至关重要。规划以城区周边第一重面山为重点，选择城市出入口。滨水沿岸、公园景点附近的面山为改造重点，开展美化、彩化等以绿化景观提升为主的森林多目标经营建设。通过添置彩叶树种，优化林相结构，进行乔灌搭配针阔混交，丰富森林类型，提高森林质量和生态服务功能，提升森林景观效果，实现四季有景。推进生态树种、乡土树种、珍贵树种进城，引种植物补充，以面山乔木层树种补植、替换为重点，进一步发掘本土木本观花乔木树种。以红色、紫色、粉色为基调，打造具有季相变化的多彩面山，形成春季观花、夏季观果、秋季观色叶的面山景观，打造网红面山景点。彩色植物种植面积比例控制在30%-60%,每公顷色叶、观花等彩色树种不少于20种，可以连片种植，也可穿插散点种植形成不同的彩色景观。</w:t>
      </w:r>
    </w:p>
    <w:p w14:paraId="2A78C276">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彩色公园。</w:t>
      </w:r>
      <w:r>
        <w:rPr>
          <w:rFonts w:hint="eastAsia" w:ascii="仿宋_GB2312" w:hAnsi="仿宋_GB2312" w:eastAsia="仿宋_GB2312" w:cs="仿宋_GB2312"/>
          <w:sz w:val="32"/>
          <w:szCs w:val="32"/>
          <w:lang w:val="en-US" w:eastAsia="zh-CN"/>
        </w:rPr>
        <w:t>彩色公园是以城区河滨公园、社区公园、专类公园和游园建设的基础上，打造彩色植物景观，以观花、色叶和芳香的乡土树种为主，形成集地方特色、民族文化、居民需求为一体的具有色彩景观优势的公园。规划结合城区公园绿地建设和提升改造，营造不同的生态景观生境，展示多种生态植物，丰富植物多样性，创造不同垂直层次的植物景观。利用乔木、色叶和观花灌木及具有地域特色的众多花卉草本，提升公园植物景观环境，打造具有显著寻甸特色的优质公园，形成具有较大规模的花海、彩色节点和彩色廊道景观，服务本地居民和旅游人群。</w:t>
      </w:r>
    </w:p>
    <w:p w14:paraId="423EAB19">
      <w:pPr>
        <w:pStyle w:val="2"/>
        <w:keepNext w:val="0"/>
        <w:keepLines w:val="0"/>
        <w:pageBreakBefore w:val="0"/>
        <w:widowControl w:val="0"/>
        <w:kinsoku/>
        <w:wordWrap/>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五彩节点。</w:t>
      </w:r>
      <w:r>
        <w:rPr>
          <w:rFonts w:hint="eastAsia" w:ascii="仿宋_GB2312" w:hAnsi="仿宋_GB2312" w:eastAsia="仿宋_GB2312" w:cs="仿宋_GB2312"/>
          <w:sz w:val="32"/>
          <w:szCs w:val="32"/>
          <w:lang w:val="en-US" w:eastAsia="zh-CN"/>
        </w:rPr>
        <w:t>除进行彩色公园建设外，在其余城市公园中，要结合植物更新和提升改造，大力开展五彩景观节点建设。深度挖掘本土优质的彩色观赏植物，创造红粉、黄橙、蓝紫、白灰、绿等5类彩色植物，形成“五彩节点、绿满花飘”的景观氛围。在城市人流量集中的口袋公园和市民公园，要积极进行色彩植物的补植，丰富居民的日常游憩体验，使公众从“出门见绿”的需求，提高到“出门有彩”的美好愿景。城区公园植物景观色彩提升常态化开展,着力打造具有丰富季相色彩的景观节点，分城市分区域建设春夏秋冬城市四季特色植物景观。</w:t>
      </w:r>
    </w:p>
    <w:p w14:paraId="18C15F40">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缤纷地被。</w:t>
      </w:r>
      <w:r>
        <w:rPr>
          <w:rFonts w:hint="eastAsia" w:ascii="仿宋_GB2312" w:hAnsi="仿宋_GB2312" w:eastAsia="仿宋_GB2312" w:cs="仿宋_GB2312"/>
          <w:sz w:val="32"/>
          <w:szCs w:val="32"/>
          <w:lang w:val="en-US" w:eastAsia="zh-CN"/>
        </w:rPr>
        <w:t>以新建道路和城区主干道景观提升为契机，构建绿美寻甸四时有彩，彩彩各异的缤纷骨架。按照五彩斑斓、色系丰富、体量适宜、特色突出的原则，推广观花、色叶地被植物使用50种以上，通过多彩的花卉、藤本、观花和彩叶灌木、地被和花境广泛应用、因时因地配置，整体上呈现绿美寻甸的缤纷之美。对重要街道和节点彩化方案进行专业设计，落实花卉品种和图案色彩搭配，打造大色块、复合式花道街景，突出城区景观色彩的冲击力。打造出“沉浸式”绿化空间休闲体验，增强园林服务效能，让市民畅享出门见绿又能游玩的高品质生活。同时还可结合节庆日，建设花坛花镜，丰富城市绿地色彩景观；在街边或林下利用花坛、花钵种植应时鲜花，增加趣味性和色彩感。</w:t>
      </w:r>
    </w:p>
    <w:p w14:paraId="0269A717">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靓丽田园。</w:t>
      </w:r>
      <w:r>
        <w:rPr>
          <w:rFonts w:hint="eastAsia" w:ascii="仿宋_GB2312" w:hAnsi="仿宋_GB2312" w:eastAsia="仿宋_GB2312" w:cs="仿宋_GB2312"/>
          <w:sz w:val="32"/>
          <w:szCs w:val="32"/>
          <w:lang w:val="en-US" w:eastAsia="zh-CN"/>
        </w:rPr>
        <w:t>以坝区村寨田园风光为背景，在村庄、集镇道路两侧、居民庭园和村内可绿化区域开展以色彩树种及水果树种为主的绿化工作使用高大、生长期长、有一定经济价值和观赏价值的树种，丰富绿化形式，提高树种使用多样性，增加乔木与灌木、常绿树与落叶树的搭配。充分利用乡土树木品种和常见的花草，适当在庭园裁植爬藤植物，保护当地风俗和民族特色，发挥村民共建共养的主体作用。以美丽乡村为基础，丰富乡村景观类型，形成风景独特、风情浓郁的靓丽田园。</w:t>
      </w:r>
    </w:p>
    <w:p w14:paraId="520EC539">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第三节  季相美</w:t>
      </w:r>
    </w:p>
    <w:p w14:paraId="10A91314">
      <w:pPr>
        <w:pStyle w:val="2"/>
        <w:keepNext w:val="0"/>
        <w:keepLines w:val="0"/>
        <w:pageBreakBefore w:val="0"/>
        <w:widowControl w:val="0"/>
        <w:kinsoku/>
        <w:wordWrap/>
        <w:topLinePunct w:val="0"/>
        <w:autoSpaceDE/>
        <w:autoSpaceDN/>
        <w:bidi w:val="0"/>
        <w:adjustRightInd/>
        <w:snapToGrid/>
        <w:spacing w:before="0"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城区道路绿化提升为契机，打造季相明显，色彩鲜明的开花植物，林荫道路以观花植物打造季相景观，采用不同花期、不同花色的开花植物进行配置，重点在城市道路绿地中营造季相景观打造四季观花大道,和季节性不同色彩为主题的彩色大道，提升公众日常出行中的季相观赏与城市记忆。</w:t>
      </w:r>
    </w:p>
    <w:p w14:paraId="535A773F">
      <w:pPr>
        <w:pStyle w:val="2"/>
        <w:keepNext w:val="0"/>
        <w:keepLines w:val="0"/>
        <w:pageBreakBefore w:val="0"/>
        <w:widowControl w:val="0"/>
        <w:kinsoku/>
        <w:wordWrap/>
        <w:topLinePunct w:val="0"/>
        <w:autoSpaceDE/>
        <w:autoSpaceDN/>
        <w:bidi w:val="0"/>
        <w:adjustRightInd/>
        <w:snapToGrid/>
        <w:spacing w:before="0"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城区常用绿化开花植物进行梳理，按照红、黄、紫、白、粉等5种色彩的开花植物进行分类，并进一步根据开花的季节进行调控。形成2类具有观赏性花卉独特色彩的季相美景观大道，道路景观植物都要以乔灌草复合结构为主，形成高中低不同层次的色彩，以绿色植物为本底，开花植物采用行列、丛植、单株等配置方式，形成沿路皆有季相色彩的景观。一类是四季景观大道，要求一年四季皆有开花植物，形成花开不断的景观效果；另一类是五色景观大道，分别选取红、黄、紫、白、粉作为色彩，各打造一条景观路，要求汇集单一色彩的乔灌草本开花植物，不同花期的同色植物共同构建出道路的独特色彩,提升道路的标志性,打造网红道路。</w:t>
      </w:r>
    </w:p>
    <w:p w14:paraId="27E84C6A">
      <w:pPr>
        <w:pStyle w:val="2"/>
        <w:keepNext w:val="0"/>
        <w:keepLines w:val="0"/>
        <w:pageBreakBefore w:val="0"/>
        <w:widowControl w:val="0"/>
        <w:kinsoku/>
        <w:wordWrap/>
        <w:topLinePunct w:val="0"/>
        <w:autoSpaceDE/>
        <w:autoSpaceDN/>
        <w:bidi w:val="0"/>
        <w:adjustRightInd/>
        <w:snapToGrid/>
        <w:spacing w:before="0" w:line="560" w:lineRule="exact"/>
        <w:ind w:leftChars="0" w:firstLine="643" w:firstLineChars="2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第四节 特色美</w:t>
      </w:r>
    </w:p>
    <w:p w14:paraId="670E88C1">
      <w:pPr>
        <w:pStyle w:val="2"/>
        <w:keepNext w:val="0"/>
        <w:keepLines w:val="0"/>
        <w:pageBreakBefore w:val="0"/>
        <w:widowControl w:val="0"/>
        <w:kinsoku/>
        <w:wordWrap/>
        <w:topLinePunct w:val="0"/>
        <w:autoSpaceDE/>
        <w:autoSpaceDN/>
        <w:bidi w:val="0"/>
        <w:adjustRightInd/>
        <w:snapToGrid/>
        <w:spacing w:before="0"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充分利用植物景观中的色彩、图形、肌理元素，传承历史印记、传达民风民俗,融合城市文化，从别具特色的回族彝族文化、山地草原文化中提取设计元素，融入植物景观，融合城市文化，打破植物景观趋同性，构建生态景观地域特色美。</w:t>
      </w:r>
    </w:p>
    <w:p w14:paraId="3E91C59E">
      <w:pPr>
        <w:pStyle w:val="2"/>
        <w:keepNext w:val="0"/>
        <w:keepLines w:val="0"/>
        <w:pageBreakBefore w:val="0"/>
        <w:widowControl w:val="0"/>
        <w:kinsoku/>
        <w:wordWrap/>
        <w:topLinePunct w:val="0"/>
        <w:autoSpaceDE/>
        <w:autoSpaceDN/>
        <w:bidi w:val="0"/>
        <w:adjustRightInd/>
        <w:snapToGrid/>
        <w:spacing w:before="0"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城市游园新建和改造中，大力挖掘寻甸特色内涵，将具有寻甸地方性、民族性、代表性的特色景观，以色彩、图案、小品、文化载体等多种形式予以展现，使公众在城市游园日常游憩中，感受丰富的“乡愁”景观。充分挖掘各类特色潜质，提升美丽品质。所有特色美游园构建应符合园林造景要求,利用植物配置景观小品等将特色淋漓尽致呈现。</w:t>
      </w:r>
    </w:p>
    <w:p w14:paraId="4FAC9F2F">
      <w:pPr>
        <w:rPr>
          <w:rFonts w:hint="eastAsia"/>
          <w:lang w:val="en-US" w:eastAsia="zh-CN"/>
        </w:rPr>
      </w:pPr>
    </w:p>
    <w:p w14:paraId="09087495">
      <w:pPr>
        <w:numPr>
          <w:ilvl w:val="0"/>
          <w:numId w:val="0"/>
        </w:numPr>
        <w:ind w:left="420" w:leftChars="0"/>
        <w:jc w:val="center"/>
        <w:outlineLvl w:val="1"/>
        <w:rPr>
          <w:rFonts w:hint="eastAsia" w:ascii="Times New Roman" w:hAnsi="Times New Roman" w:eastAsia="宋体" w:cs="Times New Roman"/>
          <w:b/>
          <w:kern w:val="0"/>
          <w:sz w:val="32"/>
          <w:szCs w:val="32"/>
          <w:lang w:val="en-US" w:eastAsia="zh-CN"/>
        </w:rPr>
      </w:pPr>
      <w:bookmarkStart w:id="122" w:name="_Toc7218"/>
      <w:r>
        <w:rPr>
          <w:rFonts w:hint="eastAsia" w:ascii="Times New Roman" w:hAnsi="Times New Roman" w:eastAsia="宋体" w:cs="Times New Roman"/>
          <w:b/>
          <w:kern w:val="0"/>
          <w:sz w:val="32"/>
          <w:szCs w:val="32"/>
          <w:lang w:val="en-US" w:eastAsia="zh-CN"/>
        </w:rPr>
        <w:t>第五节  壮丽美</w:t>
      </w:r>
      <w:bookmarkEnd w:id="122"/>
    </w:p>
    <w:p w14:paraId="1AED72F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城乡绿化美化统筹，以城郊村、山区村、产业村为重点，利用乡村森林资源、经济林资源和农业产业资源等，依托乡村面山、田园景观、草山草坡等地点，形成连片景观，突出大规模、强视觉的景观面貌，形成壮丽的城乡美景。</w:t>
      </w:r>
    </w:p>
    <w:p w14:paraId="603437E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择旅游重点开发的美丽乡村周边面山，利用荒山改造、生态修复、森林抚育等契机，打造具有较大规模的花海树海壮丽景观；以体量宏大的草山为主要建设地点，通过科学与艺术规划，形成大规模、成群、成片式种植的草山观览片区，打造休闲体验观光生态草山；在乡村林地资源集中分布区，形成林地花海壮丽景观；在采摘、农家乐等旅游型乡村周边，结合原有地形，大规模种植特色农作物、林果，形成壮美果园、田园。</w:t>
      </w:r>
    </w:p>
    <w:p w14:paraId="1700DE3F">
      <w:pPr>
        <w:numPr>
          <w:ilvl w:val="0"/>
          <w:numId w:val="4"/>
        </w:numPr>
        <w:ind w:left="420" w:leftChars="0"/>
        <w:jc w:val="center"/>
        <w:outlineLvl w:val="1"/>
        <w:rPr>
          <w:rFonts w:hint="eastAsia" w:ascii="Times New Roman" w:hAnsi="Times New Roman" w:eastAsia="宋体" w:cs="Times New Roman"/>
          <w:b/>
          <w:kern w:val="0"/>
          <w:sz w:val="32"/>
          <w:szCs w:val="32"/>
          <w:lang w:val="en-US" w:eastAsia="zh-CN"/>
        </w:rPr>
      </w:pPr>
      <w:bookmarkStart w:id="123" w:name="_Toc20309"/>
      <w:r>
        <w:rPr>
          <w:rFonts w:hint="eastAsia" w:ascii="Times New Roman" w:hAnsi="Times New Roman" w:eastAsia="宋体" w:cs="Times New Roman"/>
          <w:b/>
          <w:kern w:val="0"/>
          <w:sz w:val="32"/>
          <w:szCs w:val="32"/>
          <w:lang w:val="en-US" w:eastAsia="zh-CN"/>
        </w:rPr>
        <w:t xml:space="preserve"> 结构美</w:t>
      </w:r>
      <w:bookmarkEnd w:id="123"/>
    </w:p>
    <w:p w14:paraId="4C23C9A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城区气候特点，针对性地模拟地域生态自然群落特点，按照自然顶级群落的优势物种组成、水平分布格局、垂直层次特点和动态变化规律。营建和调控城乡人工绿地植物群落结构。创造结构相对稳定、功能趋于完善、动态特征明显的群落。</w:t>
      </w:r>
    </w:p>
    <w:p w14:paraId="3FCFE64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规划以城区新建的公园绿地为主要建设点，以内部景观节点为建设单元，按照上层乔木、中层乔木、下层乔木层、灌木层、藤本层、高草层、低草层为主要层次，以乡土植物为主要树种，以高大常绿乔木为主体，模拟生态自然群落，确定合理的配置模式和种植密度，营建功能完善、结构稳定、季相鲜明、四季变化的结构美近自然群落，构建错落有致的优美林冠线。各乡镇根据实际情况，选取代表性景观节点，选择不同景观特点的乡土树种，构建景观独特且处处不同的代表性结构美群落。</w:t>
      </w:r>
    </w:p>
    <w:p w14:paraId="7FD12CEC">
      <w:pPr>
        <w:rPr>
          <w:rFonts w:hint="eastAsia"/>
          <w:lang w:val="en-US" w:eastAsia="zh-CN"/>
        </w:rPr>
      </w:pPr>
    </w:p>
    <w:p w14:paraId="5475E5C9">
      <w:pPr>
        <w:numPr>
          <w:ilvl w:val="0"/>
          <w:numId w:val="0"/>
        </w:numPr>
        <w:jc w:val="center"/>
        <w:outlineLvl w:val="0"/>
        <w:rPr>
          <w:rFonts w:hint="eastAsia" w:ascii="Times New Roman" w:hAnsi="Times New Roman" w:eastAsia="宋体" w:cs="Times New Roman"/>
          <w:b/>
          <w:kern w:val="0"/>
          <w:sz w:val="36"/>
          <w:szCs w:val="36"/>
          <w:lang w:val="en-US" w:eastAsia="zh-CN"/>
        </w:rPr>
      </w:pPr>
      <w:r>
        <w:rPr>
          <w:rFonts w:hint="eastAsia" w:ascii="Times New Roman" w:hAnsi="Times New Roman" w:eastAsia="宋体" w:cs="Times New Roman"/>
          <w:b/>
          <w:kern w:val="0"/>
          <w:sz w:val="36"/>
          <w:szCs w:val="36"/>
          <w:lang w:val="en-US" w:eastAsia="zh-CN"/>
        </w:rPr>
        <w:t>第五章  绿美福祉增进</w:t>
      </w:r>
    </w:p>
    <w:p w14:paraId="6D3317C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绿美福祉增进工程由绿美体验、绿美文化和绿美产业指标支撑，主要反映绿美寻甸建设以人民为中心，绿美为民的建设理念。绿美福祉中将生态文明传播、双碳目标等充分融合，反映不为绿美而绿美，绿美建设服务国家发展战略、服务云南发展定位、服务地方经济社会发展、服务人民对美好生态环境的需求。</w:t>
      </w:r>
    </w:p>
    <w:p w14:paraId="251576E3">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第一节  绿美体验</w:t>
      </w:r>
    </w:p>
    <w:p w14:paraId="19937AEA">
      <w:pPr>
        <w:pStyle w:val="2"/>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落实“生态惠民</w:t>
      </w:r>
      <w:r>
        <w:rPr>
          <w:rFonts w:hint="eastAsia" w:ascii="仿宋_GB2312" w:hAnsi="仿宋_GB2312" w:eastAsia="仿宋_GB2312" w:cs="仿宋_GB2312"/>
          <w:sz w:val="32"/>
          <w:szCs w:val="32"/>
          <w:highlight w:val="none"/>
          <w:lang w:val="en-US" w:eastAsia="zh-CN"/>
        </w:rPr>
        <w:t>、生态利民、生态为民目标，切实满足公众对多重生态产品的不同需求。从公众自身需求和用户导向出发，重视植物景观的感官体验以及使用者更高层次的精神享受，建设视觉、听觉、嗅觉、触觉、味觉多感官综合体验的园林植物景观，提升意境植物的使用比例，丰富植物配置形式，赋予场地感知力。从绿地服务功能提升出发，在城镇绿地建设和改造中，营建休闲游</w:t>
      </w:r>
      <w:r>
        <w:rPr>
          <w:rFonts w:hint="eastAsia" w:ascii="仿宋_GB2312" w:hAnsi="仿宋_GB2312" w:eastAsia="仿宋_GB2312" w:cs="仿宋_GB2312"/>
          <w:sz w:val="32"/>
          <w:szCs w:val="32"/>
          <w:lang w:val="en-US" w:eastAsia="zh-CN"/>
        </w:rPr>
        <w:t>憩、康养健身、儿童游乐、适老交往、科普教育、纪念宣传等不同空间类型，增设绿地配套服务设施，满足不同群体的使用需求。从城乡绿化功能扩展出发，增加绿道建设，完善城市功能.形成系统，搭建城乡绿道骨架，串联重要景区景点和生态空间。</w:t>
      </w:r>
    </w:p>
    <w:p w14:paraId="5BF90F12">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感官体验。</w:t>
      </w:r>
      <w:r>
        <w:rPr>
          <w:rFonts w:hint="eastAsia" w:ascii="仿宋_GB2312" w:hAnsi="仿宋_GB2312" w:eastAsia="仿宋_GB2312" w:cs="仿宋_GB2312"/>
          <w:sz w:val="32"/>
          <w:szCs w:val="32"/>
          <w:lang w:val="en-US" w:eastAsia="zh-CN"/>
        </w:rPr>
        <w:t>感官体验是围绕人体各个感官进行设计和体验，更加关注公众的多元感受，通过视觉、听觉、嗅觉、味觉和触觉的碰撞，体验到场所的独特性，从而在物体景象的形、声、色、味、触这五个方面获得认知。规划以城市公园体验式改造为基础，在包含公共活动设施、绿地、活动交流空间等区域，增设调动人们五感体验的景观,增加自然景观与人的互动，为居民提供一个五感体验空间，满足人们的活动需求为公众提供一个交流互动、休闲娱乐、释放情绪的空间，可以增加审美体验、引导居民保持身心健康，提升居民生活幸福感，促进城市健康发展，提升城市绿地的综合服务功能。</w:t>
      </w:r>
    </w:p>
    <w:p w14:paraId="01BE91B4">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功能体验。</w:t>
      </w:r>
      <w:r>
        <w:rPr>
          <w:rFonts w:hint="eastAsia" w:ascii="仿宋_GB2312" w:hAnsi="仿宋_GB2312" w:eastAsia="仿宋_GB2312" w:cs="仿宋_GB2312"/>
          <w:sz w:val="32"/>
          <w:szCs w:val="32"/>
          <w:lang w:val="en-US" w:eastAsia="zh-CN"/>
        </w:rPr>
        <w:t>绿地建设要营造宜居宜游的生活空间，为人的需求服务。绿地除了要具备生态保育、风景游憩和安全防护等功能，还要立足以人为本、以游憩功能为主，供需平衡的角度，营建适合不同年龄、不同职业、不同使用需求的绿地服务空间，并配备相应的服务设施，满足居民的生态空间需要。城乡游憩型绿地要深度贴近当地居民的使用需求，在康体保健、休憩游乐、休闲交往、科普教育、文化宣传等多个方面探索绿地的建设途径，进行专业规划设计，以提供综合性功能体验或者专类功能体验为出发点，在城市“颜值”提升的同时，城乡绿地建设品质得到提升，增强人民获得感、幸福感和归属感。</w:t>
      </w:r>
    </w:p>
    <w:p w14:paraId="24AC208C">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慢行体验。</w:t>
      </w:r>
      <w:r>
        <w:rPr>
          <w:rFonts w:hint="eastAsia" w:ascii="仿宋_GB2312" w:hAnsi="仿宋_GB2312" w:eastAsia="仿宋_GB2312" w:cs="仿宋_GB2312"/>
          <w:sz w:val="32"/>
          <w:szCs w:val="32"/>
          <w:lang w:val="en-US" w:eastAsia="zh-CN"/>
        </w:rPr>
        <w:t>慢行系统主要是在线型绿色开敞空间中，沿着河滨、溪谷、山脊、风景道路等自然和人工廊道建立，内设可供行人和骑行者进入的景观游憩线路的绿道。慢行系统可以连接众多的景点，兼具生态保育、休闲游憩和科普教育等多种功能。根据寻甸实际的情况，规划多条与景点联系比较紧密、方便市民出行健身娱乐的绿道。绿道建设尽可能利用现有的构筑物和道路设施，避免大挖大填。结合周围环境，绿道色彩可采用暗红色、蓝色等色调。保持林内绿道的透通性，增加枝下高，促进空气流通，开阔视野。合理配置供人们休憩补给的绿道驿站，完善绿道标识。</w:t>
      </w:r>
    </w:p>
    <w:p w14:paraId="68BF1E55">
      <w:pPr>
        <w:pStyle w:val="2"/>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在城乡范围内，依托道路改造升级和新建，打造5大类型绿道骨架，滨河浪漫绿道、民族体验绿道、高原水系风情绿道、都市活力绿道、公园健康绿道，初步形成城区、村镇、重要景点绿道贯穿的生态布局。</w:t>
      </w:r>
    </w:p>
    <w:p w14:paraId="7BC67E4A">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第二节  绿美文化</w:t>
      </w:r>
    </w:p>
    <w:p w14:paraId="7AEE06F4">
      <w:pPr>
        <w:pStyle w:val="2"/>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以县树县花、古树名木、花卉节事等为载体，展示和传播寻甸乡土自然文化，促进乡土文化成为寻甸全体群众参与共建共享绿美寻甸成果的文化纽带。</w:t>
      </w:r>
    </w:p>
    <w:p w14:paraId="03BE6BA9">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县树县花。</w:t>
      </w:r>
      <w:r>
        <w:rPr>
          <w:rFonts w:hint="eastAsia" w:ascii="仿宋_GB2312" w:hAnsi="仿宋_GB2312" w:eastAsia="仿宋_GB2312" w:cs="仿宋_GB2312"/>
          <w:sz w:val="32"/>
          <w:szCs w:val="32"/>
          <w:lang w:val="en-US" w:eastAsia="zh-CN"/>
        </w:rPr>
        <w:t>加快推进县树县花在城乡绿化美化中推广应用，建设县树县花园，县树县花街道，县树县花广场，增强县树县花景观显示度，促进县树县花文化的传播。</w:t>
      </w:r>
    </w:p>
    <w:p w14:paraId="6E802D6E">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古树名木。</w:t>
      </w:r>
      <w:r>
        <w:rPr>
          <w:rFonts w:hint="eastAsia" w:ascii="仿宋_GB2312" w:hAnsi="仿宋_GB2312" w:eastAsia="仿宋_GB2312" w:cs="仿宋_GB2312"/>
          <w:sz w:val="32"/>
          <w:szCs w:val="32"/>
          <w:lang w:val="en-US" w:eastAsia="zh-CN"/>
        </w:rPr>
        <w:t>古树名木是活文物，是寻甸生态文化历史见证，具有很高的生物学价值、历史文化价值和观赏价值。针对古树名木生长和保护状况，按照因地制宜、一树一策的原则，在顺应自然、尊重现状的基础上，采取适当拆除硬化地面、铺设木栈道金属格栅、木质铺装、树脂格栅、打透气孔、降土等多种措施，科学有效改善古树的生存环境。对紧邻街道、住宅或是生长在居民区院内、旅游景区的，原则上保留古树原貌，维持其现有已经适应的生存环境，借鉴先进经验和成功案例，视情况改善其生境。在充分做好古树名木保护工作的基础上充分挖掘古树名木的乡土文化价值。</w:t>
      </w:r>
    </w:p>
    <w:p w14:paraId="2223EE91">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花卉节事。</w:t>
      </w:r>
      <w:r>
        <w:rPr>
          <w:rFonts w:hint="eastAsia" w:ascii="仿宋_GB2312" w:hAnsi="仿宋_GB2312" w:eastAsia="仿宋_GB2312" w:cs="仿宋_GB2312"/>
          <w:sz w:val="32"/>
          <w:szCs w:val="32"/>
          <w:lang w:val="en-US" w:eastAsia="zh-CN"/>
        </w:rPr>
        <w:t>寻甸县花卉产业发展兴盛，许多乡镇不仅把花卉种植基地做大做优，还以花卉产业为圆心，不断延伸产业链，扩大了花卉产业半径，紫薇花、马缨花、云南含笑等多姿多彩的花卉更是绽放在广大的城乡区域，花卉景观是生态景观的重要组成部分，充分运用并深度发掘寻甸多彩多姿的花卉种类和花卉景观，设计观光产品和文化产品，打造独属于寻甸的花卉节事，有助于生动刻画绿美寻甸的美好形象，有助于传播花卉文化。</w:t>
      </w:r>
    </w:p>
    <w:p w14:paraId="0A75CF01">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第三节  绿美产业</w:t>
      </w:r>
    </w:p>
    <w:p w14:paraId="230F80B6">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一、生态旅游</w:t>
      </w:r>
    </w:p>
    <w:p w14:paraId="5DDD135D">
      <w:pPr>
        <w:pStyle w:val="2"/>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托寻甸独特的林山草地风光，构建康养旅居目的地、全季型旅游目的地，加快推进文化旅游产业的转型升级，开发具有浓郁地方特色和季节特征的民俗风情、避暑度假、深生态体验、科普教育、休闲娱乐等生态旅游产品。</w:t>
      </w:r>
    </w:p>
    <w:p w14:paraId="2C19F7D9">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构建全域风情旅游线路。</w:t>
      </w:r>
      <w:r>
        <w:rPr>
          <w:rFonts w:hint="eastAsia" w:ascii="仿宋_GB2312" w:hAnsi="仿宋_GB2312" w:eastAsia="仿宋_GB2312" w:cs="仿宋_GB2312"/>
          <w:sz w:val="32"/>
          <w:szCs w:val="32"/>
          <w:lang w:val="en-US" w:eastAsia="zh-CN"/>
        </w:rPr>
        <w:t>从全县的视角开展生态旅游景点建设，按照旅游活动全域化、旅游空间全景化的要求，推动全域一体化的发展进程。充分发挥寻甸林地草山资源禀赋，打造林地草山文化景观，依托北大营草场、凤龙山景区等已有一定引客效应的景区，强化寻甸旅游线路和旅游景点的地域品牌影响力。</w:t>
      </w:r>
    </w:p>
    <w:p w14:paraId="60AC51F3">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打造乡村生态旅游业态。</w:t>
      </w:r>
      <w:r>
        <w:rPr>
          <w:rFonts w:hint="eastAsia" w:ascii="仿宋_GB2312" w:hAnsi="仿宋_GB2312" w:eastAsia="仿宋_GB2312" w:cs="仿宋_GB2312"/>
          <w:sz w:val="32"/>
          <w:szCs w:val="32"/>
          <w:lang w:val="en-US" w:eastAsia="zh-CN"/>
        </w:rPr>
        <w:t>依托绿美乡村、美丽乡村、旅游名村建设，推进休闲农庄、乡村旅居、田园综合体等乡村生态旅游新业态，使乡村融入大自然，融入生态大花园。充分利用地域特色的民族文化资源，打造文化体验和文化感悟为核心的民族文化旅游产品，提升乡村基础设施和旅游基础设施建设，开发形式多样的乡村旅游产品、乡村旅游活动项目。加大宣传力度，提高乡村生态旅游的知名度和美誉度。</w:t>
      </w:r>
    </w:p>
    <w:p w14:paraId="11805F4A">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完善生态旅游服务体系。</w:t>
      </w:r>
      <w:r>
        <w:rPr>
          <w:rFonts w:hint="eastAsia" w:ascii="仿宋_GB2312" w:hAnsi="仿宋_GB2312" w:eastAsia="仿宋_GB2312" w:cs="仿宋_GB2312"/>
          <w:sz w:val="32"/>
          <w:szCs w:val="32"/>
          <w:lang w:val="en-US" w:eastAsia="zh-CN"/>
        </w:rPr>
        <w:t>为保证生态旅游持续快速发展，应进一步加强生态旅游配套服务设施体系建设，重点打造主要景区景点的交通站点及配套基础设施建设，推进旅游厕所、停车场标识系统建设，在旅游交通沿线、旅游服务场所、旅游城镇、旅游特色村和主要旅游目的地等区域，加快推进自驾车、房车营地建设，配套新建部分停车场，逐步完善快行慢游自驾车、自行车、自助游服务体系。完善旅游标识和服务指引标志等旅游公共标识系统。</w:t>
      </w:r>
    </w:p>
    <w:p w14:paraId="56AFB13D">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二、特色园林绿化苗木基地</w:t>
      </w:r>
    </w:p>
    <w:p w14:paraId="1E97BA83">
      <w:pPr>
        <w:pStyle w:val="2"/>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绿化美化建设与生态产业同步。根据寻甸县城乡绿化美化发展需要，围绕打造北部生态第一城的目标，抓住城市特色，充分发挥寻甸县的区位和气候优势，以市场为导向、科技为动力、优势资源为依托，培育市场潜力大的绿化苗木，在城市周边建设大型园林绿化苗木基地和市场，鼓励和扶持郊区农民发展园林苗木产业，保证城乡绿化美化苗源，助推绿化美化生产端和服务端产业发展。</w:t>
      </w:r>
    </w:p>
    <w:p w14:paraId="6F514181">
      <w:pPr>
        <w:pStyle w:val="2"/>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托县域及各乡镇现有苗木基地，围绕城乡绿化美化建设苗木需求，积极调整现有的苗木花卉品种结构。重点培育云南松、华山松、滇油杉、化香、黄连木、滇朴、清香木、滇青冈、麻栋、栓皮标、滇揪、红果树滇合欢、君迁子、构树、滇山、四照花、旱冬瓜、香椿、盐肤木、马樱花、银叶木荷、云南樟、滇润楠、多花素馨花、红素馨、紫薇、棕榈、石楠、大叶女贞、山樱花、无患子、垂丝海棠等乡土树种。</w:t>
      </w:r>
    </w:p>
    <w:p w14:paraId="2A96CC46">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加快培育特色园林绿化苗木产业。</w:t>
      </w:r>
      <w:r>
        <w:rPr>
          <w:rFonts w:hint="eastAsia" w:ascii="仿宋_GB2312" w:hAnsi="仿宋_GB2312" w:eastAsia="仿宋_GB2312" w:cs="仿宋_GB2312"/>
          <w:sz w:val="32"/>
          <w:szCs w:val="32"/>
          <w:lang w:val="en-US" w:eastAsia="zh-CN"/>
        </w:rPr>
        <w:t>进一步发挥寻甸县生物多样性优势，不断丰富园林绿化植物品种，继续引进、培育、推广绿化美化新品种，大力发展特色园林绿化苗木产业，实现规模化、现代化、专业化、特色化。积极探索“特色园林绿化苗木+旅游”“特色园林绿化苗木+互联网”“特色园林绿化苗木+科普”等发展新模式:发挥特色园林绿化苗木产业的优势，拓展特色园林绿化苗木产业与美丽乡村的结合点，挖掘其潜在的旅游、休闲、观光、生态知识普及等服务功能，为城市居民创造亲近自然、走向自然的机会，实现人与自然的融合。</w:t>
      </w:r>
    </w:p>
    <w:p w14:paraId="38C80C06">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发展苗木花卉产业。</w:t>
      </w:r>
      <w:r>
        <w:rPr>
          <w:rFonts w:hint="eastAsia" w:ascii="仿宋_GB2312" w:hAnsi="仿宋_GB2312" w:eastAsia="仿宋_GB2312" w:cs="仿宋_GB2312"/>
          <w:sz w:val="32"/>
          <w:szCs w:val="32"/>
          <w:lang w:val="en-US" w:eastAsia="zh-CN"/>
        </w:rPr>
        <w:t>打造农业休闲观光旅游区和农业花卉小镇。加快发展优质苗木花卉、水果等园艺作物种植，推进生态休闲观光农业发展，打造集休闲体验、生态养生、农业科普教育等为一体的现代农业养生度假园区，引导全社会对农业功能的重新认识。</w:t>
      </w:r>
    </w:p>
    <w:p w14:paraId="2C18365D">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强化科技支撑，落实政策扶持。</w:t>
      </w:r>
      <w:r>
        <w:rPr>
          <w:rFonts w:hint="eastAsia" w:ascii="仿宋_GB2312" w:hAnsi="仿宋_GB2312" w:eastAsia="仿宋_GB2312" w:cs="仿宋_GB2312"/>
          <w:sz w:val="32"/>
          <w:szCs w:val="32"/>
          <w:lang w:val="en-US" w:eastAsia="zh-CN"/>
        </w:rPr>
        <w:t>出台鼓励、扶持苗木花卉企业发展政策，支持、引导苗木、花卉产业发展。进一步拓展苗木花卉流通市场，建立产、供、销相配套的生产经营体系,形成以苗木花卉企业和专业户为骨干的多元化投入、多种所有制并存的特色园林绿化苗木生产新格局。</w:t>
      </w:r>
    </w:p>
    <w:p w14:paraId="3D89F39A">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三、城镇绿化美化碳汇项目培育</w:t>
      </w:r>
    </w:p>
    <w:p w14:paraId="39CE44FD">
      <w:pPr>
        <w:pStyle w:val="2"/>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着寻甸县城镇化发展，城镇人口和城镇建成区的增长，配套开展城镇绿地建设，在新增城镇建设用地中留够绿化建设用地，确保全县城镇建成区绿地率指标。同时，通过绿美寻甸建设，改善绿地树种结构和单位面积生物量，加强各类城镇绿地的管护，不断提高单位面积城市绿地的固碳能力。</w:t>
      </w:r>
    </w:p>
    <w:p w14:paraId="79A01177">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提高城市绿地的数量。</w:t>
      </w:r>
      <w:r>
        <w:rPr>
          <w:rFonts w:hint="eastAsia" w:ascii="仿宋_GB2312" w:hAnsi="仿宋_GB2312" w:eastAsia="仿宋_GB2312" w:cs="仿宋_GB2312"/>
          <w:sz w:val="32"/>
          <w:szCs w:val="32"/>
          <w:lang w:val="en-US" w:eastAsia="zh-CN"/>
        </w:rPr>
        <w:t>城市绿地碳储量与绿地面积直接相关，绿地面积越大碳储量越高。合理布局绿地空间形态，建立绿地系统网络，既能够调节城市微气候，减少地表径流，又实现了增汇的功能。以城市绿地建设为重点，以功能目标为导向，通过氧源绿地和碳源绿地方式，合理布局城市绿地系统，持续加大城市综合公园和居住区公园、城市防护林等大型城市生态斑块建设，加强大型城市森林斑块之间的生物廊道建设，构建点、线、面的城市森林景观格局。</w:t>
      </w:r>
    </w:p>
    <w:p w14:paraId="18FC6B48">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提高城市绿地建设质量。</w:t>
      </w:r>
      <w:r>
        <w:rPr>
          <w:rFonts w:hint="eastAsia" w:ascii="仿宋_GB2312" w:hAnsi="仿宋_GB2312" w:eastAsia="仿宋_GB2312" w:cs="仿宋_GB2312"/>
          <w:sz w:val="32"/>
          <w:szCs w:val="32"/>
          <w:lang w:val="en-US" w:eastAsia="zh-CN"/>
        </w:rPr>
        <w:t>提升绿地碳密度对于增加城市整体固碳能力非常重要。在城市绿地群落层次上，提升群落密度、丰富群落层次、提高植被群落多样性；在土壤层次上，通过增加草本植被的覆盖面积、保持土壤上方的凋落物以及提高乔木群落郁闭度等措施来提高土壤的覆盖，增加土壤碳储量。</w:t>
      </w:r>
    </w:p>
    <w:p w14:paraId="3D1948AD">
      <w:pPr>
        <w:pStyle w:val="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低碳科普教育场所建设。</w:t>
      </w:r>
      <w:r>
        <w:rPr>
          <w:rFonts w:hint="eastAsia" w:ascii="仿宋_GB2312" w:hAnsi="仿宋_GB2312" w:eastAsia="仿宋_GB2312" w:cs="仿宋_GB2312"/>
          <w:sz w:val="32"/>
          <w:szCs w:val="32"/>
          <w:lang w:val="en-US" w:eastAsia="zh-CN"/>
        </w:rPr>
        <w:t>立足于寻甸生态资源，充分挖掘乡土文化特色，建设和整合提升一批低碳科普教育场所。依托整体感、类型变化感、高辨识感的绿色低碳解说系统的建设意向，在现有城镇居住区、公园绿地、机关企事业单位和绿美示范单元建设低碳科普标识。利用好全国节能宣传周和全国低碳日活动，宣传绿色低碳文化，通过不同方式，面向不同主体，开展绿色低碳城市和绿色低碳生活主动宣传。通过制定公职人员低碳生活手册，积极普及绿色低碳城市和绿色低碳生活的相关知识，倡导简约适度、绿色低碳的生产生活方式，助力实现碳达峰、碳中和。</w:t>
      </w:r>
    </w:p>
    <w:p w14:paraId="3D89995B">
      <w:pPr>
        <w:pStyle w:val="2"/>
        <w:keepNext w:val="0"/>
        <w:keepLines w:val="0"/>
        <w:pageBreakBefore w:val="0"/>
        <w:widowControl w:val="0"/>
        <w:kinsoku/>
        <w:wordWrap/>
        <w:overflowPunct/>
        <w:topLinePunct w:val="0"/>
        <w:autoSpaceDE/>
        <w:autoSpaceDN/>
        <w:bidi w:val="0"/>
        <w:adjustRightInd/>
        <w:snapToGrid/>
        <w:spacing w:before="0" w:line="560" w:lineRule="exact"/>
        <w:jc w:val="center"/>
        <w:textAlignment w:val="auto"/>
        <w:rPr>
          <w:rFonts w:hint="eastAsia" w:ascii="Times New Roman" w:hAnsi="Times New Roman" w:eastAsia="宋体" w:cs="Times New Roman"/>
          <w:b/>
          <w:kern w:val="0"/>
          <w:sz w:val="32"/>
          <w:szCs w:val="32"/>
          <w:lang w:val="en-US" w:eastAsia="zh-CN"/>
        </w:rPr>
      </w:pPr>
      <w:r>
        <w:rPr>
          <w:rFonts w:hint="eastAsia" w:ascii="Times New Roman" w:hAnsi="Times New Roman" w:eastAsia="宋体" w:cs="Times New Roman"/>
          <w:b/>
          <w:kern w:val="0"/>
          <w:sz w:val="32"/>
          <w:szCs w:val="32"/>
          <w:lang w:val="en-US" w:eastAsia="zh-CN"/>
        </w:rPr>
        <w:t>第六章  保障措施</w:t>
      </w:r>
    </w:p>
    <w:p w14:paraId="30747FF8">
      <w:pPr>
        <w:pStyle w:val="3"/>
        <w:pageBreakBefore w:val="0"/>
        <w:widowControl w:val="0"/>
        <w:numPr>
          <w:ilvl w:val="0"/>
          <w:numId w:val="0"/>
        </w:numPr>
        <w:kinsoku/>
        <w:wordWrap/>
        <w:overflowPunct/>
        <w:topLinePunct w:val="0"/>
        <w:autoSpaceDE/>
        <w:autoSpaceDN/>
        <w:bidi w:val="0"/>
        <w:snapToGrid/>
        <w:spacing w:after="120" w:line="240" w:lineRule="auto"/>
        <w:jc w:val="center"/>
        <w:outlineLvl w:val="2"/>
        <w:rPr>
          <w:rFonts w:hint="eastAsia" w:ascii="Times New Roman" w:hAnsi="Times New Roman" w:eastAsia="宋体" w:cs="Times New Roman"/>
          <w:b/>
          <w:color w:val="auto"/>
          <w:kern w:val="0"/>
          <w:sz w:val="30"/>
          <w:szCs w:val="30"/>
          <w:lang w:val="en-US" w:eastAsia="zh-CN" w:bidi="ar-SA"/>
        </w:rPr>
      </w:pPr>
      <w:bookmarkStart w:id="124" w:name="_Toc3268"/>
      <w:r>
        <w:rPr>
          <w:rFonts w:hint="eastAsia" w:ascii="Times New Roman" w:hAnsi="Times New Roman" w:eastAsia="宋体" w:cs="Times New Roman"/>
          <w:b/>
          <w:color w:val="auto"/>
          <w:kern w:val="0"/>
          <w:sz w:val="30"/>
          <w:szCs w:val="30"/>
          <w:lang w:val="en-US" w:eastAsia="zh-CN" w:bidi="ar-SA"/>
        </w:rPr>
        <w:t>第一节  政策保障</w:t>
      </w:r>
      <w:bookmarkEnd w:id="124"/>
    </w:p>
    <w:p w14:paraId="6318B780">
      <w:pPr>
        <w:pStyle w:val="15"/>
        <w:numPr>
          <w:ilvl w:val="0"/>
          <w:numId w:val="0"/>
        </w:numPr>
        <w:bidi w:val="0"/>
        <w:outlineLvl w:val="2"/>
        <w:rPr>
          <w:rFonts w:hint="eastAsia" w:ascii="仿宋_GB2312" w:hAnsi="仿宋_GB2312" w:eastAsia="仿宋_GB2312" w:cs="仿宋_GB2312"/>
          <w:b/>
          <w:bCs/>
          <w:color w:val="auto"/>
          <w:kern w:val="2"/>
          <w:sz w:val="32"/>
          <w:szCs w:val="32"/>
          <w:lang w:val="en-US" w:eastAsia="zh-CN" w:bidi="ar-SA"/>
        </w:rPr>
      </w:pPr>
      <w:bookmarkStart w:id="125" w:name="_Toc29337"/>
      <w:r>
        <w:rPr>
          <w:rFonts w:hint="eastAsia" w:ascii="仿宋_GB2312" w:hAnsi="仿宋_GB2312" w:eastAsia="仿宋_GB2312" w:cs="仿宋_GB2312"/>
          <w:b/>
          <w:bCs/>
          <w:color w:val="auto"/>
          <w:kern w:val="2"/>
          <w:sz w:val="32"/>
          <w:szCs w:val="32"/>
          <w:lang w:val="en-US" w:eastAsia="zh-CN" w:bidi="ar-SA"/>
        </w:rPr>
        <w:t>一、土地供应政策保障</w:t>
      </w:r>
      <w:bookmarkEnd w:id="125"/>
    </w:p>
    <w:p w14:paraId="72AADDB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寻甸城乡绿化美化规划建设应当根据发展规划和功能定位，坚持以资源环境承载能力为刚性约束条件，统筹生产、生活、生态三大空间，科学确定绿化范围，明确种哪里、种多少和种什么。严守生态保护红线、严格保护永久基本农田、严格控制城镇开发边界，构建蓝绿交织、和谐自然的国土空间格局。为保障绿美建设用地需求,加大城乡绿化美化土地供应，城市腾退土地优先用于城市绿化美化。一是统筹好城市用地的相关规划。要从国土空间规划、城市总体规划、城市绿地系统规划、集镇规划、乡村规划、旅游规划、风景名胜区规划等，统筹协调出城乡绿化美化用地。充分利用各种空闲地、废弃地、边角地，拆违建绿、留白增绿、破墙透绿、见缝拆绿，着力增加绿量。推动城区土地集约节约利用，解决今后一段时期的绿美建设发展用地需求的规划制约问题。二是增大绿美建设用地报批量。积极争取计划指标、重点项目指标等用于绿美建设。并在此基础上，将绿美工作主动融入乡村人居环境整治、工矿废弃地复垦、增减挂钩等工作中，充分做好一地多用。三是盘活闲置低效利用土地，制定闲置低效利用土地盘活方案，对闲置低效用地进行分门别类盘活。</w:t>
      </w:r>
    </w:p>
    <w:p w14:paraId="6CA05C71">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2"/>
        <w:rPr>
          <w:rFonts w:hint="eastAsia" w:ascii="仿宋_GB2312" w:hAnsi="仿宋_GB2312" w:eastAsia="仿宋_GB2312" w:cs="仿宋_GB2312"/>
          <w:sz w:val="32"/>
          <w:szCs w:val="32"/>
          <w:lang w:val="en-US" w:eastAsia="zh-CN"/>
        </w:rPr>
      </w:pPr>
      <w:bookmarkStart w:id="126" w:name="_Toc31229"/>
      <w:r>
        <w:rPr>
          <w:rFonts w:hint="eastAsia" w:ascii="仿宋_GB2312" w:hAnsi="仿宋_GB2312" w:eastAsia="仿宋_GB2312" w:cs="仿宋_GB2312"/>
          <w:sz w:val="32"/>
          <w:szCs w:val="32"/>
          <w:lang w:val="en-US" w:eastAsia="zh-CN"/>
        </w:rPr>
        <w:t>二、立体绿化建设政策保障</w:t>
      </w:r>
      <w:bookmarkEnd w:id="126"/>
    </w:p>
    <w:p w14:paraId="6B2428E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随着城市建设的发展，城市扩张是必然趋势，为增加城区绿化面积，推广立交桥、人行天桥、围栏、墙面、屋顶等立体绿化美化乃是绿美建设的必然要求。因此，起草颁行立体绿化的规范性文件，在保证安全的前提下，积极推进在有条件的建筑物、构筑物上开展立体绿化。对进行墙面及屋顶绿化的建筑所形成的绿化面积予以折算调动立体绿化建设积极性。进一步鼓励社会力量建设立体绿化，同时提升全社会对立体绿化的认知度和参与度，共同推动寻甸县立体绿化迈上新台阶，形成新气象，体现新作为。</w:t>
      </w:r>
    </w:p>
    <w:p w14:paraId="375093DC">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2"/>
        <w:rPr>
          <w:rFonts w:hint="eastAsia" w:ascii="仿宋_GB2312" w:hAnsi="仿宋_GB2312" w:eastAsia="仿宋_GB2312" w:cs="仿宋_GB2312"/>
          <w:sz w:val="32"/>
          <w:szCs w:val="32"/>
          <w:lang w:val="en-US" w:eastAsia="zh-CN"/>
        </w:rPr>
      </w:pPr>
      <w:bookmarkStart w:id="127" w:name="_Toc28057"/>
      <w:r>
        <w:rPr>
          <w:rFonts w:hint="eastAsia" w:ascii="仿宋_GB2312" w:hAnsi="仿宋_GB2312" w:eastAsia="仿宋_GB2312" w:cs="仿宋_GB2312"/>
          <w:sz w:val="32"/>
          <w:szCs w:val="32"/>
          <w:lang w:val="en-US" w:eastAsia="zh-CN"/>
        </w:rPr>
        <w:t>三、绿美信息化建设政策保障</w:t>
      </w:r>
      <w:bookmarkEnd w:id="127"/>
    </w:p>
    <w:p w14:paraId="6B80FB8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推进寻甸县城乡绿化美化信息化建设管理，分领域建设城乡绿化美化数据库，加强综合效益监测评估。建立健全绿美信息化建设政策，构建绿美管理、绿美科技等共享平台，有效提升绿美公共服务能力，实现共建共管共享。紧紧围绕打造智慧绿美的思路，按照“绿美决策智慧化、监管精细化、服务惠民化”的建设目标，应用“互联网 +”信息技术，与绿美建设各项业务深度融合，全面推进“互联网+”绿美行动，提升绿美建设现代化水平，实现互联网思维、立体化感知、大数据决策、智能型生产、协同化办公、云信息服务，形成高效高质发展的“智慧绿美”新模式、新动力。</w:t>
      </w:r>
    </w:p>
    <w:p w14:paraId="666007C1">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2"/>
        <w:rPr>
          <w:rFonts w:hint="eastAsia" w:ascii="仿宋_GB2312" w:hAnsi="仿宋_GB2312" w:eastAsia="仿宋_GB2312" w:cs="仿宋_GB2312"/>
          <w:sz w:val="32"/>
          <w:szCs w:val="32"/>
          <w:lang w:val="en-US" w:eastAsia="zh-CN"/>
        </w:rPr>
      </w:pPr>
      <w:bookmarkStart w:id="128" w:name="_Toc6169"/>
      <w:r>
        <w:rPr>
          <w:rFonts w:hint="eastAsia" w:ascii="仿宋_GB2312" w:hAnsi="仿宋_GB2312" w:eastAsia="仿宋_GB2312" w:cs="仿宋_GB2312"/>
          <w:sz w:val="32"/>
          <w:szCs w:val="32"/>
          <w:lang w:val="en-US" w:eastAsia="zh-CN"/>
        </w:rPr>
        <w:t>四、绿美人才队伍建设政策保障</w:t>
      </w:r>
      <w:bookmarkEnd w:id="128"/>
    </w:p>
    <w:p w14:paraId="34699C5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牢固树立人才资源是第一资源理念，建立健全寻甸绿美人才队伍建设政策措施和激励保障体系，营造良好的用人环境，调动各类绿美人才的积极性。邀请省内外城乡规划、园林设计、林业科技、生态文化等多领域专家,成立专家委员会，对全县城乡绿化美化行动规划制定、方案设计和重大落地项目进行专业指导和绩效评估。</w:t>
      </w:r>
    </w:p>
    <w:p w14:paraId="48A32B20">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2"/>
        <w:rPr>
          <w:rFonts w:hint="eastAsia" w:ascii="仿宋_GB2312" w:hAnsi="仿宋_GB2312" w:eastAsia="仿宋_GB2312" w:cs="仿宋_GB2312"/>
          <w:sz w:val="32"/>
          <w:szCs w:val="32"/>
          <w:lang w:val="en-US" w:eastAsia="zh-CN"/>
        </w:rPr>
      </w:pPr>
      <w:bookmarkStart w:id="129" w:name="_Toc24714"/>
      <w:r>
        <w:rPr>
          <w:rFonts w:hint="eastAsia" w:ascii="仿宋_GB2312" w:hAnsi="仿宋_GB2312" w:eastAsia="仿宋_GB2312" w:cs="仿宋_GB2312"/>
          <w:sz w:val="32"/>
          <w:szCs w:val="32"/>
          <w:lang w:val="en-US" w:eastAsia="zh-CN"/>
        </w:rPr>
        <w:t>五、成果维护保障</w:t>
      </w:r>
      <w:bookmarkEnd w:id="129"/>
    </w:p>
    <w:p w14:paraId="2F5EE94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城乡绿化美化行动是一场持久战，要统筹规划，分类开展，分步实施，在取得相应绿美建设成果的同时，要建立绿美成果维护制度，作为巩固绿美成果的基础。对工程交付完成后，城乡绿地后期维护、养护要制定明确制度，明确维护、养护主体.保障养护、维护资金持续投入，协调绿美建设、“绿美+”经济发展与生态资源保护的长久关系，最大程度巩固建设成果，积极研究和探索出，寻甸县长效绿美的手段，形成常态化工作机制。</w:t>
      </w:r>
    </w:p>
    <w:p w14:paraId="0EBB30B5">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3" w:firstLineChars="200"/>
        <w:jc w:val="center"/>
        <w:textAlignment w:val="auto"/>
        <w:outlineLvl w:val="2"/>
        <w:rPr>
          <w:rFonts w:hint="eastAsia" w:ascii="仿宋_GB2312" w:hAnsi="仿宋_GB2312" w:eastAsia="仿宋_GB2312" w:cs="仿宋_GB2312"/>
          <w:b/>
          <w:color w:val="auto"/>
          <w:kern w:val="0"/>
          <w:sz w:val="32"/>
          <w:szCs w:val="32"/>
          <w:lang w:val="en-US" w:eastAsia="zh-CN" w:bidi="ar-SA"/>
        </w:rPr>
      </w:pPr>
      <w:bookmarkStart w:id="130" w:name="_Toc18628"/>
      <w:r>
        <w:rPr>
          <w:rFonts w:hint="eastAsia" w:ascii="仿宋_GB2312" w:hAnsi="仿宋_GB2312" w:eastAsia="仿宋_GB2312" w:cs="仿宋_GB2312"/>
          <w:b/>
          <w:color w:val="auto"/>
          <w:kern w:val="0"/>
          <w:sz w:val="32"/>
          <w:szCs w:val="32"/>
          <w:lang w:val="en-US" w:eastAsia="zh-CN" w:bidi="ar-SA"/>
        </w:rPr>
        <w:t>第二节  组织保障</w:t>
      </w:r>
      <w:bookmarkEnd w:id="130"/>
    </w:p>
    <w:p w14:paraId="204E78F1">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2"/>
        <w:rPr>
          <w:rFonts w:hint="eastAsia" w:ascii="仿宋_GB2312" w:hAnsi="仿宋_GB2312" w:eastAsia="仿宋_GB2312" w:cs="仿宋_GB2312"/>
          <w:sz w:val="32"/>
          <w:szCs w:val="32"/>
          <w:lang w:val="en-US" w:eastAsia="zh-CN"/>
        </w:rPr>
      </w:pPr>
      <w:bookmarkStart w:id="131" w:name="_Toc15347"/>
      <w:r>
        <w:rPr>
          <w:rFonts w:hint="eastAsia" w:ascii="仿宋_GB2312" w:hAnsi="仿宋_GB2312" w:eastAsia="仿宋_GB2312" w:cs="仿宋_GB2312"/>
          <w:sz w:val="32"/>
          <w:szCs w:val="32"/>
          <w:lang w:val="en-US" w:eastAsia="zh-CN"/>
        </w:rPr>
        <w:t>一、加强组织领导</w:t>
      </w:r>
      <w:bookmarkEnd w:id="131"/>
    </w:p>
    <w:p w14:paraId="64984BC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高效推进寻甸绿美建设，必须健全组织领导机制。建议成立由县委、县政府领导任组长，由县发展和改革局、县工业和信息化局、县教育局、县财政局、县自然资源和规划局、县生态环境局、县住房和城乡建设局、县交通运输局、县水利局、县农业农村局、县林业和草原局、县文化和旅游局等州直有关部门主要负责同志为成员的领导小组，加强对城乡绿化美化工作的组织领导、统筹协调。</w:t>
      </w:r>
    </w:p>
    <w:p w14:paraId="63F67090">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2"/>
        <w:rPr>
          <w:rFonts w:hint="eastAsia" w:ascii="仿宋_GB2312" w:hAnsi="仿宋_GB2312" w:eastAsia="仿宋_GB2312" w:cs="仿宋_GB2312"/>
          <w:sz w:val="32"/>
          <w:szCs w:val="32"/>
          <w:lang w:val="en-US" w:eastAsia="zh-CN"/>
        </w:rPr>
      </w:pPr>
      <w:bookmarkStart w:id="132" w:name="_Toc28976"/>
      <w:r>
        <w:rPr>
          <w:rFonts w:hint="eastAsia" w:ascii="仿宋_GB2312" w:hAnsi="仿宋_GB2312" w:eastAsia="仿宋_GB2312" w:cs="仿宋_GB2312"/>
          <w:sz w:val="32"/>
          <w:szCs w:val="32"/>
          <w:lang w:val="en-US" w:eastAsia="zh-CN"/>
        </w:rPr>
        <w:t>二、加强监管</w:t>
      </w:r>
      <w:bookmarkEnd w:id="132"/>
    </w:p>
    <w:p w14:paraId="32FC9B4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着力打造一支政治过硬、业务精良、纪律严明的绿美监管队伍，强化绿美建设全过程监管。绿美云南、绿美寻甸建设的16条禁止类清单、7条限制类清单，都是硬约束、硬要求，不得破防。各级各部门要建立健全检查考核制度加强对各地区城乡绿化美化行动常态化督查调研，发现问题，及时纠偏。对规划、设计、建设决策出现重大偏差或失误的严肃问责追责。</w:t>
      </w:r>
    </w:p>
    <w:p w14:paraId="45ED52AC">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3" w:firstLineChars="200"/>
        <w:jc w:val="center"/>
        <w:textAlignment w:val="auto"/>
        <w:outlineLvl w:val="2"/>
        <w:rPr>
          <w:rFonts w:hint="eastAsia" w:ascii="仿宋_GB2312" w:hAnsi="仿宋_GB2312" w:eastAsia="仿宋_GB2312" w:cs="仿宋_GB2312"/>
          <w:b/>
          <w:color w:val="auto"/>
          <w:kern w:val="0"/>
          <w:sz w:val="32"/>
          <w:szCs w:val="32"/>
          <w:lang w:val="en-US" w:eastAsia="zh-CN" w:bidi="ar-SA"/>
        </w:rPr>
      </w:pPr>
      <w:bookmarkStart w:id="133" w:name="_Toc27727"/>
      <w:r>
        <w:rPr>
          <w:rFonts w:hint="eastAsia" w:ascii="仿宋_GB2312" w:hAnsi="仿宋_GB2312" w:eastAsia="仿宋_GB2312" w:cs="仿宋_GB2312"/>
          <w:b/>
          <w:color w:val="auto"/>
          <w:kern w:val="0"/>
          <w:sz w:val="32"/>
          <w:szCs w:val="32"/>
          <w:lang w:val="en-US" w:eastAsia="zh-CN" w:bidi="ar-SA"/>
        </w:rPr>
        <w:t>第三节  科技保障</w:t>
      </w:r>
      <w:bookmarkEnd w:id="133"/>
    </w:p>
    <w:p w14:paraId="1E342E88">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2"/>
        <w:rPr>
          <w:rFonts w:hint="eastAsia" w:ascii="仿宋_GB2312" w:hAnsi="仿宋_GB2312" w:eastAsia="仿宋_GB2312" w:cs="仿宋_GB2312"/>
          <w:sz w:val="32"/>
          <w:szCs w:val="32"/>
          <w:lang w:val="en-US" w:eastAsia="zh-CN"/>
        </w:rPr>
      </w:pPr>
      <w:bookmarkStart w:id="134" w:name="_Toc5339"/>
      <w:r>
        <w:rPr>
          <w:rFonts w:hint="eastAsia" w:ascii="仿宋_GB2312" w:hAnsi="仿宋_GB2312" w:eastAsia="仿宋_GB2312" w:cs="仿宋_GB2312"/>
          <w:sz w:val="32"/>
          <w:szCs w:val="32"/>
          <w:lang w:val="en-US" w:eastAsia="zh-CN"/>
        </w:rPr>
        <w:t>一、创建科研平台</w:t>
      </w:r>
      <w:bookmarkEnd w:id="134"/>
    </w:p>
    <w:p w14:paraId="65A99BD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人才引得进，更要用得好。寻甸县在绿美建设中要注重为各类人才搭建发挥价值的舞台,要加强与省市级科研单位进行科技交流合作,也要与省内外高校、院所、企业建立稳定的科技合作关系，搭建绿美科研创新平台，打造“大师领衔、技术领先”的科研团队。开展乡土园林植物种质资源调查、筛选与收集，摸清寻甸县园林植物、林草种质资源家底，开展种苗繁育、新品种培育、重大有害生物防控、城市绿地系统构建、湿地生态修复、城市森林碳汇等项目研究。为高层次人才创新创业提供“政策咨询、项目申报、项目路演、科技创新、技术交易等”全过程服务，激发人才创新创造活力。</w:t>
      </w:r>
      <w:bookmarkStart w:id="135" w:name="_Toc20013"/>
    </w:p>
    <w:p w14:paraId="40E4FCB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sz w:val="32"/>
          <w:szCs w:val="32"/>
          <w:lang w:val="en-US" w:eastAsia="zh-CN"/>
        </w:rPr>
        <w:t>重点项目“揭榜挂帅”</w:t>
      </w:r>
      <w:bookmarkEnd w:id="135"/>
    </w:p>
    <w:p w14:paraId="34130EB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习近平总书记强调，完善科研任务“揭榜挂帅”、“赛马”制度，实行目标导向的“军令状”制度，鼓励科技领军人才挂帅出征。绿美寻甸建设要完善科技创新体制机制，针对绿美建设过程中重大问题和基础研究、核心技术、薄弱环节完善绿美重点科研项目组织管理方式，给予科研单位和科研人员更多自主权，推行技术总师负责制，实行“揭榜挂帅”、“赛马”等制度，激发科技创新主体和广大科技人员的创造潜能和创新效能，从而提高绿美科技攻关的质量和效率。</w:t>
      </w:r>
    </w:p>
    <w:p w14:paraId="0C96BBFD">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2"/>
        <w:rPr>
          <w:rFonts w:hint="eastAsia" w:ascii="仿宋_GB2312" w:hAnsi="仿宋_GB2312" w:eastAsia="仿宋_GB2312" w:cs="仿宋_GB2312"/>
          <w:sz w:val="32"/>
          <w:szCs w:val="32"/>
          <w:lang w:val="en-US" w:eastAsia="zh-CN"/>
        </w:rPr>
      </w:pPr>
      <w:bookmarkStart w:id="136" w:name="_Toc18244"/>
      <w:r>
        <w:rPr>
          <w:rFonts w:hint="eastAsia" w:ascii="仿宋_GB2312" w:hAnsi="仿宋_GB2312" w:eastAsia="仿宋_GB2312" w:cs="仿宋_GB2312"/>
          <w:sz w:val="32"/>
          <w:szCs w:val="32"/>
          <w:lang w:val="en-US" w:eastAsia="zh-CN"/>
        </w:rPr>
        <w:t>三、加快知识产权的转化</w:t>
      </w:r>
      <w:bookmarkEnd w:id="136"/>
    </w:p>
    <w:p w14:paraId="289E8F0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绿美建设过程中，要构建知识产权服务体系，创新思路加快知识产权转化，特别是吸引真金白银促进知识产权转化为生产力。加快知识产权转化，不仅减少科研资源浪费，而且助力“绿美+”经济不断升级发展，更将促进企业对科技创新的重视与投入。寻甸县拥有丰富的自然资源，是科技创新的重要支柱，也是高质量绿美知识产权创造的重要基地。将知识产权转化为实际生产力，对提升绿美科技创新能力、建设知识产权强州、服务经济社会高质量发展具有重要意义。</w:t>
      </w:r>
    </w:p>
    <w:p w14:paraId="0BE9F077">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2"/>
        <w:rPr>
          <w:rFonts w:hint="eastAsia" w:ascii="仿宋_GB2312" w:hAnsi="仿宋_GB2312" w:eastAsia="仿宋_GB2312" w:cs="仿宋_GB2312"/>
          <w:sz w:val="32"/>
          <w:szCs w:val="32"/>
          <w:lang w:val="en-US" w:eastAsia="zh-CN"/>
        </w:rPr>
      </w:pPr>
      <w:bookmarkStart w:id="137" w:name="_Toc29450"/>
      <w:r>
        <w:rPr>
          <w:rFonts w:hint="eastAsia" w:ascii="仿宋_GB2312" w:hAnsi="仿宋_GB2312" w:eastAsia="仿宋_GB2312" w:cs="仿宋_GB2312"/>
          <w:sz w:val="32"/>
          <w:szCs w:val="32"/>
          <w:lang w:val="en-US" w:eastAsia="zh-CN"/>
        </w:rPr>
        <w:t>四、开展技术培训和经验交流</w:t>
      </w:r>
      <w:bookmarkEnd w:id="137"/>
    </w:p>
    <w:p w14:paraId="3AC2F2E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绿美寻甸建设涉及生态学、植物学、林学、风景园林、城乡规划、生态旅游农林经济管理等多个学科，涉及发改、住建、林草、交通、水利、文旅、工信、教育、农业农村等多个部门。既要坚持适地适绿、适地适美，又要建管并重，确保种一片,活一片，美一片。因此围绕绿美云南新标杆、北部生态第一城的绿美寻甸建设目标，从规划、设计、施工、管护等维度，分类开展专业技术培训，确保绿美建设取得成效。要善于学习国内外、省内外在城乡绿化美化方面成功经验和好的做法。要及时总结各乡镇、各部门在绿美寻甸建设过程中好的典型，好的项目,要加强总结提炼，常态化推出好做法、好经验，通过经验交流、示范引领等形式加以推广运用。</w:t>
      </w:r>
    </w:p>
    <w:p w14:paraId="2AF7AEC0">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3" w:firstLineChars="200"/>
        <w:jc w:val="center"/>
        <w:textAlignment w:val="auto"/>
        <w:outlineLvl w:val="2"/>
        <w:rPr>
          <w:rFonts w:hint="eastAsia" w:ascii="仿宋_GB2312" w:hAnsi="仿宋_GB2312" w:eastAsia="仿宋_GB2312" w:cs="仿宋_GB2312"/>
          <w:b/>
          <w:color w:val="auto"/>
          <w:kern w:val="0"/>
          <w:sz w:val="32"/>
          <w:szCs w:val="32"/>
          <w:lang w:val="en-US" w:eastAsia="zh-CN" w:bidi="ar-SA"/>
        </w:rPr>
      </w:pPr>
      <w:bookmarkStart w:id="138" w:name="_Toc22532"/>
      <w:r>
        <w:rPr>
          <w:rFonts w:hint="eastAsia" w:ascii="仿宋_GB2312" w:hAnsi="仿宋_GB2312" w:eastAsia="仿宋_GB2312" w:cs="仿宋_GB2312"/>
          <w:b/>
          <w:color w:val="auto"/>
          <w:kern w:val="0"/>
          <w:sz w:val="32"/>
          <w:szCs w:val="32"/>
          <w:lang w:val="en-US" w:eastAsia="zh-CN" w:bidi="ar-SA"/>
        </w:rPr>
        <w:t>第四节  公众参与保障</w:t>
      </w:r>
      <w:bookmarkEnd w:id="138"/>
    </w:p>
    <w:p w14:paraId="77C9B809">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2"/>
        <w:rPr>
          <w:rFonts w:hint="eastAsia" w:ascii="仿宋_GB2312" w:hAnsi="仿宋_GB2312" w:eastAsia="仿宋_GB2312" w:cs="仿宋_GB2312"/>
          <w:sz w:val="32"/>
          <w:szCs w:val="32"/>
          <w:lang w:val="en-US" w:eastAsia="zh-CN"/>
        </w:rPr>
      </w:pPr>
      <w:bookmarkStart w:id="139" w:name="_Toc21690"/>
      <w:r>
        <w:rPr>
          <w:rFonts w:hint="eastAsia" w:ascii="仿宋_GB2312" w:hAnsi="仿宋_GB2312" w:eastAsia="仿宋_GB2312" w:cs="仿宋_GB2312"/>
          <w:sz w:val="32"/>
          <w:szCs w:val="32"/>
          <w:lang w:val="en-US" w:eastAsia="zh-CN"/>
        </w:rPr>
        <w:t>一、全民义务植树</w:t>
      </w:r>
      <w:bookmarkEnd w:id="139"/>
    </w:p>
    <w:p w14:paraId="091F49A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针对寻甸全域范围，因地制宜建设一批义务植树基地，基地地点可包括荒山宜林地、水源涵养地、森林公园、乡村或社区公共绿化空间、附属绿地等。在此基础上，一方面于每年植树节期间，开展义务植树活动，倡导和组织各企业、事业单位、机关单位、学校、各社团广泛参与义务植树活动。积极营建希望林、纪念林、青年林、巾帼林、同心林、长青林等，形成以绿铭志、以树寄情的绿化美化风尚。探索在后续城市缺少可利用植树土地，以及参与者受时间或身体限制而无法直接参与植树活动情况下，植树义务的等同替代方式，如尝试大力推行捐资建绿、认管认养、购买林业碳汇、爱绿护绿宣传等替代形式。</w:t>
      </w:r>
    </w:p>
    <w:p w14:paraId="5FE00B6A">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2"/>
        <w:rPr>
          <w:rFonts w:hint="eastAsia" w:ascii="仿宋_GB2312" w:hAnsi="仿宋_GB2312" w:eastAsia="仿宋_GB2312" w:cs="仿宋_GB2312"/>
          <w:sz w:val="32"/>
          <w:szCs w:val="32"/>
          <w:lang w:val="en-US" w:eastAsia="zh-CN"/>
        </w:rPr>
      </w:pPr>
      <w:bookmarkStart w:id="140" w:name="_Toc28159"/>
      <w:r>
        <w:rPr>
          <w:rFonts w:hint="eastAsia" w:ascii="仿宋_GB2312" w:hAnsi="仿宋_GB2312" w:eastAsia="仿宋_GB2312" w:cs="仿宋_GB2312"/>
          <w:sz w:val="32"/>
          <w:szCs w:val="32"/>
          <w:lang w:val="en-US" w:eastAsia="zh-CN"/>
        </w:rPr>
        <w:t>二、全员参与建设</w:t>
      </w:r>
      <w:bookmarkEnd w:id="140"/>
    </w:p>
    <w:p w14:paraId="0E353B5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坚持把绿美寻甸创建与生态文化宣传结合起来,广泛开展多层次、多渠道、多形式的绿美寻甸宣传活动，充分利用电视、电台、报纸、网站和移动窗口、固定标识等媒介，动员全社会参与绿美城市建设，努力形成政府倡导、广泛宣传、社会参与、自觉自愿的良性发展机制。强化生态科普教育，深入推动生态文明知识“进学校、进企业、进社区、进家庭”活动。建设绿美寻甸，让自然保护区和景区的生态乡土景观、元素和文化进入城市、村镇、交通、水系，在可视、可达、可用的范围，大力倡导绿色、低碳、环保、和谐的生态道德观、生态价值观、生态消费观。切实增强广大市民的绿色意识和生态意识，广泛调动各方面参与林业建设的积极性、主动性和创造性，形成全社会重视绿化、关心绿化、参与绿化的强大合力。对于建设规划和社会普遍关心且政府主导的重大绿化美化项目的设计方案，须经过科学论证，广泛听取各方面意见，形成社会共建合力。在绿美示范项目评选中，利用社交媒体广泛征集公众的意见，创建以人民为本的绿美寻甸。</w:t>
      </w:r>
    </w:p>
    <w:p w14:paraId="6390581A">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2"/>
        <w:rPr>
          <w:rFonts w:hint="eastAsia" w:ascii="仿宋_GB2312" w:hAnsi="仿宋_GB2312" w:eastAsia="仿宋_GB2312" w:cs="仿宋_GB2312"/>
          <w:sz w:val="32"/>
          <w:szCs w:val="32"/>
          <w:lang w:val="en-US" w:eastAsia="zh-CN"/>
        </w:rPr>
      </w:pPr>
      <w:bookmarkStart w:id="141" w:name="_Toc9063"/>
      <w:r>
        <w:rPr>
          <w:rFonts w:hint="eastAsia" w:ascii="仿宋_GB2312" w:hAnsi="仿宋_GB2312" w:eastAsia="仿宋_GB2312" w:cs="仿宋_GB2312"/>
          <w:sz w:val="32"/>
          <w:szCs w:val="32"/>
          <w:lang w:val="en-US" w:eastAsia="zh-CN"/>
        </w:rPr>
        <w:t>三、广泛宣传动员</w:t>
      </w:r>
      <w:bookmarkEnd w:id="141"/>
    </w:p>
    <w:p w14:paraId="56BA3FD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围绕绿美寻甸建设，利用现有网络、传媒等现代化技术，通过线上推广与线下推广相结合的方式，开展主题丰富的宣传活动。对绿美建设的内涵、建设内容、具体活动、与公众的密切关联进行宣传，让绿色走进生活，增强公众对城市绿美建设及可持续问题的共识,自觉形成健康的低碳生活方式,拥护并支持绿美寻甸创建,提升公众对绿美城市规划建设的知晓率、支持率、满意度。共形成九大主题特色宣传项目:</w:t>
      </w:r>
    </w:p>
    <w:p w14:paraId="67AD7D7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绿美寻甸平台多元化推广:利用互联网、微信、微博，以及电视、广播等传统媒体进行自然网点的线上推广，虚拟构建内容包括:绿美示范点分布地图,实现网点一览以及周边网点的快速搜索;绿美建设优质视频虚拟参与。在绿美景区、绿美乡村等地，通过宣传单、宣传品等手段做线下推广。</w:t>
      </w:r>
    </w:p>
    <w:p w14:paraId="576F968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绿道低碳健跑活动:依托包括都市与乡村在内的全域绿道网络，每年开展健跑或骑行活动，活动宣传、活动理念突出“低碳出行、健康生活”的主题，倡导个人、团体、家庭积极参与，可发放共享单车限时免费使用电子券作为活动纪念,进一步推进全民绿色出行。</w:t>
      </w:r>
    </w:p>
    <w:p w14:paraId="3239681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(3)绿美音乐节:依现有旅游景区，每年持续性举办绿美音乐节,音乐主题倡导回归自然，增加少数民族风情歌舞演出，同时还可结合露营、森林深度体验等配套活动，突出绿美音乐节的特色性。</w:t>
      </w:r>
    </w:p>
    <w:p w14:paraId="3F11AC1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乡土风情采风摄影比赛:每年由政府职能部门倡导，社会团体承办乡土风情采风摄影比赛，作品内容以生态森林草山植物、动物、山水、民族文化为主题,通过评比寻找最美寻甸林地草山风光，由网络、报纸等媒体向全体市民呈现。</w:t>
      </w:r>
    </w:p>
    <w:p w14:paraId="00CAF83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(5)绿美庭园线上评选:每年由政府职能部门倡导，社会团体承办绿美庭园线上评选活动，积极鼓励居民上传庭园色彩、乡土植物、特色绿美布置照片，形成绿色健康的社会生活导向。</w:t>
      </w:r>
    </w:p>
    <w:p w14:paraId="5D07E99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(6)绿美民族节庆:以绿美示范场所为依托，利用传统重要节日，如落灯节、开斋节、火把节、花山节、立秋节、农耕节、诗歌节等，开展形式多样的特色活动，并将活动宣传与绿美寻甸适当融合，增强宣传力。</w:t>
      </w:r>
    </w:p>
    <w:p w14:paraId="41097C3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绿美采摘节:结合绿美乡村旅游，建立内容和形式多样、布局合理、管理科学、园内园外交通便利、服务设施配套的生态采摘园，种植热带蔬菜瓜果。每年每季在瓜果蔬菜成熟时，定期举办采摘节，使游客在栽种、采摘的过程中获得收获的喜悦，同时还可以配合周围农家乐的发展，为游客提供自助的绿色有机餐饮、农家住宿等服务，强化公众对绿美寻甸建设的美好体验。</w:t>
      </w:r>
    </w:p>
    <w:p w14:paraId="7264120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(8)绿美建设论坛:绿美寻甸建设是持续性的工作，建设内容需要不断完善，建设效果需要不断评估，建设环节需要群策群力。建议政府主导，相关科研机构支撑，定期开展绿美建设论坛，要求国内外专家把关，共同建好绿美寻甸。</w:t>
      </w:r>
    </w:p>
    <w:p w14:paraId="24F3BCF5">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sz w:val="32"/>
          <w:szCs w:val="32"/>
          <w:lang w:val="en-US" w:eastAsia="zh-CN"/>
        </w:rPr>
      </w:pPr>
    </w:p>
    <w:p w14:paraId="46779A8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5C491"/>
    <w:multiLevelType w:val="singleLevel"/>
    <w:tmpl w:val="8405C491"/>
    <w:lvl w:ilvl="0" w:tentative="0">
      <w:start w:val="2"/>
      <w:numFmt w:val="chineseCounting"/>
      <w:suff w:val="nothing"/>
      <w:lvlText w:val="%1、"/>
      <w:lvlJc w:val="left"/>
      <w:rPr>
        <w:rFonts w:hint="eastAsia"/>
      </w:rPr>
    </w:lvl>
  </w:abstractNum>
  <w:abstractNum w:abstractNumId="1">
    <w:nsid w:val="C26B5357"/>
    <w:multiLevelType w:val="singleLevel"/>
    <w:tmpl w:val="C26B5357"/>
    <w:lvl w:ilvl="0" w:tentative="0">
      <w:start w:val="1"/>
      <w:numFmt w:val="chineseCounting"/>
      <w:suff w:val="space"/>
      <w:lvlText w:val="第%1节"/>
      <w:lvlJc w:val="left"/>
      <w:rPr>
        <w:rFonts w:hint="eastAsia"/>
      </w:rPr>
    </w:lvl>
  </w:abstractNum>
  <w:abstractNum w:abstractNumId="2">
    <w:nsid w:val="E63CC3E8"/>
    <w:multiLevelType w:val="singleLevel"/>
    <w:tmpl w:val="E63CC3E8"/>
    <w:lvl w:ilvl="0" w:tentative="0">
      <w:start w:val="1"/>
      <w:numFmt w:val="chineseCounting"/>
      <w:suff w:val="nothing"/>
      <w:lvlText w:val="%1、"/>
      <w:lvlJc w:val="left"/>
      <w:rPr>
        <w:rFonts w:hint="eastAsia"/>
      </w:rPr>
    </w:lvl>
  </w:abstractNum>
  <w:abstractNum w:abstractNumId="3">
    <w:nsid w:val="37B985E2"/>
    <w:multiLevelType w:val="singleLevel"/>
    <w:tmpl w:val="37B985E2"/>
    <w:lvl w:ilvl="0" w:tentative="0">
      <w:start w:val="6"/>
      <w:numFmt w:val="chineseCounting"/>
      <w:suff w:val="space"/>
      <w:lvlText w:val="第%1节"/>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YjZhYTc3MDQyMGJkZThiNTdmNDJiNjZmZDNlNTAifQ=="/>
  </w:docVars>
  <w:rsids>
    <w:rsidRoot w:val="22981CC8"/>
    <w:rsid w:val="00E162A1"/>
    <w:rsid w:val="026C10A8"/>
    <w:rsid w:val="02971EE8"/>
    <w:rsid w:val="03617781"/>
    <w:rsid w:val="04241C33"/>
    <w:rsid w:val="05CC604A"/>
    <w:rsid w:val="06E67292"/>
    <w:rsid w:val="070D2EBE"/>
    <w:rsid w:val="0790620C"/>
    <w:rsid w:val="07C90305"/>
    <w:rsid w:val="08213026"/>
    <w:rsid w:val="08375FA3"/>
    <w:rsid w:val="085C629F"/>
    <w:rsid w:val="08770936"/>
    <w:rsid w:val="087F3D1C"/>
    <w:rsid w:val="08A72B38"/>
    <w:rsid w:val="09326604"/>
    <w:rsid w:val="09886555"/>
    <w:rsid w:val="09A82D92"/>
    <w:rsid w:val="0A4C3670"/>
    <w:rsid w:val="0A7771D8"/>
    <w:rsid w:val="0A9B6052"/>
    <w:rsid w:val="0AA44FAC"/>
    <w:rsid w:val="0AA45030"/>
    <w:rsid w:val="0B8C775A"/>
    <w:rsid w:val="0CCC0ABA"/>
    <w:rsid w:val="0D0A0CF0"/>
    <w:rsid w:val="0D472C1E"/>
    <w:rsid w:val="0D927F61"/>
    <w:rsid w:val="0DAB6A84"/>
    <w:rsid w:val="0E6D7B39"/>
    <w:rsid w:val="0E737D76"/>
    <w:rsid w:val="0F640926"/>
    <w:rsid w:val="0FBB61E5"/>
    <w:rsid w:val="10107F31"/>
    <w:rsid w:val="1027425A"/>
    <w:rsid w:val="10863702"/>
    <w:rsid w:val="111E5047"/>
    <w:rsid w:val="112F73F5"/>
    <w:rsid w:val="118D0B24"/>
    <w:rsid w:val="11E529C0"/>
    <w:rsid w:val="11E558EB"/>
    <w:rsid w:val="12791C82"/>
    <w:rsid w:val="134C3F3C"/>
    <w:rsid w:val="137369AE"/>
    <w:rsid w:val="13997F8A"/>
    <w:rsid w:val="13A303FE"/>
    <w:rsid w:val="14D42B6C"/>
    <w:rsid w:val="152C1C4D"/>
    <w:rsid w:val="15CA2A88"/>
    <w:rsid w:val="15E93513"/>
    <w:rsid w:val="15F0706A"/>
    <w:rsid w:val="161C0B5A"/>
    <w:rsid w:val="162437A1"/>
    <w:rsid w:val="164868FD"/>
    <w:rsid w:val="167149A2"/>
    <w:rsid w:val="16F60DE1"/>
    <w:rsid w:val="17E50D6C"/>
    <w:rsid w:val="17F20D93"/>
    <w:rsid w:val="19186F69"/>
    <w:rsid w:val="191B724C"/>
    <w:rsid w:val="1A8244A0"/>
    <w:rsid w:val="1AE3075E"/>
    <w:rsid w:val="1B4F6CA9"/>
    <w:rsid w:val="1B6F7731"/>
    <w:rsid w:val="1BCD2DBE"/>
    <w:rsid w:val="1BEA3EEF"/>
    <w:rsid w:val="1C406F2F"/>
    <w:rsid w:val="1C4F0263"/>
    <w:rsid w:val="1CB52B00"/>
    <w:rsid w:val="1CD87180"/>
    <w:rsid w:val="1D080B4B"/>
    <w:rsid w:val="1DD43CFE"/>
    <w:rsid w:val="1E317004"/>
    <w:rsid w:val="1E367BF0"/>
    <w:rsid w:val="1E6131E6"/>
    <w:rsid w:val="1E8350D4"/>
    <w:rsid w:val="1E934C9E"/>
    <w:rsid w:val="1FA53DE4"/>
    <w:rsid w:val="20277CC6"/>
    <w:rsid w:val="20716662"/>
    <w:rsid w:val="207B0590"/>
    <w:rsid w:val="21722883"/>
    <w:rsid w:val="22327D40"/>
    <w:rsid w:val="22981CC8"/>
    <w:rsid w:val="23115C02"/>
    <w:rsid w:val="236E40AC"/>
    <w:rsid w:val="23A00272"/>
    <w:rsid w:val="23A84A56"/>
    <w:rsid w:val="244B647F"/>
    <w:rsid w:val="25323A70"/>
    <w:rsid w:val="25390ECA"/>
    <w:rsid w:val="25427B6E"/>
    <w:rsid w:val="267D0E63"/>
    <w:rsid w:val="26BE4C77"/>
    <w:rsid w:val="26E26B5A"/>
    <w:rsid w:val="270F7E65"/>
    <w:rsid w:val="27F87645"/>
    <w:rsid w:val="281F1BDE"/>
    <w:rsid w:val="2886146E"/>
    <w:rsid w:val="28C72473"/>
    <w:rsid w:val="2924418E"/>
    <w:rsid w:val="296245E6"/>
    <w:rsid w:val="2A140BA3"/>
    <w:rsid w:val="2A31714F"/>
    <w:rsid w:val="2B0E6A09"/>
    <w:rsid w:val="2BD57229"/>
    <w:rsid w:val="2C3B118D"/>
    <w:rsid w:val="2C705A32"/>
    <w:rsid w:val="2DD7163E"/>
    <w:rsid w:val="2E776073"/>
    <w:rsid w:val="2EA119DB"/>
    <w:rsid w:val="2EAF42A6"/>
    <w:rsid w:val="2F803AA3"/>
    <w:rsid w:val="30350B86"/>
    <w:rsid w:val="305E05EC"/>
    <w:rsid w:val="30A401E3"/>
    <w:rsid w:val="315A76DB"/>
    <w:rsid w:val="32262058"/>
    <w:rsid w:val="32D93543"/>
    <w:rsid w:val="33761A5A"/>
    <w:rsid w:val="33D67040"/>
    <w:rsid w:val="33DA627F"/>
    <w:rsid w:val="34FE0EDE"/>
    <w:rsid w:val="35666314"/>
    <w:rsid w:val="35886420"/>
    <w:rsid w:val="37791EB5"/>
    <w:rsid w:val="37D91850"/>
    <w:rsid w:val="388035D3"/>
    <w:rsid w:val="39B63A72"/>
    <w:rsid w:val="3A9F4080"/>
    <w:rsid w:val="3AD76AC1"/>
    <w:rsid w:val="3C3709B3"/>
    <w:rsid w:val="3C3E3D99"/>
    <w:rsid w:val="3C8D4E74"/>
    <w:rsid w:val="3CBD683F"/>
    <w:rsid w:val="3CC2602E"/>
    <w:rsid w:val="3D081529"/>
    <w:rsid w:val="3D534296"/>
    <w:rsid w:val="3D620BC1"/>
    <w:rsid w:val="3E3A5439"/>
    <w:rsid w:val="3EF76E88"/>
    <w:rsid w:val="40054023"/>
    <w:rsid w:val="406C1427"/>
    <w:rsid w:val="40B36FC3"/>
    <w:rsid w:val="412A416F"/>
    <w:rsid w:val="41A3665C"/>
    <w:rsid w:val="41BD1150"/>
    <w:rsid w:val="428103FC"/>
    <w:rsid w:val="42D13CD1"/>
    <w:rsid w:val="434953F5"/>
    <w:rsid w:val="43F90D8D"/>
    <w:rsid w:val="44115032"/>
    <w:rsid w:val="445B3D9D"/>
    <w:rsid w:val="449C1335"/>
    <w:rsid w:val="44D73E0C"/>
    <w:rsid w:val="456B6338"/>
    <w:rsid w:val="45A9300A"/>
    <w:rsid w:val="46066854"/>
    <w:rsid w:val="46CD287C"/>
    <w:rsid w:val="478672F5"/>
    <w:rsid w:val="482B4910"/>
    <w:rsid w:val="4A0D46B6"/>
    <w:rsid w:val="4A4E0B2C"/>
    <w:rsid w:val="4A792E12"/>
    <w:rsid w:val="4A9170B7"/>
    <w:rsid w:val="4AA563EB"/>
    <w:rsid w:val="4C186190"/>
    <w:rsid w:val="4C590B23"/>
    <w:rsid w:val="4C7F19A7"/>
    <w:rsid w:val="4C884ADA"/>
    <w:rsid w:val="4CBE372D"/>
    <w:rsid w:val="4CF968D0"/>
    <w:rsid w:val="4D8A373B"/>
    <w:rsid w:val="4DB71618"/>
    <w:rsid w:val="4E5907C2"/>
    <w:rsid w:val="4E9459CA"/>
    <w:rsid w:val="4E9B142D"/>
    <w:rsid w:val="4ECC0718"/>
    <w:rsid w:val="4F024151"/>
    <w:rsid w:val="503A0CCE"/>
    <w:rsid w:val="50A54548"/>
    <w:rsid w:val="50A9293A"/>
    <w:rsid w:val="50DC6C6C"/>
    <w:rsid w:val="51551EC0"/>
    <w:rsid w:val="516E7562"/>
    <w:rsid w:val="51B20262"/>
    <w:rsid w:val="529B5185"/>
    <w:rsid w:val="52F06074"/>
    <w:rsid w:val="531F7523"/>
    <w:rsid w:val="53C140AE"/>
    <w:rsid w:val="53E2516F"/>
    <w:rsid w:val="53E710BB"/>
    <w:rsid w:val="53F04335"/>
    <w:rsid w:val="5431162F"/>
    <w:rsid w:val="543A72F3"/>
    <w:rsid w:val="548F22D4"/>
    <w:rsid w:val="54E93705"/>
    <w:rsid w:val="553A705F"/>
    <w:rsid w:val="556933D2"/>
    <w:rsid w:val="55875940"/>
    <w:rsid w:val="55D04A32"/>
    <w:rsid w:val="565A51F8"/>
    <w:rsid w:val="5788577E"/>
    <w:rsid w:val="581D3036"/>
    <w:rsid w:val="58224C33"/>
    <w:rsid w:val="5857395B"/>
    <w:rsid w:val="586B4959"/>
    <w:rsid w:val="58E93DFA"/>
    <w:rsid w:val="59132AAB"/>
    <w:rsid w:val="59595FA5"/>
    <w:rsid w:val="599D6464"/>
    <w:rsid w:val="5A735C91"/>
    <w:rsid w:val="5D2C7A08"/>
    <w:rsid w:val="5D441C9A"/>
    <w:rsid w:val="5E8C02A9"/>
    <w:rsid w:val="5FC478F8"/>
    <w:rsid w:val="5FDA1427"/>
    <w:rsid w:val="5FDE7B88"/>
    <w:rsid w:val="60454B99"/>
    <w:rsid w:val="604942B0"/>
    <w:rsid w:val="604B3837"/>
    <w:rsid w:val="607579E6"/>
    <w:rsid w:val="60F97A64"/>
    <w:rsid w:val="61DE64C6"/>
    <w:rsid w:val="62662E8A"/>
    <w:rsid w:val="631A389A"/>
    <w:rsid w:val="6320418C"/>
    <w:rsid w:val="63C23537"/>
    <w:rsid w:val="64327919"/>
    <w:rsid w:val="649F01BE"/>
    <w:rsid w:val="65160D0F"/>
    <w:rsid w:val="653C66C2"/>
    <w:rsid w:val="65934006"/>
    <w:rsid w:val="65AB73B0"/>
    <w:rsid w:val="65DF0067"/>
    <w:rsid w:val="66F0227C"/>
    <w:rsid w:val="66FC39CF"/>
    <w:rsid w:val="670A544A"/>
    <w:rsid w:val="67AF633C"/>
    <w:rsid w:val="68185EB6"/>
    <w:rsid w:val="68821730"/>
    <w:rsid w:val="68E7433A"/>
    <w:rsid w:val="694D0341"/>
    <w:rsid w:val="69936528"/>
    <w:rsid w:val="69964055"/>
    <w:rsid w:val="69C85E0E"/>
    <w:rsid w:val="6B0F6530"/>
    <w:rsid w:val="6BBA0142"/>
    <w:rsid w:val="6C017E98"/>
    <w:rsid w:val="6D735938"/>
    <w:rsid w:val="6D7C6E51"/>
    <w:rsid w:val="6E0A0040"/>
    <w:rsid w:val="6E104882"/>
    <w:rsid w:val="6E4D65CA"/>
    <w:rsid w:val="6EDC0332"/>
    <w:rsid w:val="6EEA600A"/>
    <w:rsid w:val="6F2975A0"/>
    <w:rsid w:val="6FB168AE"/>
    <w:rsid w:val="6FC703DD"/>
    <w:rsid w:val="70830821"/>
    <w:rsid w:val="708E1FF9"/>
    <w:rsid w:val="7337299A"/>
    <w:rsid w:val="745E6A67"/>
    <w:rsid w:val="74CE4179"/>
    <w:rsid w:val="74F64A67"/>
    <w:rsid w:val="755B2D44"/>
    <w:rsid w:val="7561073E"/>
    <w:rsid w:val="756E63FD"/>
    <w:rsid w:val="763D362D"/>
    <w:rsid w:val="76CE0D71"/>
    <w:rsid w:val="76DA3FE1"/>
    <w:rsid w:val="76E721AE"/>
    <w:rsid w:val="78825221"/>
    <w:rsid w:val="79256BC6"/>
    <w:rsid w:val="7A5A427C"/>
    <w:rsid w:val="7B027966"/>
    <w:rsid w:val="7B0D5C21"/>
    <w:rsid w:val="7B700151"/>
    <w:rsid w:val="7BC404F9"/>
    <w:rsid w:val="7CF27A3C"/>
    <w:rsid w:val="7DED0121"/>
    <w:rsid w:val="7ED04D9E"/>
    <w:rsid w:val="7EE87385"/>
    <w:rsid w:val="7EEE12EA"/>
    <w:rsid w:val="7F214A95"/>
    <w:rsid w:val="7FA2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3">
    <w:name w:val="Body Text"/>
    <w:basedOn w:val="1"/>
    <w:next w:val="1"/>
    <w:qFormat/>
    <w:uiPriority w:val="0"/>
    <w:pPr>
      <w:spacing w:after="120"/>
    </w:pPr>
  </w:style>
  <w:style w:type="paragraph" w:styleId="4">
    <w:name w:val="Body Text Indent"/>
    <w:basedOn w:val="1"/>
    <w:qFormat/>
    <w:uiPriority w:val="0"/>
    <w:pPr>
      <w:ind w:firstLine="567"/>
    </w:pPr>
  </w:style>
  <w:style w:type="paragraph" w:styleId="5">
    <w:name w:val="toc 3"/>
    <w:basedOn w:val="1"/>
    <w:next w:val="1"/>
    <w:qFormat/>
    <w:uiPriority w:val="39"/>
    <w:pPr>
      <w:ind w:left="840" w:leftChars="400"/>
    </w:pPr>
  </w:style>
  <w:style w:type="paragraph" w:styleId="6">
    <w:name w:val="footer"/>
    <w:basedOn w:val="1"/>
    <w:qFormat/>
    <w:uiPriority w:val="99"/>
    <w:pPr>
      <w:tabs>
        <w:tab w:val="center" w:pos="4153"/>
        <w:tab w:val="right" w:pos="8306"/>
      </w:tabs>
      <w:snapToGrid w:val="0"/>
      <w:jc w:val="left"/>
    </w:pPr>
    <w:rPr>
      <w:sz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Body Text First Indent 2"/>
    <w:basedOn w:val="4"/>
    <w:unhideWhenUsed/>
    <w:qFormat/>
    <w:uiPriority w:val="0"/>
    <w:pPr>
      <w:spacing w:after="120"/>
      <w:ind w:left="420" w:leftChars="200" w:firstLine="420" w:firstLineChars="200"/>
    </w:pPr>
    <w:rPr>
      <w:sz w:val="24"/>
      <w:szCs w:val="2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2级"/>
    <w:basedOn w:val="1"/>
    <w:qFormat/>
    <w:uiPriority w:val="0"/>
    <w:pPr>
      <w:overflowPunct w:val="0"/>
      <w:spacing w:before="200" w:after="200" w:line="560" w:lineRule="exact"/>
      <w:jc w:val="center"/>
      <w:outlineLvl w:val="1"/>
    </w:pPr>
    <w:rPr>
      <w:rFonts w:ascii="Times New Roman" w:hAnsi="Times New Roman" w:eastAsia="楷体_GB2312"/>
      <w:b/>
      <w:bCs/>
      <w:sz w:val="32"/>
      <w:szCs w:val="32"/>
    </w:rPr>
  </w:style>
  <w:style w:type="paragraph" w:customStyle="1" w:styleId="14">
    <w:name w:val="3级"/>
    <w:basedOn w:val="1"/>
    <w:qFormat/>
    <w:uiPriority w:val="0"/>
    <w:pPr>
      <w:overflowPunct w:val="0"/>
      <w:spacing w:line="560" w:lineRule="exact"/>
      <w:ind w:firstLine="642" w:firstLineChars="200"/>
      <w:outlineLvl w:val="2"/>
    </w:pPr>
    <w:rPr>
      <w:rFonts w:ascii="Times New Roman" w:hAnsi="Times New Roman" w:eastAsia="仿宋_GB2312"/>
      <w:b/>
      <w:bCs/>
      <w:sz w:val="32"/>
      <w:szCs w:val="32"/>
    </w:rPr>
  </w:style>
  <w:style w:type="paragraph" w:customStyle="1" w:styleId="15">
    <w:name w:val="三级标题"/>
    <w:basedOn w:val="1"/>
    <w:qFormat/>
    <w:uiPriority w:val="0"/>
    <w:pPr>
      <w:ind w:firstLine="560" w:firstLineChars="200"/>
    </w:pPr>
    <w:rPr>
      <w:rFonts w:hint="eastAsia" w:ascii="仿宋" w:hAnsi="仿宋" w:eastAsia="仿宋" w:cs="仿宋"/>
      <w:b/>
      <w:color w:val="auto"/>
      <w:sz w:val="28"/>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昆明市寻甸县党政机关单位</Company>
  <Pages>59</Pages>
  <Words>29061</Words>
  <Characters>29866</Characters>
  <Lines>0</Lines>
  <Paragraphs>0</Paragraphs>
  <TotalTime>5</TotalTime>
  <ScaleCrop>false</ScaleCrop>
  <LinksUpToDate>false</LinksUpToDate>
  <CharactersWithSpaces>30139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2023-11-22T08:24:00Z</dcterms:created>
  <dc:creator>ling</dc:creator>
  <cp:lastModifiedBy>学而知之</cp:lastModifiedBy>
  <cp:lastPrinted>2024-01-08T07:58:00Z</cp:lastPrinted>
  <dcterms:modified xsi:type="dcterms:W3CDTF">2025-12-08T08:27:28Z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5C01E3F34CE54732BDD3EC167F8251ED_13</vt:lpwstr>
  </property>
  <property fmtid="{D5CDD505-2E9C-101B-9397-08002B2CF9AE}" pid="4" name="KSOTemplateDocerSaveRecord">
    <vt:lpwstr>eyJoZGlkIjoiNDlhYTc5NDc4NDUxMTc0YzljM2FkNzNkNjQyOGQ0Y2EiLCJ1c2VySWQiOiIxOTk2MjU0OTkifQ==</vt:lpwstr>
  </property>
</Properties>
</file>