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12F85">
      <w:pPr>
        <w:widowControl/>
        <w:spacing w:line="560" w:lineRule="exact"/>
        <w:jc w:val="center"/>
        <w:rPr>
          <w:rFonts w:ascii="Times New Roman" w:hAnsi="Times New Roman" w:eastAsia="方正小标宋简体" w:cs="Times New Roman"/>
          <w:color w:val="000000"/>
          <w:kern w:val="0"/>
          <w:sz w:val="44"/>
          <w:szCs w:val="44"/>
          <w:lang w:bidi="ar"/>
        </w:rPr>
      </w:pPr>
      <w:r>
        <w:rPr>
          <w:rFonts w:ascii="Times New Roman" w:hAnsi="Times New Roman" w:eastAsia="方正小标宋简体" w:cs="Times New Roman"/>
          <w:color w:val="000000"/>
          <w:kern w:val="0"/>
          <w:sz w:val="44"/>
          <w:szCs w:val="44"/>
          <w:lang w:bidi="ar"/>
        </w:rPr>
        <w:t>昆明市生态环境局寻甸分局关于对《云南省寻甸县化香箐采石场废弃矿坑生态修复项目环境影响报告表》的批复</w:t>
      </w:r>
    </w:p>
    <w:p w14:paraId="38533371">
      <w:pPr>
        <w:widowControl/>
        <w:spacing w:line="560" w:lineRule="exact"/>
        <w:rPr>
          <w:rFonts w:hint="default" w:ascii="Times New Roman" w:hAnsi="Times New Roman" w:eastAsia="方正小标宋简体" w:cs="Times New Roman"/>
          <w:color w:val="000000"/>
          <w:kern w:val="0"/>
          <w:sz w:val="44"/>
          <w:szCs w:val="44"/>
          <w:lang w:val="en-US" w:eastAsia="zh-CN" w:bidi="ar"/>
        </w:rPr>
      </w:pPr>
      <w:r>
        <w:rPr>
          <w:rFonts w:hint="eastAsia" w:ascii="Times New Roman" w:hAnsi="Times New Roman" w:eastAsia="方正小标宋简体" w:cs="Times New Roman"/>
          <w:color w:val="000000"/>
          <w:kern w:val="0"/>
          <w:sz w:val="44"/>
          <w:szCs w:val="44"/>
          <w:lang w:val="en-US" w:eastAsia="zh-CN" w:bidi="ar"/>
        </w:rPr>
        <w:t xml:space="preserve">              </w:t>
      </w:r>
    </w:p>
    <w:p w14:paraId="676C93E7">
      <w:pPr>
        <w:spacing w:line="560" w:lineRule="exac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中化云龙有限公司：</w:t>
      </w:r>
    </w:p>
    <w:p w14:paraId="769DF931">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你单位上报的委托昆明博安环环境科技合伙企业（有限合伙）编制的《云南省寻甸县化香箐采石场废弃矿坑生态修复项目环境影响报告表》（以下简称《报告表》）项目代码2403-530129-04-05-604912收悉。根据《中华人民共和国环境影响评价法》第二十二条、《建设项目环境保护管理条例》第九条，经研究，批复如下：</w:t>
      </w:r>
    </w:p>
    <w:p w14:paraId="394B2AC3">
      <w:pPr>
        <w:widowControl/>
        <w:spacing w:line="560" w:lineRule="exact"/>
        <w:ind w:firstLine="640" w:firstLineChars="200"/>
        <w:rPr>
          <w:rFonts w:ascii="Times New Roman" w:hAnsi="Times New Roman" w:eastAsia="仿宋_GB2312" w:cs="Times New Roman"/>
          <w:color w:val="00B0F0"/>
          <w:kern w:val="0"/>
          <w:sz w:val="32"/>
          <w:szCs w:val="32"/>
          <w:lang w:bidi="ar"/>
        </w:rPr>
      </w:pPr>
      <w:r>
        <w:rPr>
          <w:rFonts w:hint="eastAsia" w:ascii="Times New Roman" w:hAnsi="Times New Roman" w:eastAsia="仿宋_GB2312" w:cs="Times New Roman"/>
          <w:color w:val="000000"/>
          <w:kern w:val="0"/>
          <w:sz w:val="32"/>
          <w:szCs w:val="32"/>
          <w:lang w:bidi="ar"/>
        </w:rPr>
        <w:t>一、</w:t>
      </w:r>
      <w:r>
        <w:rPr>
          <w:rFonts w:ascii="Times New Roman" w:hAnsi="Times New Roman" w:eastAsia="仿宋_GB2312" w:cs="Times New Roman"/>
          <w:color w:val="000000"/>
          <w:kern w:val="0"/>
          <w:sz w:val="32"/>
          <w:szCs w:val="32"/>
          <w:lang w:bidi="ar"/>
        </w:rPr>
        <w:t>项目建设地点位于云南省昆明市寻甸县功山镇</w:t>
      </w:r>
      <w:r>
        <w:rPr>
          <w:rFonts w:hint="eastAsia" w:ascii="Times New Roman" w:hAnsi="Times New Roman" w:eastAsia="仿宋_GB2312" w:cs="Times New Roman"/>
          <w:color w:val="000000"/>
          <w:kern w:val="0"/>
          <w:sz w:val="32"/>
          <w:szCs w:val="32"/>
          <w:lang w:val="en-US" w:eastAsia="zh-CN" w:bidi="ar"/>
        </w:rPr>
        <w:t>纲纪</w:t>
      </w:r>
      <w:r>
        <w:rPr>
          <w:rFonts w:ascii="Times New Roman" w:hAnsi="Times New Roman" w:eastAsia="仿宋_GB2312" w:cs="Times New Roman"/>
          <w:color w:val="000000"/>
          <w:kern w:val="0"/>
          <w:sz w:val="32"/>
          <w:szCs w:val="32"/>
          <w:lang w:bidi="ar"/>
        </w:rPr>
        <w:t>村委会化香箐村旁，为矿山生态修复项目。项目采用“地质灾害治理（场地平整、边坡治理、防渗工程、回填治理）+生态重建（土壤重构+植被重建）”的方式对矿区进行生态修复，项目修复面积为4.7332hm</w:t>
      </w:r>
      <w:r>
        <w:rPr>
          <w:rFonts w:ascii="Times New Roman" w:hAnsi="Times New Roman" w:eastAsia="仿宋_GB2312" w:cs="Times New Roman"/>
          <w:color w:val="000000"/>
          <w:kern w:val="0"/>
          <w:sz w:val="32"/>
          <w:szCs w:val="32"/>
          <w:vertAlign w:val="superscript"/>
          <w:lang w:bidi="ar"/>
        </w:rPr>
        <w:t>2</w:t>
      </w:r>
      <w:r>
        <w:rPr>
          <w:rFonts w:ascii="Times New Roman" w:hAnsi="Times New Roman" w:eastAsia="仿宋_GB2312" w:cs="Times New Roman"/>
          <w:color w:val="000000"/>
          <w:kern w:val="0"/>
          <w:sz w:val="32"/>
          <w:szCs w:val="32"/>
          <w:lang w:bidi="ar"/>
        </w:rPr>
        <w:t>，其中回填区域2.7831hm</w:t>
      </w:r>
      <w:r>
        <w:rPr>
          <w:rFonts w:ascii="Times New Roman" w:hAnsi="Times New Roman" w:eastAsia="仿宋_GB2312" w:cs="Times New Roman"/>
          <w:color w:val="000000"/>
          <w:kern w:val="0"/>
          <w:sz w:val="32"/>
          <w:szCs w:val="32"/>
          <w:vertAlign w:val="superscript"/>
          <w:lang w:bidi="ar"/>
        </w:rPr>
        <w:t>2</w:t>
      </w:r>
      <w:r>
        <w:rPr>
          <w:rFonts w:ascii="Times New Roman" w:hAnsi="Times New Roman" w:eastAsia="仿宋_GB2312" w:cs="Times New Roman"/>
          <w:color w:val="000000"/>
          <w:kern w:val="0"/>
          <w:sz w:val="32"/>
          <w:szCs w:val="32"/>
          <w:lang w:bidi="ar"/>
        </w:rPr>
        <w:t>，后续复垦为耕地，边坡区复垦为草地；非回填区1.9501hm</w:t>
      </w:r>
      <w:r>
        <w:rPr>
          <w:rFonts w:ascii="Times New Roman" w:hAnsi="Times New Roman" w:eastAsia="仿宋_GB2312" w:cs="Times New Roman"/>
          <w:color w:val="000000"/>
          <w:kern w:val="0"/>
          <w:sz w:val="32"/>
          <w:szCs w:val="32"/>
          <w:vertAlign w:val="superscript"/>
          <w:lang w:bidi="ar"/>
        </w:rPr>
        <w:t>2</w:t>
      </w:r>
      <w:r>
        <w:rPr>
          <w:rFonts w:ascii="Times New Roman" w:hAnsi="Times New Roman" w:eastAsia="仿宋_GB2312" w:cs="Times New Roman"/>
          <w:color w:val="000000"/>
          <w:kern w:val="0"/>
          <w:sz w:val="32"/>
          <w:szCs w:val="32"/>
          <w:lang w:bidi="ar"/>
        </w:rPr>
        <w:t>，后续分地块</w:t>
      </w:r>
      <w:r>
        <w:rPr>
          <w:rFonts w:hint="eastAsia" w:ascii="Times New Roman" w:hAnsi="Times New Roman" w:eastAsia="仿宋_GB2312" w:cs="Times New Roman"/>
          <w:color w:val="000000"/>
          <w:kern w:val="0"/>
          <w:sz w:val="32"/>
          <w:szCs w:val="32"/>
          <w:lang w:bidi="ar"/>
        </w:rPr>
        <w:t>恢复</w:t>
      </w:r>
      <w:r>
        <w:rPr>
          <w:rFonts w:ascii="Times New Roman" w:hAnsi="Times New Roman" w:eastAsia="仿宋_GB2312" w:cs="Times New Roman"/>
          <w:color w:val="000000"/>
          <w:kern w:val="0"/>
          <w:sz w:val="32"/>
          <w:szCs w:val="32"/>
          <w:lang w:bidi="ar"/>
        </w:rPr>
        <w:t>为林地、草地。</w:t>
      </w:r>
      <w:r>
        <w:rPr>
          <w:rFonts w:hint="eastAsia" w:ascii="Times New Roman" w:hAnsi="Times New Roman" w:eastAsia="仿宋_GB2312" w:cs="Times New Roman"/>
          <w:color w:val="000000"/>
          <w:kern w:val="0"/>
          <w:sz w:val="32"/>
          <w:szCs w:val="32"/>
          <w:lang w:bidi="ar"/>
        </w:rPr>
        <w:t>实施年限为4年，施工期1年、养护期3年。</w:t>
      </w:r>
      <w:r>
        <w:rPr>
          <w:rFonts w:ascii="Times New Roman" w:hAnsi="Times New Roman" w:eastAsia="仿宋_GB2312" w:cs="Times New Roman"/>
          <w:color w:val="000000"/>
          <w:kern w:val="0"/>
          <w:sz w:val="32"/>
          <w:szCs w:val="32"/>
          <w:lang w:bidi="ar"/>
        </w:rPr>
        <w:t>项目修复区内不涉及磷石膏改性</w:t>
      </w:r>
      <w:r>
        <w:rPr>
          <w:rFonts w:hint="eastAsia" w:ascii="Times New Roman" w:hAnsi="Times New Roman" w:eastAsia="仿宋_GB2312" w:cs="Times New Roman"/>
          <w:color w:val="000000"/>
          <w:kern w:val="0"/>
          <w:sz w:val="32"/>
          <w:szCs w:val="32"/>
          <w:lang w:bidi="ar"/>
        </w:rPr>
        <w:t>工序，</w:t>
      </w:r>
      <w:r>
        <w:rPr>
          <w:rFonts w:ascii="Times New Roman" w:hAnsi="Times New Roman" w:eastAsia="仿宋_GB2312" w:cs="Times New Roman"/>
          <w:color w:val="000000"/>
          <w:kern w:val="0"/>
          <w:sz w:val="32"/>
          <w:szCs w:val="32"/>
          <w:lang w:bidi="ar"/>
        </w:rPr>
        <w:t>矿坑回填材料为</w:t>
      </w:r>
      <w:r>
        <w:rPr>
          <w:rFonts w:hint="eastAsia" w:ascii="Times New Roman" w:hAnsi="Times New Roman" w:eastAsia="仿宋_GB2312" w:cs="Times New Roman"/>
          <w:color w:val="000000"/>
          <w:kern w:val="0"/>
          <w:sz w:val="32"/>
          <w:szCs w:val="32"/>
          <w:lang w:bidi="ar"/>
        </w:rPr>
        <w:t>中化云龙有限公司</w:t>
      </w:r>
      <w:r>
        <w:rPr>
          <w:rFonts w:ascii="Times New Roman" w:hAnsi="Times New Roman" w:eastAsia="仿宋_GB2312" w:cs="Times New Roman"/>
          <w:color w:val="000000"/>
          <w:kern w:val="0"/>
          <w:sz w:val="32"/>
          <w:szCs w:val="32"/>
          <w:lang w:bidi="ar"/>
        </w:rPr>
        <w:t>无害化处理后的改性磷石膏，综合</w:t>
      </w:r>
      <w:r>
        <w:rPr>
          <w:rFonts w:hint="eastAsia" w:ascii="Times New Roman" w:hAnsi="Times New Roman" w:eastAsia="仿宋_GB2312" w:cs="Times New Roman"/>
          <w:color w:val="000000"/>
          <w:kern w:val="0"/>
          <w:sz w:val="32"/>
          <w:szCs w:val="32"/>
          <w:lang w:bidi="ar"/>
        </w:rPr>
        <w:t>回填</w:t>
      </w:r>
      <w:r>
        <w:rPr>
          <w:rFonts w:ascii="Times New Roman" w:hAnsi="Times New Roman" w:eastAsia="仿宋_GB2312" w:cs="Times New Roman"/>
          <w:color w:val="000000"/>
          <w:kern w:val="0"/>
          <w:sz w:val="32"/>
          <w:szCs w:val="32"/>
          <w:lang w:bidi="ar"/>
        </w:rPr>
        <w:t>量为45.46m</w:t>
      </w:r>
      <w:r>
        <w:rPr>
          <w:rFonts w:ascii="Times New Roman" w:hAnsi="Times New Roman" w:eastAsia="仿宋_GB2312" w:cs="Times New Roman"/>
          <w:color w:val="000000"/>
          <w:kern w:val="0"/>
          <w:sz w:val="32"/>
          <w:szCs w:val="32"/>
          <w:vertAlign w:val="superscript"/>
          <w:lang w:bidi="ar"/>
        </w:rPr>
        <w:t>3</w:t>
      </w:r>
      <w:r>
        <w:rPr>
          <w:rFonts w:ascii="Times New Roman" w:hAnsi="Times New Roman" w:eastAsia="仿宋_GB2312" w:cs="Times New Roman"/>
          <w:color w:val="000000"/>
          <w:kern w:val="0"/>
          <w:sz w:val="32"/>
          <w:szCs w:val="32"/>
          <w:lang w:bidi="ar"/>
        </w:rPr>
        <w:t>（75万吨）</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kern w:val="0"/>
          <w:sz w:val="32"/>
          <w:szCs w:val="32"/>
          <w:lang w:bidi="ar"/>
        </w:rPr>
        <w:t>矿山</w:t>
      </w:r>
      <w:r>
        <w:rPr>
          <w:rFonts w:ascii="Times New Roman" w:hAnsi="Times New Roman" w:eastAsia="仿宋_GB2312" w:cs="Times New Roman"/>
          <w:color w:val="000000"/>
          <w:kern w:val="0"/>
          <w:sz w:val="32"/>
          <w:szCs w:val="32"/>
          <w:lang w:bidi="ar"/>
        </w:rPr>
        <w:t>生态修复过程中应按照《磷石膏的处理处置规范》（GB/T32124-2024）、《改性磷石膏用于矿山废弃地生态修复回填技术规范》（DB53/T 1269-2024）中</w:t>
      </w:r>
      <w:r>
        <w:rPr>
          <w:rFonts w:hint="eastAsia" w:ascii="Times New Roman" w:hAnsi="Times New Roman" w:eastAsia="仿宋_GB2312" w:cs="Times New Roman"/>
          <w:color w:val="000000"/>
          <w:kern w:val="0"/>
          <w:sz w:val="32"/>
          <w:szCs w:val="32"/>
          <w:lang w:bidi="ar"/>
        </w:rPr>
        <w:t>有关要求，对改性磷石膏指标进行检测</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对每批次回填改性磷石膏进行采样分析，合格后方可回填。项目</w:t>
      </w:r>
      <w:r>
        <w:rPr>
          <w:rFonts w:ascii="Times New Roman" w:hAnsi="Times New Roman" w:eastAsia="仿宋_GB2312" w:cs="Times New Roman"/>
          <w:color w:val="000000"/>
          <w:kern w:val="0"/>
          <w:sz w:val="32"/>
          <w:szCs w:val="32"/>
          <w:lang w:bidi="ar"/>
        </w:rPr>
        <w:t>建设内容包括拆除工程、回填区场地平整及边坡治理、防渗工程、回填工程、拦挡工程、导排工程、植被恢复工程等主体工程，以及配套辅助工程、公用工程及环保工程等。项目总投资6288.58万元，其中环保投资864.5万元。</w:t>
      </w:r>
    </w:p>
    <w:p w14:paraId="172F50B0">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根据昆明市生态环境工程评估中心《关于对〈云南省寻化香箐采石场废弃矿坑生态修复项目环境影响报告表〉的技术评估意见》(昆环评估意见 寻甸〔2024〕3</w:t>
      </w:r>
      <w:r>
        <w:rPr>
          <w:rFonts w:hint="eastAsia" w:ascii="Times New Roman" w:hAnsi="Times New Roman" w:eastAsia="仿宋_GB2312" w:cs="Times New Roman"/>
          <w:color w:val="000000"/>
          <w:kern w:val="0"/>
          <w:sz w:val="32"/>
          <w:szCs w:val="32"/>
          <w:lang w:bidi="ar"/>
        </w:rPr>
        <w:t>6</w:t>
      </w:r>
      <w:r>
        <w:rPr>
          <w:rFonts w:ascii="Times New Roman" w:hAnsi="Times New Roman" w:eastAsia="仿宋_GB2312" w:cs="Times New Roman"/>
          <w:color w:val="000000"/>
          <w:kern w:val="0"/>
          <w:sz w:val="32"/>
          <w:szCs w:val="32"/>
          <w:lang w:bidi="ar"/>
        </w:rPr>
        <w:t>号)，在按“三同时”要求全面落实环境影响报告表提出的各项生态保护和污染防治措施后，项目建设和运营的不良环境影响可以得到缓解和控制。同意项目按照《报告表》所述工程内容、规模、功能以及环保对策措施建设。</w:t>
      </w:r>
    </w:p>
    <w:p w14:paraId="01B09C06">
      <w:pPr>
        <w:widowControl/>
        <w:spacing w:line="560" w:lineRule="exact"/>
        <w:ind w:firstLine="640" w:firstLineChars="200"/>
        <w:rPr>
          <w:rFonts w:hint="eastAsia" w:ascii="仿宋_GB2312" w:hAnsi="Times New Roman" w:eastAsia="仿宋_GB2312" w:cs="Times New Roman"/>
          <w:color w:val="000000"/>
          <w:kern w:val="0"/>
          <w:sz w:val="32"/>
          <w:szCs w:val="32"/>
          <w:lang w:bidi="ar"/>
        </w:rPr>
      </w:pPr>
      <w:r>
        <w:rPr>
          <w:rFonts w:hint="eastAsia" w:ascii="仿宋_GB2312" w:hAnsi="Times New Roman" w:eastAsia="仿宋_GB2312" w:cs="Times New Roman"/>
          <w:color w:val="000000"/>
          <w:kern w:val="0"/>
          <w:sz w:val="32"/>
          <w:szCs w:val="32"/>
          <w:lang w:bidi="ar"/>
        </w:rPr>
        <w:t>二、项目建设和运营中应重点做好以下工作：</w:t>
      </w:r>
    </w:p>
    <w:p w14:paraId="5E7A2973">
      <w:pPr>
        <w:tabs>
          <w:tab w:val="left" w:pos="7920"/>
        </w:tabs>
        <w:spacing w:line="560" w:lineRule="exact"/>
        <w:ind w:firstLine="640" w:firstLineChars="200"/>
        <w:rPr>
          <w:rFonts w:ascii="Times New Roman" w:hAnsi="Times New Roman" w:eastAsia="楷体_GB2312" w:cs="Times New Roman"/>
          <w:color w:val="000000"/>
          <w:kern w:val="0"/>
          <w:sz w:val="32"/>
          <w:szCs w:val="32"/>
          <w:lang w:bidi="ar"/>
        </w:rPr>
      </w:pPr>
      <w:r>
        <w:rPr>
          <w:rFonts w:ascii="Times New Roman" w:hAnsi="Times New Roman" w:eastAsia="楷体_GB2312" w:cs="Times New Roman"/>
          <w:color w:val="000000"/>
          <w:kern w:val="0"/>
          <w:sz w:val="32"/>
          <w:szCs w:val="32"/>
          <w:lang w:bidi="ar"/>
        </w:rPr>
        <w:t>（一）施工期污染防治措施及环保管理要求</w:t>
      </w:r>
    </w:p>
    <w:p w14:paraId="08501F03">
      <w:pPr>
        <w:tabs>
          <w:tab w:val="left" w:pos="7920"/>
        </w:tabs>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1、地表水环境</w:t>
      </w:r>
    </w:p>
    <w:p w14:paraId="68330723">
      <w:pPr>
        <w:tabs>
          <w:tab w:val="left" w:pos="7920"/>
        </w:tabs>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施工现场应设置拦水、截水、排水工程，</w:t>
      </w:r>
      <w:r>
        <w:rPr>
          <w:rFonts w:ascii="Times New Roman" w:hAnsi="Times New Roman" w:eastAsia="仿宋_GB2312" w:cs="Times New Roman"/>
          <w:sz w:val="32"/>
          <w:szCs w:val="32"/>
        </w:rPr>
        <w:t>施工过程中回填区渗滤液经收集处理</w:t>
      </w:r>
      <w:r>
        <w:rPr>
          <w:rFonts w:hint="eastAsia" w:ascii="Times New Roman" w:hAnsi="Times New Roman" w:eastAsia="仿宋_GB2312" w:cs="Times New Roman"/>
          <w:sz w:val="32"/>
          <w:szCs w:val="32"/>
        </w:rPr>
        <w:t>后应</w:t>
      </w:r>
      <w:r>
        <w:rPr>
          <w:rFonts w:ascii="Times New Roman" w:hAnsi="Times New Roman" w:eastAsia="仿宋_GB2312" w:cs="Times New Roman"/>
          <w:sz w:val="32"/>
          <w:szCs w:val="32"/>
        </w:rPr>
        <w:t>达</w:t>
      </w:r>
      <w:r>
        <w:rPr>
          <w:rFonts w:hint="eastAsia" w:ascii="Times New Roman" w:hAnsi="Times New Roman" w:eastAsia="仿宋_GB2312" w:cs="Times New Roman"/>
          <w:sz w:val="32"/>
          <w:szCs w:val="32"/>
        </w:rPr>
        <w:t>到</w:t>
      </w:r>
      <w:r>
        <w:rPr>
          <w:rFonts w:ascii="Times New Roman" w:hAnsi="Times New Roman" w:eastAsia="仿宋_GB2312" w:cs="Times New Roman"/>
          <w:sz w:val="32"/>
          <w:szCs w:val="32"/>
        </w:rPr>
        <w:t>《城市污水再生利用 城市杂用水水质》（GB/T 18920-2020）中城市绿化、道路清扫、消防、建筑施工标准限值要求</w:t>
      </w:r>
      <w:r>
        <w:rPr>
          <w:rFonts w:hint="eastAsia" w:ascii="Times New Roman" w:hAnsi="Times New Roman" w:eastAsia="仿宋_GB2312" w:cs="Times New Roman"/>
          <w:sz w:val="32"/>
          <w:szCs w:val="32"/>
        </w:rPr>
        <w:t>，回</w:t>
      </w:r>
      <w:r>
        <w:rPr>
          <w:rFonts w:ascii="Times New Roman" w:hAnsi="Times New Roman" w:eastAsia="仿宋_GB2312" w:cs="Times New Roman"/>
          <w:sz w:val="32"/>
          <w:szCs w:val="32"/>
        </w:rPr>
        <w:t>用于回填区及运输道路洒水降尘，不外排；地表径流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淋滤水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w:t>
      </w:r>
      <w:r>
        <w:rPr>
          <w:rFonts w:ascii="Times New Roman" w:hAnsi="Times New Roman" w:eastAsia="仿宋_GB2312" w:cs="Times New Roman"/>
          <w:sz w:val="32"/>
          <w:szCs w:val="32"/>
        </w:rPr>
        <w:t>回用水池收集</w:t>
      </w:r>
      <w:r>
        <w:rPr>
          <w:rFonts w:hint="eastAsia" w:ascii="Times New Roman" w:hAnsi="Times New Roman" w:eastAsia="仿宋_GB2312" w:cs="Times New Roman"/>
          <w:sz w:val="32"/>
          <w:szCs w:val="32"/>
          <w:lang w:eastAsia="zh-CN"/>
        </w:rPr>
        <w:t>处理</w:t>
      </w:r>
      <w:r>
        <w:rPr>
          <w:rFonts w:hint="eastAsia" w:ascii="Times New Roman" w:hAnsi="Times New Roman" w:eastAsia="仿宋_GB2312" w:cs="Times New Roman"/>
          <w:sz w:val="32"/>
          <w:szCs w:val="32"/>
          <w:lang w:val="en-US" w:eastAsia="zh-CN"/>
        </w:rPr>
        <w:t>达标</w:t>
      </w:r>
      <w:r>
        <w:rPr>
          <w:rFonts w:ascii="Times New Roman" w:hAnsi="Times New Roman" w:eastAsia="仿宋_GB2312" w:cs="Times New Roman"/>
          <w:sz w:val="32"/>
          <w:szCs w:val="32"/>
        </w:rPr>
        <w:t>后，晴天回用于回填区洒水降尘，不外排；施工车辆进出冲洗废水、混凝土养护废水、施工人员洗手废水等经临时沉淀池处理后回用于施工场地洒水降尘，不外排。</w:t>
      </w:r>
      <w:r>
        <w:rPr>
          <w:rFonts w:hint="eastAsia" w:ascii="Times New Roman" w:hAnsi="Times New Roman" w:eastAsia="仿宋_GB2312" w:cs="Times New Roman"/>
          <w:sz w:val="32"/>
          <w:szCs w:val="32"/>
        </w:rPr>
        <w:t>污水</w:t>
      </w:r>
      <w:r>
        <w:rPr>
          <w:rFonts w:ascii="Times New Roman" w:hAnsi="Times New Roman" w:eastAsia="仿宋_GB2312" w:cs="Times New Roman"/>
          <w:sz w:val="32"/>
          <w:szCs w:val="32"/>
        </w:rPr>
        <w:t>处理站出水</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进行跟踪监测，确保回用水质满足回用标准，</w:t>
      </w:r>
    </w:p>
    <w:p w14:paraId="7B6F452A">
      <w:pPr>
        <w:widowControl/>
        <w:spacing w:line="560" w:lineRule="exact"/>
        <w:ind w:left="64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2、</w:t>
      </w:r>
      <w:r>
        <w:rPr>
          <w:rFonts w:ascii="Times New Roman" w:hAnsi="Times New Roman" w:eastAsia="仿宋_GB2312" w:cs="Times New Roman"/>
          <w:color w:val="000000"/>
          <w:kern w:val="0"/>
          <w:sz w:val="32"/>
          <w:szCs w:val="32"/>
          <w:lang w:bidi="ar"/>
        </w:rPr>
        <w:t>地下水环境</w:t>
      </w:r>
    </w:p>
    <w:p w14:paraId="6D474D1C">
      <w:pPr>
        <w:tabs>
          <w:tab w:val="left" w:pos="7920"/>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加强源头管控，落实回填区底部、边坡防渗</w:t>
      </w:r>
      <w:r>
        <w:rPr>
          <w:rFonts w:hint="eastAsia" w:ascii="Times New Roman" w:hAnsi="Times New Roman" w:eastAsia="仿宋_GB2312" w:cs="Times New Roman"/>
          <w:sz w:val="32"/>
          <w:szCs w:val="32"/>
          <w:lang w:eastAsia="zh-CN"/>
        </w:rPr>
        <w:t>及</w:t>
      </w:r>
      <w:r>
        <w:rPr>
          <w:rFonts w:ascii="Times New Roman" w:hAnsi="Times New Roman" w:eastAsia="仿宋_GB2312" w:cs="Times New Roman"/>
          <w:sz w:val="32"/>
          <w:szCs w:val="32"/>
        </w:rPr>
        <w:t>顶部防渗</w:t>
      </w:r>
      <w:r>
        <w:rPr>
          <w:rFonts w:hint="eastAsia" w:ascii="Times New Roman" w:hAnsi="Times New Roman" w:eastAsia="仿宋_GB2312" w:cs="Times New Roman"/>
          <w:color w:val="00B0F0"/>
          <w:sz w:val="32"/>
          <w:szCs w:val="32"/>
        </w:rPr>
        <w:t>，</w:t>
      </w:r>
      <w:r>
        <w:rPr>
          <w:rFonts w:ascii="Times New Roman" w:hAnsi="Times New Roman" w:eastAsia="仿宋_GB2312" w:cs="Times New Roman"/>
          <w:sz w:val="32"/>
          <w:szCs w:val="32"/>
        </w:rPr>
        <w:t>拦挡坝内坡防渗、渗滤液收集池防渗、渗滤液导排和地下水导排措施；设置防渗漏监控系统，监控防渗衬层完整性；开展施工期监理，对防渗工程质量、防渗漏监控系统设置、地下水和渗滤液导排、截排水沟、收集池等</w:t>
      </w:r>
      <w:r>
        <w:rPr>
          <w:rFonts w:hint="eastAsia" w:ascii="Times New Roman" w:hAnsi="Times New Roman" w:eastAsia="仿宋_GB2312" w:cs="Times New Roman"/>
          <w:sz w:val="32"/>
          <w:szCs w:val="32"/>
        </w:rPr>
        <w:t>工程</w:t>
      </w:r>
      <w:r>
        <w:rPr>
          <w:rFonts w:ascii="Times New Roman" w:hAnsi="Times New Roman" w:eastAsia="仿宋_GB2312" w:cs="Times New Roman"/>
          <w:sz w:val="32"/>
          <w:szCs w:val="32"/>
        </w:rPr>
        <w:t>进行监理</w:t>
      </w:r>
      <w:r>
        <w:rPr>
          <w:rFonts w:hint="eastAsia" w:ascii="Times New Roman" w:hAnsi="Times New Roman" w:eastAsia="仿宋_GB2312" w:cs="Times New Roman"/>
          <w:sz w:val="32"/>
          <w:szCs w:val="32"/>
        </w:rPr>
        <w:t>，确保防渗工程符合相关要求</w:t>
      </w:r>
      <w:r>
        <w:rPr>
          <w:rFonts w:ascii="Times New Roman" w:hAnsi="Times New Roman" w:eastAsia="仿宋_GB2312" w:cs="Times New Roman"/>
          <w:sz w:val="32"/>
          <w:szCs w:val="32"/>
        </w:rPr>
        <w:t>；开展地下水跟踪监测，建立回填区地下水环境监控体系，设置4口地下水跟踪监测井和1口地下水观察井（地下水收集井）。</w:t>
      </w:r>
    </w:p>
    <w:p w14:paraId="1643BBBD">
      <w:pPr>
        <w:widowControl/>
        <w:spacing w:line="560" w:lineRule="exact"/>
        <w:ind w:left="64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3、</w:t>
      </w:r>
      <w:r>
        <w:rPr>
          <w:rFonts w:ascii="Times New Roman" w:hAnsi="Times New Roman" w:eastAsia="仿宋_GB2312" w:cs="Times New Roman"/>
          <w:color w:val="000000"/>
          <w:kern w:val="0"/>
          <w:sz w:val="32"/>
          <w:szCs w:val="32"/>
          <w:lang w:bidi="ar"/>
        </w:rPr>
        <w:t>大气环境</w:t>
      </w:r>
    </w:p>
    <w:p w14:paraId="14D6E9D5">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合理安排施工序、施工进度，在施工过程中采取洒水喷雾降尘，场区堆存物料采取篷布遮盖，采用密闭式箱车运输回填材料等措施减少施工期</w:t>
      </w:r>
      <w:r>
        <w:rPr>
          <w:rFonts w:hint="eastAsia" w:ascii="Times New Roman" w:hAnsi="Times New Roman" w:eastAsia="仿宋_GB2312" w:cs="Times New Roman"/>
          <w:color w:val="000000"/>
          <w:kern w:val="0"/>
          <w:sz w:val="32"/>
          <w:szCs w:val="32"/>
          <w:lang w:bidi="ar"/>
        </w:rPr>
        <w:t>扬尘</w:t>
      </w:r>
      <w:r>
        <w:rPr>
          <w:rFonts w:ascii="Times New Roman" w:hAnsi="Times New Roman" w:eastAsia="仿宋_GB2312" w:cs="Times New Roman"/>
          <w:color w:val="000000"/>
          <w:kern w:val="0"/>
          <w:sz w:val="32"/>
          <w:szCs w:val="32"/>
          <w:lang w:bidi="ar"/>
        </w:rPr>
        <w:t>影响。</w:t>
      </w:r>
      <w:r>
        <w:rPr>
          <w:rFonts w:hint="eastAsia" w:ascii="Times New Roman" w:hAnsi="Times New Roman" w:eastAsia="仿宋_GB2312" w:cs="Times New Roman"/>
          <w:color w:val="000000"/>
          <w:kern w:val="0"/>
          <w:sz w:val="32"/>
          <w:szCs w:val="32"/>
          <w:lang w:bidi="ar"/>
        </w:rPr>
        <w:t>施工现场</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运输车辆应采取有效的防治扬尘措施，排放的废气应符合《大气污染物综合排放标准》（GB16297-1996）</w:t>
      </w:r>
      <w:r>
        <w:rPr>
          <w:rFonts w:ascii="Times New Roman" w:hAnsi="Times New Roman" w:eastAsia="仿宋_GB2312" w:cs="Times New Roman"/>
          <w:color w:val="000000"/>
          <w:kern w:val="0"/>
          <w:sz w:val="32"/>
          <w:szCs w:val="32"/>
          <w:lang w:bidi="ar"/>
        </w:rPr>
        <w:t>表2</w:t>
      </w:r>
      <w:r>
        <w:rPr>
          <w:rFonts w:hint="eastAsia" w:ascii="Times New Roman" w:hAnsi="Times New Roman" w:eastAsia="仿宋_GB2312" w:cs="Times New Roman"/>
          <w:color w:val="000000"/>
          <w:kern w:val="0"/>
          <w:sz w:val="32"/>
          <w:szCs w:val="32"/>
          <w:lang w:bidi="ar"/>
        </w:rPr>
        <w:t>无组织排放监控限值要求，减少对环境敏感点的扬尘污染。</w:t>
      </w:r>
    </w:p>
    <w:p w14:paraId="7E35BA25">
      <w:pPr>
        <w:pStyle w:val="11"/>
        <w:widowControl/>
        <w:numPr>
          <w:ilvl w:val="0"/>
          <w:numId w:val="1"/>
        </w:numPr>
        <w:spacing w:line="560" w:lineRule="exact"/>
        <w:ind w:firstLineChars="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声环境</w:t>
      </w:r>
    </w:p>
    <w:p w14:paraId="612F6AB0">
      <w:pPr>
        <w:widowControl/>
        <w:spacing w:line="56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施工过程中应严格控制各类施工机械产生的噪声，合理安排施工时间，防止噪声扰民。施工场界噪声应符合《建筑施工场界环境噪声排放标准》（GB12523-2011）标准要求。</w:t>
      </w:r>
    </w:p>
    <w:p w14:paraId="4CAB44F2">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5、</w:t>
      </w:r>
      <w:r>
        <w:rPr>
          <w:rFonts w:ascii="Times New Roman" w:hAnsi="Times New Roman" w:eastAsia="仿宋_GB2312" w:cs="Times New Roman"/>
          <w:color w:val="000000"/>
          <w:kern w:val="0"/>
          <w:sz w:val="32"/>
          <w:szCs w:val="32"/>
          <w:lang w:bidi="ar"/>
        </w:rPr>
        <w:t>固体废物</w:t>
      </w:r>
    </w:p>
    <w:p w14:paraId="658A9880">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施工产生的土石方全部回用于场地平整；拆除固废清运至政府指定地点处置；临时沉淀池及渗滤液收集井沉渣装袋沥干晾干后回填；生活垃圾集中收集后清运至收集点堆存，委托环卫部门清运处置；旱厕粪便委托环卫部门定期清掏。</w:t>
      </w:r>
    </w:p>
    <w:p w14:paraId="1FA4D8D4">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6、</w:t>
      </w:r>
      <w:r>
        <w:rPr>
          <w:rFonts w:ascii="Times New Roman" w:hAnsi="Times New Roman" w:eastAsia="仿宋_GB2312" w:cs="Times New Roman"/>
          <w:color w:val="000000"/>
          <w:kern w:val="0"/>
          <w:sz w:val="32"/>
          <w:szCs w:val="32"/>
          <w:lang w:bidi="ar"/>
        </w:rPr>
        <w:t>土壤环境</w:t>
      </w:r>
    </w:p>
    <w:p w14:paraId="4B865DB1">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回填区渗滤液收集池等工程按照设计规范进行防渗，避免渗滤液泄露下渗或漫流对土壤环境产生影响；加强渗滤液导排系统、地下水导排系统、渗滤液收集池运行管理，确保渗滤液、导排的地下水全部回用；对每批次绿化覆土成分进行监测，确保覆土中污染物成分低于《土壤环境质量 农用地土壤污染风险管控标准（试行）》（GB15618-2018）风险筛选值的要求；按照《磷石膏的处理处置规范》（GB/T32124-2024）、《改性磷石膏用于矿山废弃地生态修复回填技术规范》（DB53/T1269-2024）、《改性磷石膏综合利用矿山生态修复跟踪评估规范》（DB5301/T100-2023）要求，开展土壤跟踪监测。</w:t>
      </w:r>
    </w:p>
    <w:p w14:paraId="3DB4F1ED">
      <w:pPr>
        <w:widowControl/>
        <w:spacing w:line="560" w:lineRule="exact"/>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7、生态环境</w:t>
      </w:r>
    </w:p>
    <w:p w14:paraId="1445F131">
      <w:pPr>
        <w:widowControl/>
        <w:spacing w:line="560" w:lineRule="exact"/>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 xml:space="preserve">    严格控制施工占地，严禁越界施工；严格落实水土保持措施；回填结束后，及时开展覆土、植被恢复，严格执行土地复垦质量控制要求及土壤环境质量要求；文明施工，严禁乱砍滥伐、非法猎捕鸟类、兽类等野生动物。</w:t>
      </w:r>
    </w:p>
    <w:p w14:paraId="14AF7DA9">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8、环境风险</w:t>
      </w:r>
    </w:p>
    <w:p w14:paraId="3F3E5615">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严格执行环评风险影响评价中的各项防范措施，并建设相应的风险防范设施。编制突发环境事件应急预案，并报我局备案，加强应急演练，建立完善应急报告制度，落实应急物资和经费，最大限度减轻风险事故对周围环境的影响。</w:t>
      </w:r>
    </w:p>
    <w:p w14:paraId="5F1E1DDF">
      <w:pPr>
        <w:widowControl/>
        <w:spacing w:line="560" w:lineRule="exact"/>
        <w:ind w:firstLine="640" w:firstLineChars="200"/>
        <w:rPr>
          <w:rFonts w:ascii="Times New Roman" w:hAnsi="Times New Roman" w:eastAsia="楷体_GB2312" w:cs="Times New Roman"/>
          <w:color w:val="000000"/>
          <w:kern w:val="0"/>
          <w:sz w:val="32"/>
          <w:szCs w:val="32"/>
          <w:lang w:bidi="ar"/>
        </w:rPr>
      </w:pPr>
      <w:r>
        <w:rPr>
          <w:rFonts w:ascii="Times New Roman" w:hAnsi="Times New Roman" w:eastAsia="楷体_GB2312" w:cs="Times New Roman"/>
          <w:color w:val="000000"/>
          <w:kern w:val="0"/>
          <w:sz w:val="32"/>
          <w:szCs w:val="32"/>
          <w:lang w:bidi="ar"/>
        </w:rPr>
        <w:t>（二）运营期污染防治措施及环保管理要求</w:t>
      </w:r>
    </w:p>
    <w:p w14:paraId="03244773">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1、对回填体、覆土层进行维护管理，防止产生不均匀沉降、开裂；加强对渗滤液收集井、地下水收集井、回用水池、排洪构筑物等风险源检查维护；利用防渗漏监控系统，监控防渗衬层完整性；</w:t>
      </w:r>
      <w:r>
        <w:rPr>
          <w:rFonts w:hint="eastAsia" w:ascii="Times New Roman" w:hAnsi="Times New Roman" w:eastAsia="仿宋_GB2312" w:cs="Times New Roman"/>
          <w:color w:val="000000"/>
          <w:kern w:val="0"/>
          <w:sz w:val="32"/>
          <w:szCs w:val="32"/>
          <w:lang w:bidi="ar"/>
        </w:rPr>
        <w:t>严格落实《报告表》中</w:t>
      </w:r>
      <w:r>
        <w:rPr>
          <w:rFonts w:hint="eastAsia" w:ascii="Times New Roman" w:hAnsi="Times New Roman" w:eastAsia="仿宋_GB2312" w:cs="Times New Roman"/>
          <w:color w:val="000000"/>
          <w:kern w:val="0"/>
          <w:sz w:val="32"/>
          <w:szCs w:val="32"/>
          <w:lang w:val="en-US" w:eastAsia="zh-CN" w:bidi="ar"/>
        </w:rPr>
        <w:t>各项</w:t>
      </w:r>
      <w:r>
        <w:rPr>
          <w:rFonts w:hint="eastAsia" w:ascii="Times New Roman" w:hAnsi="Times New Roman" w:eastAsia="仿宋_GB2312" w:cs="Times New Roman"/>
          <w:color w:val="000000"/>
          <w:kern w:val="0"/>
          <w:sz w:val="32"/>
          <w:szCs w:val="32"/>
          <w:lang w:bidi="ar"/>
        </w:rPr>
        <w:t>跟踪监测计划，开展土壤、地下水、地表水环境跟踪监测</w:t>
      </w:r>
      <w:r>
        <w:rPr>
          <w:rFonts w:ascii="Times New Roman" w:hAnsi="Times New Roman" w:eastAsia="仿宋_GB2312" w:cs="Times New Roman"/>
          <w:color w:val="000000"/>
          <w:kern w:val="0"/>
          <w:sz w:val="32"/>
          <w:szCs w:val="32"/>
          <w:lang w:bidi="ar"/>
        </w:rPr>
        <w:t>，直到相关指标连续3年内，年均检测指标持续稳定，特征指标不呈上升趋势。当发现年均监测指标呈上升趋势，应当采取相应的对策措施。</w:t>
      </w:r>
    </w:p>
    <w:p w14:paraId="1C359E3F">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2、定期对渗滤液进行监测，记录水质情况，直到连续3年内没有渗滤液产生。</w:t>
      </w:r>
    </w:p>
    <w:p w14:paraId="150DCD61">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3、对回填区域及周边区域的生态系统、修复成效等开展调查和监测，进行跟踪评估。</w:t>
      </w:r>
    </w:p>
    <w:p w14:paraId="5D6B7342">
      <w:pPr>
        <w:widowControl/>
        <w:spacing w:line="560" w:lineRule="exact"/>
        <w:ind w:firstLine="640" w:firstLineChars="200"/>
        <w:rPr>
          <w:rFonts w:ascii="Times New Roman" w:hAnsi="Times New Roman" w:eastAsia="楷体_GB2312" w:cs="Times New Roman"/>
          <w:color w:val="000000"/>
          <w:kern w:val="0"/>
          <w:sz w:val="32"/>
          <w:szCs w:val="32"/>
          <w:lang w:bidi="ar"/>
        </w:rPr>
      </w:pPr>
      <w:r>
        <w:rPr>
          <w:rFonts w:ascii="Times New Roman" w:hAnsi="Times New Roman" w:eastAsia="楷体_GB2312" w:cs="Times New Roman"/>
          <w:color w:val="000000"/>
          <w:kern w:val="0"/>
          <w:sz w:val="32"/>
          <w:szCs w:val="32"/>
          <w:lang w:bidi="ar"/>
        </w:rPr>
        <w:t>（三）其他要求</w:t>
      </w:r>
    </w:p>
    <w:p w14:paraId="0FD4ABD7">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1、按照生态环境部办公厅《关于磷石膏无害化用于矿坑生态修复项目有关事宜的复函》（环办环评</w:t>
      </w:r>
      <w:r>
        <w:rPr>
          <w:rFonts w:ascii="Times New Roman" w:hAnsi="Times New Roman" w:eastAsia="微软雅黑" w:cs="Times New Roman"/>
          <w:color w:val="000000"/>
          <w:kern w:val="0"/>
          <w:sz w:val="32"/>
          <w:szCs w:val="32"/>
          <w:lang w:bidi="ar"/>
        </w:rPr>
        <w:t>〔2022〕273号</w:t>
      </w:r>
      <w:r>
        <w:rPr>
          <w:rFonts w:ascii="Times New Roman" w:hAnsi="Times New Roman" w:eastAsia="仿宋_GB2312" w:cs="Times New Roman"/>
          <w:color w:val="000000"/>
          <w:kern w:val="0"/>
          <w:sz w:val="32"/>
          <w:szCs w:val="32"/>
          <w:lang w:bidi="ar"/>
        </w:rPr>
        <w:t>）相关要求落实污染防控措施，根据《磷石膏的处理处置规范》（GB/T32124-2024）、《改性磷石膏用于矿山废弃地生态修复回填技术规范》（DB53/T 1269-2024）、《改性磷石膏综合利用 矿山生态修复 环境风险评估规范》（DB5301/T98-2023）、《改性磷石膏综合利用 矿山生态修复 过程环境监管规范》（DB5301/T99-2023）、《改性磷石膏综合利用 矿山生态修复跟踪评估规范》（DB5301/T100-2023）全面落实各项管控要求。</w:t>
      </w:r>
    </w:p>
    <w:p w14:paraId="7C5F1151">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2、落实回填过程及后期管理的环境监测计划，对污染排放状况及对周边环境质量的影响开展自行监测，并公开监测结果。建立全过程档案台账管理制度，实施“一点一档”管理。健全长期维护管理制度并保存相关后期管理工作记录。</w:t>
      </w:r>
    </w:p>
    <w:p w14:paraId="15449E73">
      <w:pPr>
        <w:widowControl/>
        <w:spacing w:line="560" w:lineRule="exact"/>
        <w:ind w:firstLine="640" w:firstLineChars="200"/>
        <w:rPr>
          <w:rStyle w:val="8"/>
        </w:rPr>
      </w:pPr>
      <w:r>
        <w:rPr>
          <w:rFonts w:ascii="Times New Roman" w:hAnsi="Times New Roman" w:eastAsia="仿宋_GB2312" w:cs="Times New Roman"/>
          <w:color w:val="000000"/>
          <w:kern w:val="0"/>
          <w:sz w:val="32"/>
          <w:szCs w:val="32"/>
          <w:lang w:bidi="ar"/>
        </w:rPr>
        <w:t>3、对改性磷石膏相关指标进行检测，确保磷石膏改性处理到位</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经检测出现指标不达标的，应严格进行二次处理达标</w:t>
      </w:r>
      <w:r>
        <w:rPr>
          <w:rFonts w:hint="eastAsia" w:ascii="Times New Roman" w:hAnsi="Times New Roman" w:eastAsia="仿宋_GB2312" w:cs="Times New Roman"/>
          <w:color w:val="000000"/>
          <w:kern w:val="0"/>
          <w:sz w:val="32"/>
          <w:szCs w:val="32"/>
          <w:lang w:eastAsia="zh-CN" w:bidi="ar"/>
        </w:rPr>
        <w:t>；运输过程中应严格按照《云南省固体废物污染环境防治条例》相关要求加强运输过程环境管理，</w:t>
      </w:r>
      <w:r>
        <w:rPr>
          <w:rFonts w:ascii="Times New Roman" w:hAnsi="Times New Roman" w:eastAsia="仿宋_GB2312" w:cs="Times New Roman"/>
          <w:color w:val="000000"/>
          <w:kern w:val="0"/>
          <w:sz w:val="32"/>
          <w:szCs w:val="32"/>
          <w:lang w:bidi="ar"/>
        </w:rPr>
        <w:t>确保环境风险可防可控。</w:t>
      </w:r>
    </w:p>
    <w:p w14:paraId="6F2EF6A9">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4、加强回填区环境风险管控，改性磷石膏回填应严格按照生态修复方案、堆填设计方案实施，确保回填堆体稳定、安全，杜绝安全事故发生。</w:t>
      </w:r>
    </w:p>
    <w:p w14:paraId="25A5C445">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三、《报告表》应当作为项目环境保护设计、建设及运行管理的依据，项目应认真落实各项环保对策措施，严格执行环保“三同时”制度，即：环保设施与主体工程同时设计、同时施工、同时投入使用。</w:t>
      </w:r>
    </w:p>
    <w:p w14:paraId="59A0E51B">
      <w:pPr>
        <w:widowControl/>
        <w:spacing w:line="56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施工期环境监理纳入工程监理内容，施工期工程环境监理报告应作为项目竣工环保验收的必要条件。</w:t>
      </w:r>
    </w:p>
    <w:p w14:paraId="3E5740F0">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 xml:space="preserve">项目建成投入试运行后，按规定自主开展竣工环保验收，项目配套建设的环境保护设施经验收合格，方可投入生产或者使用。 </w:t>
      </w:r>
    </w:p>
    <w:p w14:paraId="2B53C013">
      <w:pPr>
        <w:widowControl/>
        <w:spacing w:line="560" w:lineRule="exact"/>
        <w:ind w:firstLine="640" w:firstLineChars="200"/>
        <w:rPr>
          <w:rFonts w:ascii="Times New Roman" w:hAnsi="Times New Roman" w:eastAsia="仿宋_GB2312" w:cs="Times New Roman"/>
          <w:strike w:val="0"/>
          <w:color w:val="000000"/>
          <w:kern w:val="0"/>
          <w:sz w:val="32"/>
          <w:szCs w:val="32"/>
          <w:lang w:bidi="ar"/>
        </w:rPr>
      </w:pPr>
      <w:r>
        <w:rPr>
          <w:rFonts w:ascii="Times New Roman" w:hAnsi="Times New Roman" w:eastAsia="仿宋_GB2312" w:cs="Times New Roman"/>
          <w:color w:val="000000"/>
          <w:kern w:val="0"/>
          <w:sz w:val="32"/>
          <w:szCs w:val="32"/>
          <w:lang w:bidi="ar"/>
        </w:rPr>
        <w:t>四、项目的性质、规模、地点、采用的生产工艺或者防治污染、防止生态破坏的措施发生重大变动的，或与经批复的《云南省寻甸县化香箐采石场废弃矿坑生态修复方案》相关内容不符的，应当重新报批建设项目的环境影响评价文件。</w:t>
      </w:r>
    </w:p>
    <w:p w14:paraId="07D98C90">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自本批复之日起超过五年，方决定该项目开工建设的，环境影响评价文件应当报我局重新审核。</w:t>
      </w:r>
    </w:p>
    <w:p w14:paraId="1C7C022A">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五、</w:t>
      </w:r>
      <w:r>
        <w:rPr>
          <w:rFonts w:ascii="Times New Roman" w:hAnsi="Times New Roman" w:eastAsia="仿宋_GB2312" w:cs="Times New Roman"/>
          <w:color w:val="000000"/>
          <w:kern w:val="0"/>
          <w:sz w:val="32"/>
          <w:szCs w:val="32"/>
          <w:lang w:bidi="ar"/>
        </w:rPr>
        <w:t>你单位应按规定接受各级生态环境保护主管部门的监督检查。</w:t>
      </w:r>
    </w:p>
    <w:p w14:paraId="0183E96A">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请寻甸县生态环境保护综合行政执法大队结合省市关于改性磷石膏用于矿山生态修复的规范要求组织项目环境执法现场监察和日常监督管理。</w:t>
      </w:r>
    </w:p>
    <w:p w14:paraId="3824D7BF">
      <w:pPr>
        <w:widowControl/>
        <w:numPr>
          <w:ilvl w:val="0"/>
          <w:numId w:val="0"/>
        </w:numPr>
        <w:spacing w:line="560" w:lineRule="exact"/>
        <w:ind w:firstLine="640" w:firstLineChars="20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六、</w:t>
      </w:r>
      <w:r>
        <w:rPr>
          <w:rFonts w:ascii="Times New Roman" w:hAnsi="Times New Roman" w:eastAsia="仿宋_GB2312" w:cs="Times New Roman"/>
          <w:color w:val="000000"/>
          <w:kern w:val="0"/>
          <w:sz w:val="32"/>
          <w:szCs w:val="32"/>
          <w:lang w:bidi="ar"/>
        </w:rPr>
        <w:t>依法到其他部门办理相关手续。</w:t>
      </w:r>
    </w:p>
    <w:p w14:paraId="0E399479">
      <w:pPr>
        <w:widowControl/>
        <w:spacing w:line="560" w:lineRule="exact"/>
        <w:ind w:left="630"/>
        <w:jc w:val="left"/>
        <w:rPr>
          <w:rFonts w:ascii="Times New Roman" w:hAnsi="Times New Roman" w:eastAsia="仿宋_GB2312" w:cs="Times New Roman"/>
          <w:color w:val="000000"/>
          <w:kern w:val="0"/>
          <w:sz w:val="32"/>
          <w:szCs w:val="32"/>
          <w:lang w:bidi="ar"/>
        </w:rPr>
      </w:pPr>
    </w:p>
    <w:p w14:paraId="0B1A7D55">
      <w:pPr>
        <w:widowControl/>
        <w:spacing w:line="560" w:lineRule="exact"/>
        <w:ind w:left="630"/>
        <w:jc w:val="left"/>
        <w:rPr>
          <w:rFonts w:ascii="Times New Roman" w:hAnsi="Times New Roman" w:eastAsia="仿宋_GB2312" w:cs="Times New Roman"/>
          <w:color w:val="000000"/>
          <w:kern w:val="0"/>
          <w:sz w:val="32"/>
          <w:szCs w:val="32"/>
          <w:lang w:bidi="ar"/>
        </w:rPr>
      </w:pPr>
    </w:p>
    <w:p w14:paraId="33CBCE9A">
      <w:pPr>
        <w:widowControl/>
        <w:spacing w:line="560" w:lineRule="exact"/>
        <w:ind w:left="630"/>
        <w:jc w:val="left"/>
        <w:rPr>
          <w:rFonts w:ascii="Times New Roman" w:hAnsi="Times New Roman" w:eastAsia="仿宋_GB2312" w:cs="Times New Roman"/>
          <w:color w:val="000000"/>
          <w:kern w:val="0"/>
          <w:sz w:val="32"/>
          <w:szCs w:val="32"/>
          <w:lang w:bidi="ar"/>
        </w:rPr>
      </w:pPr>
    </w:p>
    <w:p w14:paraId="422898FF">
      <w:pPr>
        <w:widowControl/>
        <w:tabs>
          <w:tab w:val="left" w:pos="8610"/>
        </w:tabs>
        <w:spacing w:line="560" w:lineRule="exact"/>
        <w:ind w:left="630" w:right="863" w:rightChars="411"/>
        <w:jc w:val="center"/>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val="en-US" w:eastAsia="zh-CN" w:bidi="ar"/>
        </w:rPr>
        <w:t xml:space="preserve">               </w:t>
      </w:r>
      <w:r>
        <w:rPr>
          <w:rFonts w:ascii="Times New Roman" w:hAnsi="Times New Roman" w:eastAsia="仿宋_GB2312" w:cs="Times New Roman"/>
          <w:color w:val="000000"/>
          <w:kern w:val="0"/>
          <w:sz w:val="32"/>
          <w:szCs w:val="32"/>
          <w:lang w:bidi="ar"/>
        </w:rPr>
        <w:t>昆明市生态环境局寻甸分局</w:t>
      </w:r>
    </w:p>
    <w:p w14:paraId="5608174C">
      <w:pPr>
        <w:widowControl/>
        <w:spacing w:line="560" w:lineRule="exact"/>
        <w:ind w:left="630" w:right="1485" w:rightChars="707"/>
        <w:jc w:val="center"/>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val="en-US" w:eastAsia="zh-CN" w:bidi="ar"/>
        </w:rPr>
        <w:t xml:space="preserve">                 </w:t>
      </w:r>
      <w:r>
        <w:rPr>
          <w:rFonts w:ascii="Times New Roman" w:hAnsi="Times New Roman" w:eastAsia="仿宋_GB2312" w:cs="Times New Roman"/>
          <w:color w:val="000000"/>
          <w:kern w:val="0"/>
          <w:sz w:val="32"/>
          <w:szCs w:val="32"/>
          <w:lang w:bidi="ar"/>
        </w:rPr>
        <w:t>2024</w:t>
      </w:r>
      <w:r>
        <w:rPr>
          <w:rFonts w:hint="eastAsia" w:ascii="Times New Roman" w:hAnsi="Times New Roman" w:eastAsia="仿宋_GB2312" w:cs="Times New Roman"/>
          <w:color w:val="000000"/>
          <w:kern w:val="0"/>
          <w:sz w:val="32"/>
          <w:szCs w:val="32"/>
          <w:lang w:val="en-US" w:eastAsia="zh-CN" w:bidi="ar"/>
        </w:rPr>
        <w:t>年12</w:t>
      </w:r>
      <w:r>
        <w:rPr>
          <w:rFonts w:ascii="Times New Roman" w:hAnsi="Times New Roman" w:eastAsia="仿宋_GB2312" w:cs="Times New Roman"/>
          <w:color w:val="000000"/>
          <w:kern w:val="0"/>
          <w:sz w:val="32"/>
          <w:szCs w:val="32"/>
          <w:lang w:bidi="ar"/>
        </w:rPr>
        <w:t>月</w:t>
      </w:r>
      <w:r>
        <w:rPr>
          <w:rFonts w:hint="eastAsia" w:ascii="Times New Roman" w:hAnsi="Times New Roman" w:eastAsia="仿宋_GB2312" w:cs="Times New Roman"/>
          <w:color w:val="000000"/>
          <w:kern w:val="0"/>
          <w:sz w:val="32"/>
          <w:szCs w:val="32"/>
          <w:lang w:val="en-US" w:eastAsia="zh-CN" w:bidi="ar"/>
        </w:rPr>
        <w:t>9</w:t>
      </w:r>
      <w:bookmarkStart w:id="0" w:name="_GoBack"/>
      <w:bookmarkEnd w:id="0"/>
      <w:r>
        <w:rPr>
          <w:rFonts w:hint="eastAsia" w:ascii="Times New Roman" w:hAnsi="Times New Roman" w:eastAsia="仿宋_GB2312" w:cs="Times New Roman"/>
          <w:color w:val="000000"/>
          <w:kern w:val="0"/>
          <w:sz w:val="32"/>
          <w:szCs w:val="32"/>
          <w:lang w:bidi="ar"/>
        </w:rPr>
        <w:t xml:space="preserve"> </w:t>
      </w:r>
      <w:r>
        <w:rPr>
          <w:rFonts w:ascii="Times New Roman" w:hAnsi="Times New Roman" w:eastAsia="仿宋_GB2312" w:cs="Times New Roman"/>
          <w:color w:val="000000"/>
          <w:kern w:val="0"/>
          <w:sz w:val="32"/>
          <w:szCs w:val="32"/>
          <w:lang w:bidi="ar"/>
        </w:rPr>
        <w:t>日</w:t>
      </w:r>
    </w:p>
    <w:p w14:paraId="447EEA43">
      <w:pPr>
        <w:widowControl/>
        <w:spacing w:line="560" w:lineRule="exact"/>
        <w:ind w:firstLine="620" w:firstLineChars="200"/>
        <w:jc w:val="left"/>
        <w:rPr>
          <w:rFonts w:ascii="Times New Roman" w:hAnsi="Times New Roman" w:eastAsia="仿宋_GB2312" w:cs="Times New Roman"/>
          <w:color w:val="000000"/>
          <w:kern w:val="0"/>
          <w:sz w:val="31"/>
          <w:szCs w:val="31"/>
          <w:lang w:bidi="ar"/>
        </w:rPr>
      </w:pPr>
    </w:p>
    <w:p w14:paraId="4700C468">
      <w:pPr>
        <w:widowControl/>
        <w:spacing w:line="560" w:lineRule="exact"/>
        <w:ind w:firstLine="620" w:firstLineChars="200"/>
        <w:jc w:val="left"/>
        <w:rPr>
          <w:rFonts w:ascii="Times New Roman" w:hAnsi="Times New Roman" w:eastAsia="仿宋_GB2312" w:cs="Times New Roman"/>
          <w:color w:val="000000"/>
          <w:kern w:val="0"/>
          <w:sz w:val="31"/>
          <w:szCs w:val="31"/>
          <w:lang w:bidi="ar"/>
        </w:rPr>
      </w:pPr>
    </w:p>
    <w:p w14:paraId="6B1192E7">
      <w:pPr>
        <w:widowControl/>
        <w:spacing w:line="560" w:lineRule="exact"/>
        <w:ind w:firstLine="620" w:firstLineChars="200"/>
        <w:jc w:val="left"/>
        <w:rPr>
          <w:rFonts w:ascii="Times New Roman" w:hAnsi="Times New Roman" w:eastAsia="仿宋_GB2312" w:cs="Times New Roman"/>
          <w:color w:val="000000"/>
          <w:kern w:val="0"/>
          <w:sz w:val="31"/>
          <w:szCs w:val="31"/>
          <w:lang w:bidi="ar"/>
        </w:rPr>
      </w:pPr>
    </w:p>
    <w:p w14:paraId="25485EE4">
      <w:pPr>
        <w:widowControl/>
        <w:spacing w:line="560" w:lineRule="exact"/>
        <w:ind w:firstLine="620" w:firstLineChars="200"/>
        <w:jc w:val="left"/>
        <w:rPr>
          <w:rFonts w:ascii="Times New Roman" w:hAnsi="Times New Roman" w:eastAsia="仿宋_GB2312" w:cs="Times New Roman"/>
          <w:color w:val="000000"/>
          <w:kern w:val="0"/>
          <w:sz w:val="31"/>
          <w:szCs w:val="31"/>
          <w:lang w:bidi="ar"/>
        </w:rPr>
      </w:pPr>
    </w:p>
    <w:p w14:paraId="07A78A40">
      <w:pPr>
        <w:widowControl/>
        <w:spacing w:line="560" w:lineRule="exact"/>
        <w:jc w:val="left"/>
        <w:rPr>
          <w:rFonts w:ascii="Times New Roman" w:hAnsi="Times New Roman" w:eastAsia="仿宋_GB2312" w:cs="Times New Roman"/>
          <w:color w:val="000000"/>
          <w:kern w:val="0"/>
          <w:sz w:val="32"/>
          <w:szCs w:val="32"/>
          <w:lang w:bidi="ar"/>
        </w:rPr>
      </w:pPr>
    </w:p>
    <w:sectPr>
      <w:footerReference r:id="rId3" w:type="default"/>
      <w:pgSz w:w="11906" w:h="16838"/>
      <w:pgMar w:top="2041" w:right="1474" w:bottom="1928"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84D744B9-1CB9-4D76-8F4E-1337DA527753}"/>
  </w:font>
  <w:font w:name="仿宋_GB2312">
    <w:panose1 w:val="02010609030101010101"/>
    <w:charset w:val="86"/>
    <w:family w:val="modern"/>
    <w:pitch w:val="default"/>
    <w:sig w:usb0="00000001" w:usb1="080E0000" w:usb2="00000000" w:usb3="00000000" w:csb0="00040000" w:csb1="00000000"/>
    <w:embedRegular r:id="rId2" w:fontKey="{105540A7-77BB-4823-8BCD-7E7C938CC178}"/>
  </w:font>
  <w:font w:name="楷体_GB2312">
    <w:panose1 w:val="02010609030101010101"/>
    <w:charset w:val="86"/>
    <w:family w:val="modern"/>
    <w:pitch w:val="default"/>
    <w:sig w:usb0="00000001" w:usb1="080E0000" w:usb2="00000000" w:usb3="00000000" w:csb0="00040000" w:csb1="00000000"/>
    <w:embedRegular r:id="rId3" w:fontKey="{FD382E7A-8281-48A5-A74F-FD9C06D60898}"/>
  </w:font>
  <w:font w:name="微软雅黑">
    <w:panose1 w:val="020B0503020204020204"/>
    <w:charset w:val="86"/>
    <w:family w:val="swiss"/>
    <w:pitch w:val="default"/>
    <w:sig w:usb0="80000287" w:usb1="280F3C52" w:usb2="00000016" w:usb3="00000000" w:csb0="0004001F" w:csb1="00000000"/>
    <w:embedRegular r:id="rId4" w:fontKey="{540554E3-0396-4A54-A29B-F84806AD33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7A6D9">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B7B98">
                          <w:pPr>
                            <w:pStyle w:val="3"/>
                            <w:rPr>
                              <w:rFonts w:hint="eastAsia" w:asciiTheme="minorEastAsia" w:hAnsiTheme="minorEastAsia" w:cstheme="minorEastAsia"/>
                              <w:sz w:val="28"/>
                              <w:szCs w:val="28"/>
                            </w:rPr>
                          </w:pPr>
                          <w:r>
                            <w:rPr>
                              <w:rFonts w:hint="eastAsia" w:ascii="仿宋_GB2312" w:hAnsi="仿宋_GB2312" w:eastAsia="仿宋_GB2312" w:cs="仿宋_GB2312"/>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6B7B98">
                    <w:pPr>
                      <w:pStyle w:val="3"/>
                      <w:rPr>
                        <w:rFonts w:hint="eastAsia" w:asciiTheme="minorEastAsia" w:hAnsiTheme="minorEastAsia" w:cstheme="minorEastAsia"/>
                        <w:sz w:val="28"/>
                        <w:szCs w:val="28"/>
                      </w:rPr>
                    </w:pPr>
                    <w:r>
                      <w:rPr>
                        <w:rFonts w:hint="eastAsia" w:ascii="仿宋_GB2312" w:hAnsi="仿宋_GB2312" w:eastAsia="仿宋_GB2312" w:cs="仿宋_GB2312"/>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r>
                      <w:rPr>
                        <w:rFonts w:hint="eastAsia" w:ascii="仿宋_GB2312" w:hAnsi="仿宋_GB2312" w:eastAsia="仿宋_GB2312" w:cs="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6286E"/>
    <w:multiLevelType w:val="multilevel"/>
    <w:tmpl w:val="6306286E"/>
    <w:lvl w:ilvl="0" w:tentative="0">
      <w:start w:val="4"/>
      <w:numFmt w:val="decimal"/>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ZjRjMTI3MDdiMjBlY2RlNjBiNDY2ZGVhZjhjMWMifQ=="/>
    <w:docVar w:name="KSO_WPS_MARK_KEY" w:val="502a8391-6710-4046-b5c3-4193186e550e"/>
  </w:docVars>
  <w:rsids>
    <w:rsidRoot w:val="205A64FE"/>
    <w:rsid w:val="000E0A1F"/>
    <w:rsid w:val="001579FA"/>
    <w:rsid w:val="001F454B"/>
    <w:rsid w:val="00293985"/>
    <w:rsid w:val="003C77B9"/>
    <w:rsid w:val="00503479"/>
    <w:rsid w:val="006D26DD"/>
    <w:rsid w:val="006D5ECD"/>
    <w:rsid w:val="007B5532"/>
    <w:rsid w:val="0087391B"/>
    <w:rsid w:val="008D1811"/>
    <w:rsid w:val="009D17AB"/>
    <w:rsid w:val="009E7454"/>
    <w:rsid w:val="00C03D68"/>
    <w:rsid w:val="00C35B34"/>
    <w:rsid w:val="00C64807"/>
    <w:rsid w:val="00D31700"/>
    <w:rsid w:val="00E710F0"/>
    <w:rsid w:val="045F1970"/>
    <w:rsid w:val="04F91383"/>
    <w:rsid w:val="05526700"/>
    <w:rsid w:val="07056611"/>
    <w:rsid w:val="074F1149"/>
    <w:rsid w:val="07B92A66"/>
    <w:rsid w:val="08234384"/>
    <w:rsid w:val="085E3063"/>
    <w:rsid w:val="08DA7138"/>
    <w:rsid w:val="0C7B6998"/>
    <w:rsid w:val="0E901BF8"/>
    <w:rsid w:val="0EF76509"/>
    <w:rsid w:val="0EF9276D"/>
    <w:rsid w:val="10872711"/>
    <w:rsid w:val="114E7FBF"/>
    <w:rsid w:val="1565422D"/>
    <w:rsid w:val="1B6B6A81"/>
    <w:rsid w:val="1C1B5646"/>
    <w:rsid w:val="1DA32750"/>
    <w:rsid w:val="1EF6141C"/>
    <w:rsid w:val="1F444545"/>
    <w:rsid w:val="1F5302BA"/>
    <w:rsid w:val="1FDC29F5"/>
    <w:rsid w:val="205A64FE"/>
    <w:rsid w:val="23201794"/>
    <w:rsid w:val="23F23130"/>
    <w:rsid w:val="28B7647D"/>
    <w:rsid w:val="2A727AC6"/>
    <w:rsid w:val="2AB949A8"/>
    <w:rsid w:val="2B091374"/>
    <w:rsid w:val="2F193C67"/>
    <w:rsid w:val="31DB72C2"/>
    <w:rsid w:val="34F8431E"/>
    <w:rsid w:val="374675C3"/>
    <w:rsid w:val="38795776"/>
    <w:rsid w:val="387C6C76"/>
    <w:rsid w:val="39A83B0F"/>
    <w:rsid w:val="3B3E47A6"/>
    <w:rsid w:val="3D927072"/>
    <w:rsid w:val="41FA176A"/>
    <w:rsid w:val="44D8697E"/>
    <w:rsid w:val="46383B74"/>
    <w:rsid w:val="466B54C7"/>
    <w:rsid w:val="48621714"/>
    <w:rsid w:val="491F7C74"/>
    <w:rsid w:val="49B20AE8"/>
    <w:rsid w:val="4ADC34E5"/>
    <w:rsid w:val="4E1224B1"/>
    <w:rsid w:val="4F376033"/>
    <w:rsid w:val="4FFF25AD"/>
    <w:rsid w:val="500130CE"/>
    <w:rsid w:val="54E2330F"/>
    <w:rsid w:val="55E63D85"/>
    <w:rsid w:val="56E60023"/>
    <w:rsid w:val="57BB325E"/>
    <w:rsid w:val="5A87563E"/>
    <w:rsid w:val="5D5F6439"/>
    <w:rsid w:val="5E3D13AA"/>
    <w:rsid w:val="5EAA49AA"/>
    <w:rsid w:val="5FB75E92"/>
    <w:rsid w:val="61B54D3F"/>
    <w:rsid w:val="64326150"/>
    <w:rsid w:val="64850E7B"/>
    <w:rsid w:val="66100C18"/>
    <w:rsid w:val="66EA1469"/>
    <w:rsid w:val="672F1D5D"/>
    <w:rsid w:val="68FB06C5"/>
    <w:rsid w:val="69845BA5"/>
    <w:rsid w:val="6B243229"/>
    <w:rsid w:val="6D7825A4"/>
    <w:rsid w:val="6E6052A1"/>
    <w:rsid w:val="6F9F6C7F"/>
    <w:rsid w:val="6FD95334"/>
    <w:rsid w:val="72AC2FFA"/>
    <w:rsid w:val="7541595C"/>
    <w:rsid w:val="75690305"/>
    <w:rsid w:val="778F4AD4"/>
    <w:rsid w:val="7A0C578D"/>
    <w:rsid w:val="7AE42945"/>
    <w:rsid w:val="7CC115F7"/>
    <w:rsid w:val="7D205DB3"/>
    <w:rsid w:val="7D3F6EC8"/>
    <w:rsid w:val="7F5872E8"/>
    <w:rsid w:val="F72A8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0"/>
    <w:qFormat/>
    <w:uiPriority w:val="0"/>
    <w:rPr>
      <w:b/>
      <w:bCs/>
    </w:rPr>
  </w:style>
  <w:style w:type="character" w:styleId="8">
    <w:name w:val="annotation reference"/>
    <w:basedOn w:val="7"/>
    <w:qFormat/>
    <w:uiPriority w:val="0"/>
    <w:rPr>
      <w:sz w:val="21"/>
      <w:szCs w:val="21"/>
    </w:rPr>
  </w:style>
  <w:style w:type="character" w:customStyle="1" w:styleId="9">
    <w:name w:val="批注文字 字符"/>
    <w:basedOn w:val="7"/>
    <w:link w:val="2"/>
    <w:qFormat/>
    <w:uiPriority w:val="0"/>
    <w:rPr>
      <w:rFonts w:asciiTheme="minorHAnsi" w:hAnsiTheme="minorHAnsi" w:eastAsiaTheme="minorEastAsia" w:cstheme="minorBidi"/>
      <w:kern w:val="2"/>
      <w:sz w:val="21"/>
      <w:szCs w:val="24"/>
    </w:rPr>
  </w:style>
  <w:style w:type="character" w:customStyle="1" w:styleId="10">
    <w:name w:val="批注主题 字符"/>
    <w:basedOn w:val="9"/>
    <w:link w:val="5"/>
    <w:qFormat/>
    <w:uiPriority w:val="0"/>
    <w:rPr>
      <w:rFonts w:asciiTheme="minorHAnsi" w:hAnsiTheme="minorHAnsi" w:eastAsiaTheme="minorEastAsia" w:cstheme="minorBidi"/>
      <w:b/>
      <w:bCs/>
      <w:kern w:val="2"/>
      <w:sz w:val="21"/>
      <w:szCs w:val="24"/>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昆明市寻甸县党政机关单位</Company>
  <Pages>8</Pages>
  <Words>3267</Words>
  <Characters>3526</Characters>
  <Lines>28</Lines>
  <Paragraphs>8</Paragraphs>
  <TotalTime>503</TotalTime>
  <ScaleCrop>false</ScaleCrop>
  <LinksUpToDate>false</LinksUpToDate>
  <CharactersWithSpaces>3589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2023-09-01T11:11:00Z</dcterms:created>
  <dc:creator>武瑞华</dc:creator>
  <cp:lastModifiedBy>Administrator</cp:lastModifiedBy>
  <cp:lastPrinted>2024-12-04T03:22:00Z</cp:lastPrinted>
  <dcterms:modified xsi:type="dcterms:W3CDTF">2024-12-11T08:23:52Z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CE8C76615D8C4E8C9A9741262CBB5298_13</vt:lpwstr>
  </property>
</Properties>
</file>