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417EC">
      <w:pPr>
        <w:ind w:firstLine="482"/>
        <w:jc w:val="right"/>
        <w:rPr>
          <w:rFonts w:hint="eastAsia"/>
          <w:b/>
          <w:szCs w:val="24"/>
        </w:rPr>
      </w:pPr>
    </w:p>
    <w:p w14:paraId="29076A07">
      <w:pPr>
        <w:ind w:firstLine="482"/>
        <w:jc w:val="right"/>
        <w:rPr>
          <w:rFonts w:hint="eastAsia"/>
          <w:b/>
          <w:szCs w:val="24"/>
        </w:rPr>
      </w:pPr>
    </w:p>
    <w:p w14:paraId="326468B9">
      <w:pPr>
        <w:wordWrap w:val="0"/>
        <w:ind w:firstLine="482"/>
        <w:jc w:val="right"/>
        <w:rPr>
          <w:rFonts w:hint="eastAsia"/>
          <w:b/>
          <w:szCs w:val="24"/>
        </w:rPr>
      </w:pPr>
      <w:r>
        <w:rPr>
          <w:rFonts w:hint="eastAsia"/>
          <w:b/>
          <w:szCs w:val="24"/>
        </w:rPr>
        <w:t xml:space="preserve"> </w:t>
      </w:r>
    </w:p>
    <w:p w14:paraId="578BC0A9">
      <w:pPr>
        <w:ind w:firstLine="482"/>
        <w:jc w:val="center"/>
        <w:rPr>
          <w:rFonts w:hint="eastAsia"/>
          <w:b/>
          <w:szCs w:val="24"/>
        </w:rPr>
      </w:pPr>
    </w:p>
    <w:p w14:paraId="1EAC835A">
      <w:pPr>
        <w:ind w:firstLine="482"/>
        <w:jc w:val="center"/>
        <w:rPr>
          <w:rFonts w:hint="eastAsia"/>
          <w:b/>
          <w:szCs w:val="24"/>
        </w:rPr>
      </w:pPr>
    </w:p>
    <w:p w14:paraId="4614CE35">
      <w:pPr>
        <w:ind w:firstLine="482"/>
        <w:jc w:val="center"/>
        <w:rPr>
          <w:rFonts w:hint="eastAsia"/>
          <w:b/>
          <w:szCs w:val="24"/>
        </w:rPr>
      </w:pPr>
    </w:p>
    <w:p w14:paraId="4153341E">
      <w:pPr>
        <w:ind w:firstLine="0" w:firstLineChars="0"/>
        <w:jc w:val="center"/>
        <w:rPr>
          <w:rFonts w:hint="eastAsia"/>
          <w:b/>
          <w:sz w:val="72"/>
          <w:szCs w:val="72"/>
        </w:rPr>
      </w:pPr>
      <w:r>
        <w:rPr>
          <w:rFonts w:hint="eastAsia"/>
          <w:b/>
          <w:sz w:val="72"/>
          <w:szCs w:val="72"/>
        </w:rPr>
        <w:t>建设项目环境影响报告表</w:t>
      </w:r>
    </w:p>
    <w:p w14:paraId="309C4F96">
      <w:pPr>
        <w:ind w:firstLine="643"/>
        <w:jc w:val="center"/>
        <w:rPr>
          <w:rFonts w:hint="eastAsia"/>
          <w:b/>
          <w:sz w:val="32"/>
          <w:szCs w:val="32"/>
        </w:rPr>
      </w:pPr>
      <w:r>
        <w:rPr>
          <w:rFonts w:hint="eastAsia"/>
          <w:b/>
          <w:sz w:val="32"/>
          <w:szCs w:val="32"/>
          <w:lang w:eastAsia="zh-CN"/>
        </w:rPr>
        <w:t>（污染影响类）</w:t>
      </w:r>
    </w:p>
    <w:p w14:paraId="10E9C559">
      <w:pPr>
        <w:ind w:firstLine="1446"/>
        <w:jc w:val="center"/>
        <w:rPr>
          <w:rFonts w:hint="eastAsia"/>
          <w:b/>
          <w:sz w:val="72"/>
          <w:szCs w:val="72"/>
        </w:rPr>
      </w:pPr>
    </w:p>
    <w:p w14:paraId="63AAACF1">
      <w:pPr>
        <w:ind w:firstLine="1446"/>
        <w:jc w:val="center"/>
        <w:rPr>
          <w:rFonts w:hint="eastAsia"/>
          <w:b/>
          <w:sz w:val="72"/>
          <w:szCs w:val="72"/>
        </w:rPr>
      </w:pPr>
    </w:p>
    <w:p w14:paraId="4A0A93BA">
      <w:pPr>
        <w:jc w:val="both"/>
        <w:rPr>
          <w:rFonts w:hint="eastAsia"/>
          <w:b/>
          <w:sz w:val="72"/>
          <w:szCs w:val="72"/>
        </w:rPr>
      </w:pPr>
    </w:p>
    <w:p w14:paraId="3EB4CC62">
      <w:pPr>
        <w:pStyle w:val="5"/>
        <w:rPr>
          <w:rFonts w:hint="eastAsia"/>
          <w:b/>
          <w:sz w:val="72"/>
          <w:szCs w:val="72"/>
        </w:rPr>
      </w:pPr>
    </w:p>
    <w:p w14:paraId="432EE8BE">
      <w:pPr>
        <w:ind w:left="0" w:leftChars="0" w:firstLine="0" w:firstLineChars="0"/>
        <w:jc w:val="both"/>
        <w:rPr>
          <w:rFonts w:hint="eastAsia"/>
          <w:b/>
          <w:sz w:val="72"/>
          <w:szCs w:val="72"/>
        </w:rPr>
      </w:pPr>
    </w:p>
    <w:p w14:paraId="6A2DA471">
      <w:pPr>
        <w:ind w:firstLine="0" w:firstLineChars="0"/>
        <w:jc w:val="left"/>
        <w:rPr>
          <w:rFonts w:hint="default" w:ascii="Times New Roman" w:hAnsi="Times New Roman" w:eastAsia="宋体" w:cs="Times New Roman"/>
          <w:b w:val="0"/>
          <w:bCs/>
          <w:i/>
          <w:iCs/>
          <w:color w:val="auto"/>
          <w:sz w:val="30"/>
          <w:szCs w:val="30"/>
          <w:u w:val="none"/>
          <w:lang w:val="en-US" w:eastAsia="zh-CN"/>
        </w:rPr>
      </w:pPr>
      <w:r>
        <w:rPr>
          <w:rFonts w:hint="eastAsia"/>
          <w:b/>
          <w:sz w:val="32"/>
          <w:szCs w:val="32"/>
        </w:rPr>
        <w:t>项目名称</w:t>
      </w:r>
      <w:r>
        <w:rPr>
          <w:rFonts w:hint="default" w:ascii="Times New Roman" w:hAnsi="Times New Roman" w:eastAsia="宋体" w:cs="Times New Roman"/>
          <w:b/>
          <w:sz w:val="32"/>
          <w:szCs w:val="32"/>
        </w:rPr>
        <w:t>：</w:t>
      </w:r>
      <w:r>
        <w:rPr>
          <w:rFonts w:hint="eastAsia" w:ascii="Times New Roman" w:hAnsi="Times New Roman" w:eastAsia="宋体" w:cs="Times New Roman"/>
          <w:b w:val="0"/>
          <w:bCs/>
          <w:sz w:val="32"/>
          <w:szCs w:val="32"/>
          <w:u w:val="single"/>
          <w:lang w:val="en-US" w:eastAsia="zh-CN"/>
        </w:rPr>
        <w:t xml:space="preserve"> </w:t>
      </w:r>
      <w:r>
        <w:rPr>
          <w:rFonts w:hint="default" w:ascii="Times New Roman" w:hAnsi="Times New Roman" w:eastAsia="宋体" w:cs="Times New Roman"/>
          <w:b w:val="0"/>
          <w:bCs/>
          <w:sz w:val="32"/>
          <w:szCs w:val="32"/>
          <w:u w:val="single"/>
          <w:lang w:val="en-US" w:eastAsia="zh-CN"/>
        </w:rPr>
        <w:t>寻甸福兴宏盛土石方工程有限公司10万吨/年沥青混凝土搅拌站建设项目</w:t>
      </w:r>
      <w:r>
        <w:rPr>
          <w:rFonts w:hint="eastAsia" w:ascii="Times New Roman" w:hAnsi="Times New Roman" w:eastAsia="宋体" w:cs="Times New Roman"/>
          <w:b w:val="0"/>
          <w:bCs/>
          <w:sz w:val="32"/>
          <w:szCs w:val="32"/>
          <w:u w:val="single"/>
          <w:lang w:val="en-US" w:eastAsia="zh-CN"/>
        </w:rPr>
        <w:t xml:space="preserve">  </w:t>
      </w:r>
    </w:p>
    <w:p w14:paraId="59808599">
      <w:pPr>
        <w:ind w:firstLine="0" w:firstLineChars="0"/>
        <w:jc w:val="left"/>
        <w:rPr>
          <w:rFonts w:hint="default" w:ascii="Times New Roman" w:hAnsi="Times New Roman" w:eastAsia="宋体" w:cs="Times New Roman"/>
          <w:b/>
          <w:sz w:val="30"/>
          <w:szCs w:val="30"/>
          <w:u w:val="none"/>
        </w:rPr>
      </w:pPr>
      <w:r>
        <w:rPr>
          <w:rFonts w:hint="default" w:ascii="Times New Roman" w:hAnsi="Times New Roman" w:eastAsia="宋体" w:cs="Times New Roman"/>
          <w:b/>
          <w:sz w:val="32"/>
          <w:szCs w:val="32"/>
          <w:u w:val="none"/>
        </w:rPr>
        <w:t>建设单位：</w:t>
      </w:r>
      <w:r>
        <w:rPr>
          <w:rFonts w:hint="eastAsia" w:ascii="Times New Roman" w:hAnsi="Times New Roman" w:eastAsia="宋体" w:cs="Times New Roman"/>
          <w:b w:val="0"/>
          <w:bCs/>
          <w:sz w:val="32"/>
          <w:szCs w:val="32"/>
          <w:u w:val="single"/>
          <w:lang w:val="en-US" w:eastAsia="zh-CN"/>
        </w:rPr>
        <w:t xml:space="preserve">  </w:t>
      </w:r>
      <w:r>
        <w:rPr>
          <w:rFonts w:hint="default" w:ascii="Times New Roman" w:hAnsi="Times New Roman" w:eastAsia="宋体" w:cs="Times New Roman"/>
          <w:b w:val="0"/>
          <w:bCs/>
          <w:sz w:val="32"/>
          <w:szCs w:val="32"/>
          <w:u w:val="single"/>
          <w:lang w:val="en-US" w:eastAsia="zh-CN"/>
        </w:rPr>
        <w:t>寻甸福兴宏盛土石方工程有限公司</w:t>
      </w:r>
      <w:r>
        <w:rPr>
          <w:rFonts w:hint="eastAsia" w:ascii="Times New Roman" w:hAnsi="Times New Roman" w:eastAsia="宋体" w:cs="Times New Roman"/>
          <w:b w:val="0"/>
          <w:bCs/>
          <w:sz w:val="32"/>
          <w:szCs w:val="32"/>
          <w:u w:val="single"/>
          <w:lang w:val="en-US" w:eastAsia="zh-CN"/>
        </w:rPr>
        <w:t xml:space="preserve"> </w:t>
      </w:r>
      <w:r>
        <w:rPr>
          <w:rFonts w:hint="default" w:ascii="Times New Roman" w:hAnsi="Times New Roman" w:eastAsia="宋体" w:cs="Times New Roman"/>
          <w:b w:val="0"/>
          <w:bCs/>
          <w:sz w:val="32"/>
          <w:szCs w:val="32"/>
          <w:u w:val="single"/>
          <w:lang w:val="en-US" w:eastAsia="zh-CN"/>
        </w:rPr>
        <w:t xml:space="preserve"> </w:t>
      </w:r>
      <w:r>
        <w:rPr>
          <w:rFonts w:hint="default" w:ascii="Times New Roman" w:hAnsi="Times New Roman" w:eastAsia="宋体" w:cs="Times New Roman"/>
          <w:b w:val="0"/>
          <w:bCs/>
          <w:sz w:val="32"/>
          <w:szCs w:val="32"/>
          <w:u w:val="none"/>
          <w:lang w:val="en-US" w:eastAsia="zh-CN"/>
        </w:rPr>
        <w:t>（</w:t>
      </w:r>
      <w:r>
        <w:rPr>
          <w:rFonts w:hint="default" w:ascii="Times New Roman" w:hAnsi="Times New Roman" w:eastAsia="宋体" w:cs="Times New Roman"/>
          <w:b w:val="0"/>
          <w:bCs/>
          <w:sz w:val="30"/>
          <w:szCs w:val="30"/>
          <w:u w:val="none"/>
        </w:rPr>
        <w:t>盖章</w:t>
      </w:r>
      <w:r>
        <w:rPr>
          <w:rFonts w:hint="default" w:ascii="Times New Roman" w:hAnsi="Times New Roman" w:eastAsia="宋体" w:cs="Times New Roman"/>
          <w:b w:val="0"/>
          <w:bCs/>
          <w:sz w:val="32"/>
          <w:szCs w:val="32"/>
          <w:u w:val="none"/>
          <w:lang w:val="en-US" w:eastAsia="zh-CN"/>
        </w:rPr>
        <w:t>）</w:t>
      </w:r>
    </w:p>
    <w:p w14:paraId="67139BF0">
      <w:pPr>
        <w:ind w:left="0" w:leftChars="0" w:firstLine="0" w:firstLineChars="0"/>
        <w:jc w:val="left"/>
        <w:rPr>
          <w:rFonts w:hint="default" w:ascii="Times New Roman" w:hAnsi="Times New Roman" w:eastAsia="宋体" w:cs="Times New Roman"/>
          <w:b w:val="0"/>
          <w:bCs/>
          <w:sz w:val="32"/>
          <w:szCs w:val="32"/>
          <w:u w:val="none"/>
          <w:lang w:val="en-US" w:eastAsia="zh-CN"/>
        </w:rPr>
      </w:pPr>
      <w:r>
        <w:rPr>
          <w:rFonts w:hint="default" w:ascii="Times New Roman" w:hAnsi="Times New Roman" w:eastAsia="宋体" w:cs="Times New Roman"/>
          <w:b/>
          <w:sz w:val="32"/>
          <w:szCs w:val="32"/>
          <w:u w:val="none"/>
        </w:rPr>
        <w:t>编制日期：</w:t>
      </w:r>
      <w:r>
        <w:rPr>
          <w:rFonts w:hint="eastAsia" w:ascii="Times New Roman" w:hAnsi="Times New Roman" w:eastAsia="宋体" w:cs="Times New Roman"/>
          <w:b w:val="0"/>
          <w:bCs/>
          <w:sz w:val="32"/>
          <w:szCs w:val="32"/>
          <w:u w:val="single"/>
          <w:lang w:val="en-US" w:eastAsia="zh-CN"/>
        </w:rPr>
        <w:t xml:space="preserve">            </w:t>
      </w:r>
      <w:r>
        <w:rPr>
          <w:rFonts w:hint="default" w:ascii="Times New Roman" w:hAnsi="Times New Roman" w:eastAsia="宋体" w:cs="Times New Roman"/>
          <w:b w:val="0"/>
          <w:bCs/>
          <w:sz w:val="32"/>
          <w:szCs w:val="32"/>
          <w:u w:val="single"/>
          <w:lang w:val="en-US" w:eastAsia="zh-CN"/>
        </w:rPr>
        <w:t>2025年</w:t>
      </w:r>
      <w:r>
        <w:rPr>
          <w:rFonts w:hint="eastAsia" w:cs="Times New Roman"/>
          <w:b w:val="0"/>
          <w:bCs/>
          <w:sz w:val="32"/>
          <w:szCs w:val="32"/>
          <w:u w:val="single"/>
          <w:lang w:val="en-US" w:eastAsia="zh-CN"/>
        </w:rPr>
        <w:t>11</w:t>
      </w:r>
      <w:r>
        <w:rPr>
          <w:rFonts w:hint="default" w:ascii="Times New Roman" w:hAnsi="Times New Roman" w:eastAsia="宋体" w:cs="Times New Roman"/>
          <w:b w:val="0"/>
          <w:bCs/>
          <w:sz w:val="32"/>
          <w:szCs w:val="32"/>
          <w:u w:val="single"/>
          <w:lang w:val="en-US" w:eastAsia="zh-CN"/>
        </w:rPr>
        <w:t>月</w:t>
      </w:r>
      <w:r>
        <w:rPr>
          <w:rFonts w:hint="eastAsia" w:ascii="Times New Roman" w:hAnsi="Times New Roman" w:eastAsia="宋体" w:cs="Times New Roman"/>
          <w:b w:val="0"/>
          <w:bCs/>
          <w:sz w:val="32"/>
          <w:szCs w:val="32"/>
          <w:u w:val="single"/>
          <w:lang w:val="en-US" w:eastAsia="zh-CN"/>
        </w:rPr>
        <w:t xml:space="preserve">                  </w:t>
      </w:r>
    </w:p>
    <w:p w14:paraId="7C0959DE">
      <w:pPr>
        <w:pStyle w:val="5"/>
        <w:rPr>
          <w:b/>
          <w:sz w:val="32"/>
          <w:szCs w:val="32"/>
        </w:rPr>
      </w:pPr>
    </w:p>
    <w:p w14:paraId="0FE45F05">
      <w:pPr>
        <w:pStyle w:val="5"/>
        <w:jc w:val="center"/>
        <w:rPr>
          <w:rFonts w:hint="eastAsia" w:eastAsia="宋体"/>
          <w:b/>
          <w:sz w:val="32"/>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b/>
          <w:sz w:val="32"/>
          <w:szCs w:val="32"/>
          <w:lang w:eastAsia="zh-CN"/>
        </w:rPr>
        <w:t>中华人民共和国生态环境部制</w:t>
      </w:r>
    </w:p>
    <w:p w14:paraId="27E54C7F">
      <w:pPr>
        <w:pStyle w:val="19"/>
        <w:ind w:firstLine="480"/>
        <w:jc w:val="center"/>
        <w:rPr>
          <w:color w:val="auto"/>
        </w:rPr>
      </w:pPr>
      <w:bookmarkStart w:id="0" w:name="_Toc22543"/>
      <w:r>
        <w:rPr>
          <w:color w:val="auto"/>
          <w:lang w:val="zh-CN"/>
        </w:rPr>
        <w:t>目</w:t>
      </w:r>
      <w:r>
        <w:rPr>
          <w:rFonts w:hint="eastAsia"/>
          <w:color w:val="auto"/>
          <w:lang w:val="zh-CN"/>
        </w:rPr>
        <w:t xml:space="preserve"> </w:t>
      </w:r>
      <w:r>
        <w:rPr>
          <w:color w:val="auto"/>
          <w:lang w:val="zh-CN"/>
        </w:rPr>
        <w:t>录</w:t>
      </w:r>
      <w:bookmarkEnd w:id="0"/>
    </w:p>
    <w:p w14:paraId="36D859F8">
      <w:pPr>
        <w:pStyle w:val="11"/>
        <w:tabs>
          <w:tab w:val="right" w:leader="dot" w:pos="8306"/>
        </w:tabs>
      </w:pPr>
      <w:r>
        <w:fldChar w:fldCharType="begin"/>
      </w:r>
      <w:r>
        <w:instrText xml:space="preserve"> TOC \o "1-3" \h \z \u </w:instrText>
      </w:r>
      <w:r>
        <w:fldChar w:fldCharType="separate"/>
      </w:r>
      <w:r>
        <w:fldChar w:fldCharType="begin"/>
      </w:r>
      <w:r>
        <w:instrText xml:space="preserve"> HYPERLINK \l _Toc25703 </w:instrText>
      </w:r>
      <w:r>
        <w:fldChar w:fldCharType="separate"/>
      </w:r>
      <w:r>
        <w:rPr>
          <w:rFonts w:hint="eastAsia"/>
        </w:rPr>
        <w:t>一、建设项目基本情况</w:t>
      </w:r>
      <w:r>
        <w:tab/>
      </w:r>
      <w:r>
        <w:fldChar w:fldCharType="begin"/>
      </w:r>
      <w:r>
        <w:instrText xml:space="preserve"> PAGEREF _Toc25703 </w:instrText>
      </w:r>
      <w:r>
        <w:fldChar w:fldCharType="separate"/>
      </w:r>
      <w:r>
        <w:t>- 2 -</w:t>
      </w:r>
      <w:r>
        <w:fldChar w:fldCharType="end"/>
      </w:r>
      <w:r>
        <w:fldChar w:fldCharType="end"/>
      </w:r>
    </w:p>
    <w:p w14:paraId="50C362A8">
      <w:pPr>
        <w:pStyle w:val="11"/>
        <w:tabs>
          <w:tab w:val="right" w:leader="dot" w:pos="8306"/>
        </w:tabs>
      </w:pPr>
      <w:r>
        <w:rPr>
          <w:bCs/>
          <w:lang w:val="zh-CN"/>
        </w:rPr>
        <w:fldChar w:fldCharType="begin"/>
      </w:r>
      <w:r>
        <w:rPr>
          <w:bCs/>
          <w:lang w:val="zh-CN"/>
        </w:rPr>
        <w:instrText xml:space="preserve"> HYPERLINK \l _Toc20144 </w:instrText>
      </w:r>
      <w:r>
        <w:rPr>
          <w:bCs/>
          <w:lang w:val="zh-CN"/>
        </w:rPr>
        <w:fldChar w:fldCharType="separate"/>
      </w:r>
      <w:r>
        <w:rPr>
          <w:rFonts w:hint="eastAsia"/>
        </w:rPr>
        <w:t>二、建设</w:t>
      </w:r>
      <w:r>
        <w:rPr>
          <w:rFonts w:hint="eastAsia"/>
          <w:lang w:eastAsia="zh-CN"/>
        </w:rPr>
        <w:t>项目工程分析</w:t>
      </w:r>
      <w:r>
        <w:tab/>
      </w:r>
      <w:r>
        <w:fldChar w:fldCharType="begin"/>
      </w:r>
      <w:r>
        <w:instrText xml:space="preserve"> PAGEREF _Toc20144 </w:instrText>
      </w:r>
      <w:r>
        <w:fldChar w:fldCharType="separate"/>
      </w:r>
      <w:r>
        <w:t>- 34 -</w:t>
      </w:r>
      <w:r>
        <w:fldChar w:fldCharType="end"/>
      </w:r>
      <w:r>
        <w:rPr>
          <w:bCs/>
          <w:lang w:val="zh-CN"/>
        </w:rPr>
        <w:fldChar w:fldCharType="end"/>
      </w:r>
    </w:p>
    <w:p w14:paraId="77DD2D23">
      <w:pPr>
        <w:pStyle w:val="11"/>
        <w:tabs>
          <w:tab w:val="right" w:leader="dot" w:pos="8306"/>
        </w:tabs>
      </w:pPr>
      <w:r>
        <w:rPr>
          <w:bCs/>
          <w:lang w:val="zh-CN"/>
        </w:rPr>
        <w:fldChar w:fldCharType="begin"/>
      </w:r>
      <w:r>
        <w:rPr>
          <w:bCs/>
          <w:lang w:val="zh-CN"/>
        </w:rPr>
        <w:instrText xml:space="preserve"> HYPERLINK \l _Toc31593 </w:instrText>
      </w:r>
      <w:r>
        <w:rPr>
          <w:bCs/>
          <w:lang w:val="zh-CN"/>
        </w:rPr>
        <w:fldChar w:fldCharType="separate"/>
      </w:r>
      <w:r>
        <w:rPr>
          <w:rFonts w:hint="eastAsia"/>
        </w:rPr>
        <w:t>三、</w:t>
      </w:r>
      <w:r>
        <w:rPr>
          <w:rFonts w:hint="eastAsia"/>
          <w:lang w:eastAsia="zh-CN"/>
        </w:rPr>
        <w:t>区域环境质量现状、保护目标及评价标准</w:t>
      </w:r>
      <w:r>
        <w:tab/>
      </w:r>
      <w:r>
        <w:fldChar w:fldCharType="begin"/>
      </w:r>
      <w:r>
        <w:instrText xml:space="preserve"> PAGEREF _Toc31593 </w:instrText>
      </w:r>
      <w:r>
        <w:fldChar w:fldCharType="separate"/>
      </w:r>
      <w:r>
        <w:t>- 52 -</w:t>
      </w:r>
      <w:r>
        <w:fldChar w:fldCharType="end"/>
      </w:r>
      <w:r>
        <w:rPr>
          <w:bCs/>
          <w:lang w:val="zh-CN"/>
        </w:rPr>
        <w:fldChar w:fldCharType="end"/>
      </w:r>
    </w:p>
    <w:p w14:paraId="79925839">
      <w:pPr>
        <w:pStyle w:val="11"/>
        <w:tabs>
          <w:tab w:val="right" w:leader="dot" w:pos="8306"/>
        </w:tabs>
      </w:pPr>
      <w:r>
        <w:rPr>
          <w:bCs/>
          <w:lang w:val="zh-CN"/>
        </w:rPr>
        <w:fldChar w:fldCharType="begin"/>
      </w:r>
      <w:r>
        <w:rPr>
          <w:bCs/>
          <w:lang w:val="zh-CN"/>
        </w:rPr>
        <w:instrText xml:space="preserve"> HYPERLINK \l _Toc11318 </w:instrText>
      </w:r>
      <w:r>
        <w:rPr>
          <w:bCs/>
          <w:lang w:val="zh-CN"/>
        </w:rPr>
        <w:fldChar w:fldCharType="separate"/>
      </w:r>
      <w:r>
        <w:rPr>
          <w:rFonts w:hint="eastAsia"/>
        </w:rPr>
        <w:t>四、</w:t>
      </w:r>
      <w:r>
        <w:rPr>
          <w:rFonts w:hint="eastAsia"/>
          <w:lang w:eastAsia="zh-CN"/>
        </w:rPr>
        <w:t>主要环境影响和保护措施</w:t>
      </w:r>
      <w:r>
        <w:tab/>
      </w:r>
      <w:r>
        <w:fldChar w:fldCharType="begin"/>
      </w:r>
      <w:r>
        <w:instrText xml:space="preserve"> PAGEREF _Toc11318 </w:instrText>
      </w:r>
      <w:r>
        <w:fldChar w:fldCharType="separate"/>
      </w:r>
      <w:r>
        <w:t>- 63 -</w:t>
      </w:r>
      <w:r>
        <w:fldChar w:fldCharType="end"/>
      </w:r>
      <w:r>
        <w:rPr>
          <w:bCs/>
          <w:lang w:val="zh-CN"/>
        </w:rPr>
        <w:fldChar w:fldCharType="end"/>
      </w:r>
    </w:p>
    <w:p w14:paraId="0E3FBF61">
      <w:pPr>
        <w:pStyle w:val="11"/>
        <w:tabs>
          <w:tab w:val="right" w:leader="dot" w:pos="8306"/>
        </w:tabs>
      </w:pPr>
      <w:r>
        <w:rPr>
          <w:bCs/>
          <w:lang w:val="zh-CN"/>
        </w:rPr>
        <w:fldChar w:fldCharType="begin"/>
      </w:r>
      <w:r>
        <w:rPr>
          <w:bCs/>
          <w:lang w:val="zh-CN"/>
        </w:rPr>
        <w:instrText xml:space="preserve"> HYPERLINK \l _Toc18391 </w:instrText>
      </w:r>
      <w:r>
        <w:rPr>
          <w:bCs/>
          <w:lang w:val="zh-CN"/>
        </w:rPr>
        <w:fldChar w:fldCharType="separate"/>
      </w:r>
      <w:r>
        <w:rPr>
          <w:rFonts w:hint="eastAsia"/>
        </w:rPr>
        <w:t>五、</w:t>
      </w:r>
      <w:r>
        <w:rPr>
          <w:rFonts w:hint="eastAsia"/>
          <w:lang w:eastAsia="zh-CN"/>
        </w:rPr>
        <w:t>环境保护措施监督检查清单</w:t>
      </w:r>
      <w:r>
        <w:tab/>
      </w:r>
      <w:r>
        <w:fldChar w:fldCharType="begin"/>
      </w:r>
      <w:r>
        <w:instrText xml:space="preserve"> PAGEREF _Toc18391 </w:instrText>
      </w:r>
      <w:r>
        <w:fldChar w:fldCharType="separate"/>
      </w:r>
      <w:r>
        <w:t>- 101 -</w:t>
      </w:r>
      <w:r>
        <w:fldChar w:fldCharType="end"/>
      </w:r>
      <w:r>
        <w:rPr>
          <w:bCs/>
          <w:lang w:val="zh-CN"/>
        </w:rPr>
        <w:fldChar w:fldCharType="end"/>
      </w:r>
    </w:p>
    <w:p w14:paraId="3DA3B2CF">
      <w:pPr>
        <w:pStyle w:val="11"/>
        <w:tabs>
          <w:tab w:val="right" w:leader="dot" w:pos="8306"/>
        </w:tabs>
      </w:pPr>
      <w:r>
        <w:rPr>
          <w:bCs/>
          <w:lang w:val="zh-CN"/>
        </w:rPr>
        <w:fldChar w:fldCharType="begin"/>
      </w:r>
      <w:r>
        <w:rPr>
          <w:bCs/>
          <w:lang w:val="zh-CN"/>
        </w:rPr>
        <w:instrText xml:space="preserve"> HYPERLINK \l _Toc12811 </w:instrText>
      </w:r>
      <w:r>
        <w:rPr>
          <w:bCs/>
          <w:lang w:val="zh-CN"/>
        </w:rPr>
        <w:fldChar w:fldCharType="separate"/>
      </w:r>
      <w:r>
        <w:rPr>
          <w:rFonts w:hint="eastAsia" w:ascii="宋体" w:hAnsi="宋体"/>
          <w:lang w:eastAsia="zh-CN"/>
        </w:rPr>
        <w:t>六</w:t>
      </w:r>
      <w:r>
        <w:rPr>
          <w:rFonts w:hint="eastAsia" w:ascii="宋体" w:hAnsi="宋体"/>
        </w:rPr>
        <w:t>、</w:t>
      </w:r>
      <w:r>
        <w:rPr>
          <w:rFonts w:ascii="宋体" w:hAnsi="宋体"/>
        </w:rPr>
        <w:t>结论</w:t>
      </w:r>
      <w:r>
        <w:tab/>
      </w:r>
      <w:r>
        <w:fldChar w:fldCharType="begin"/>
      </w:r>
      <w:r>
        <w:instrText xml:space="preserve"> PAGEREF _Toc12811 </w:instrText>
      </w:r>
      <w:r>
        <w:fldChar w:fldCharType="separate"/>
      </w:r>
      <w:r>
        <w:t>- 105 -</w:t>
      </w:r>
      <w:r>
        <w:fldChar w:fldCharType="end"/>
      </w:r>
      <w:r>
        <w:rPr>
          <w:bCs/>
          <w:lang w:val="zh-CN"/>
        </w:rPr>
        <w:fldChar w:fldCharType="end"/>
      </w:r>
    </w:p>
    <w:p w14:paraId="2C35355B">
      <w:pPr>
        <w:ind w:firstLine="482"/>
        <w:rPr>
          <w:rFonts w:hint="eastAsia" w:ascii="宋体" w:hAnsi="宋体" w:eastAsia="宋体" w:cs="宋体"/>
          <w:i w:val="0"/>
          <w:iCs w:val="0"/>
          <w:sz w:val="24"/>
          <w:szCs w:val="24"/>
        </w:rPr>
      </w:pPr>
      <w:r>
        <w:rPr>
          <w:bCs/>
          <w:lang w:val="zh-CN"/>
        </w:rPr>
        <w:fldChar w:fldCharType="end"/>
      </w:r>
    </w:p>
    <w:p w14:paraId="051FA8AB">
      <w:pPr>
        <w:pStyle w:val="6"/>
        <w:keepNext w:val="0"/>
        <w:keepLines w:val="0"/>
        <w:pageBreakBefore w:val="0"/>
        <w:kinsoku/>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附件</w:t>
      </w:r>
    </w:p>
    <w:p w14:paraId="513A18B8">
      <w:pPr>
        <w:keepNext w:val="0"/>
        <w:keepLines w:val="0"/>
        <w:pageBreakBefore w:val="0"/>
        <w:kinsoku/>
        <w:overflowPunct/>
        <w:topLinePunct w:val="0"/>
        <w:autoSpaceDE/>
        <w:autoSpaceDN/>
        <w:bidi w:val="0"/>
        <w:adjustRightInd/>
        <w:snapToGrid w:val="0"/>
        <w:spacing w:line="360" w:lineRule="auto"/>
        <w:ind w:left="0" w:right="0" w:firstLine="480" w:firstLineChars="200"/>
        <w:jc w:val="left"/>
        <w:textAlignment w:val="auto"/>
        <w:rPr>
          <w:rFonts w:hint="default" w:ascii="Times New Roman" w:hAnsi="Times New Roman" w:eastAsia="宋体" w:cs="Times New Roman"/>
          <w:i w:val="0"/>
          <w:iCs w:val="0"/>
          <w:color w:val="auto"/>
          <w:sz w:val="24"/>
          <w:szCs w:val="24"/>
          <w:lang w:val="en-US" w:eastAsia="zh-CN"/>
        </w:rPr>
      </w:pPr>
      <w:r>
        <w:rPr>
          <w:rFonts w:hint="eastAsia" w:ascii="宋体" w:hAnsi="宋体" w:eastAsia="宋体" w:cs="宋体"/>
          <w:i w:val="0"/>
          <w:iCs w:val="0"/>
          <w:color w:val="auto"/>
          <w:sz w:val="24"/>
          <w:szCs w:val="24"/>
          <w:lang w:val="en-US" w:eastAsia="zh-CN"/>
        </w:rPr>
        <w:t>附</w:t>
      </w:r>
      <w:r>
        <w:rPr>
          <w:rFonts w:hint="default" w:ascii="Times New Roman" w:hAnsi="Times New Roman" w:eastAsia="宋体" w:cs="Times New Roman"/>
          <w:i w:val="0"/>
          <w:iCs w:val="0"/>
          <w:color w:val="auto"/>
          <w:sz w:val="24"/>
          <w:szCs w:val="24"/>
          <w:lang w:val="en-US" w:eastAsia="zh-CN"/>
        </w:rPr>
        <w:t>件1 委托书</w:t>
      </w:r>
    </w:p>
    <w:p w14:paraId="02D50C06">
      <w:pPr>
        <w:pStyle w:val="5"/>
        <w:keepNext w:val="0"/>
        <w:keepLines w:val="0"/>
        <w:pageBreakBefore w:val="0"/>
        <w:kinsoku/>
        <w:overflowPunct/>
        <w:topLinePunct w:val="0"/>
        <w:autoSpaceDE/>
        <w:autoSpaceDN/>
        <w:bidi w:val="0"/>
        <w:adjustRightInd/>
        <w:spacing w:after="0" w:afterLines="0" w:line="360" w:lineRule="auto"/>
        <w:ind w:right="0" w:firstLine="480" w:firstLineChars="200"/>
        <w:jc w:val="left"/>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附件2 项目投资备案证</w:t>
      </w:r>
    </w:p>
    <w:p w14:paraId="35D1F676">
      <w:pPr>
        <w:pStyle w:val="6"/>
        <w:keepNext w:val="0"/>
        <w:keepLines w:val="0"/>
        <w:pageBreakBefore w:val="0"/>
        <w:kinsoku/>
        <w:overflowPunct/>
        <w:topLinePunct w:val="0"/>
        <w:autoSpaceDE/>
        <w:autoSpaceDN/>
        <w:bidi w:val="0"/>
        <w:adjustRightInd/>
        <w:spacing w:before="0" w:after="0" w:line="360" w:lineRule="auto"/>
        <w:ind w:left="0" w:leftChars="0" w:right="0" w:firstLine="480" w:firstLineChars="200"/>
        <w:jc w:val="left"/>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附件3 关于本项目不进工业园区选址的批复</w:t>
      </w:r>
    </w:p>
    <w:p w14:paraId="786BF8EB">
      <w:pPr>
        <w:keepNext w:val="0"/>
        <w:keepLines w:val="0"/>
        <w:pageBreakBefore w:val="0"/>
        <w:kinsoku/>
        <w:overflowPunct/>
        <w:topLinePunct w:val="0"/>
        <w:autoSpaceDE/>
        <w:autoSpaceDN/>
        <w:bidi w:val="0"/>
        <w:adjustRightInd/>
        <w:spacing w:line="360" w:lineRule="auto"/>
        <w:ind w:left="0" w:leftChars="0" w:right="0" w:firstLine="480" w:firstLineChars="200"/>
        <w:jc w:val="left"/>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附件4 项目用地协议</w:t>
      </w:r>
    </w:p>
    <w:p w14:paraId="4B01240F">
      <w:pPr>
        <w:pStyle w:val="5"/>
        <w:keepNext w:val="0"/>
        <w:keepLines w:val="0"/>
        <w:pageBreakBefore w:val="0"/>
        <w:kinsoku/>
        <w:overflowPunct/>
        <w:topLinePunct w:val="0"/>
        <w:autoSpaceDE/>
        <w:autoSpaceDN/>
        <w:bidi w:val="0"/>
        <w:adjustRightInd/>
        <w:spacing w:after="0" w:afterLines="0" w:line="360" w:lineRule="auto"/>
        <w:ind w:right="0" w:firstLine="480" w:firstLineChars="200"/>
        <w:jc w:val="left"/>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 xml:space="preserve">附件5 </w:t>
      </w:r>
      <w:r>
        <w:rPr>
          <w:rFonts w:hint="eastAsia" w:cs="Times New Roman"/>
          <w:i w:val="0"/>
          <w:iCs w:val="0"/>
          <w:kern w:val="2"/>
          <w:sz w:val="24"/>
          <w:szCs w:val="24"/>
          <w:lang w:val="en-US" w:eastAsia="zh-CN" w:bidi="ar-SA"/>
        </w:rPr>
        <w:t>项目三区三线查询结果</w:t>
      </w:r>
    </w:p>
    <w:p w14:paraId="2C294E5A">
      <w:pPr>
        <w:pStyle w:val="5"/>
        <w:keepNext w:val="0"/>
        <w:keepLines w:val="0"/>
        <w:pageBreakBefore w:val="0"/>
        <w:kinsoku/>
        <w:overflowPunct/>
        <w:topLinePunct w:val="0"/>
        <w:autoSpaceDE/>
        <w:autoSpaceDN/>
        <w:bidi w:val="0"/>
        <w:adjustRightInd/>
        <w:spacing w:after="0" w:afterLines="0" w:line="360" w:lineRule="auto"/>
        <w:ind w:right="0" w:firstLine="480" w:firstLineChars="200"/>
        <w:jc w:val="left"/>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附件6 采石场项目环评批复</w:t>
      </w:r>
    </w:p>
    <w:p w14:paraId="794D12D4">
      <w:pPr>
        <w:pStyle w:val="6"/>
        <w:keepNext w:val="0"/>
        <w:keepLines w:val="0"/>
        <w:pageBreakBefore w:val="0"/>
        <w:kinsoku/>
        <w:overflowPunct/>
        <w:topLinePunct w:val="0"/>
        <w:autoSpaceDE/>
        <w:autoSpaceDN/>
        <w:bidi w:val="0"/>
        <w:adjustRightInd/>
        <w:spacing w:before="0" w:after="0" w:line="360" w:lineRule="auto"/>
        <w:ind w:left="0" w:leftChars="0" w:right="0" w:firstLine="480" w:firstLineChars="200"/>
        <w:jc w:val="left"/>
        <w:textAlignment w:val="auto"/>
        <w:rPr>
          <w:rFonts w:hint="default" w:ascii="Times New Roman" w:hAnsi="Times New Roman" w:eastAsia="宋体" w:cs="Times New Roman"/>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附件7采石场项目验收意见</w:t>
      </w:r>
    </w:p>
    <w:p w14:paraId="6895AC2B">
      <w:pPr>
        <w:keepNext w:val="0"/>
        <w:keepLines w:val="0"/>
        <w:pageBreakBefore w:val="0"/>
        <w:kinsoku/>
        <w:overflowPunct/>
        <w:topLinePunct w:val="0"/>
        <w:autoSpaceDE/>
        <w:autoSpaceDN/>
        <w:bidi w:val="0"/>
        <w:adjustRightInd/>
        <w:spacing w:line="360" w:lineRule="auto"/>
        <w:ind w:left="0" w:leftChars="0" w:right="0" w:firstLine="480" w:firstLineChars="200"/>
        <w:jc w:val="left"/>
        <w:textAlignment w:val="auto"/>
        <w:rPr>
          <w:rFonts w:hint="eastAsia" w:ascii="宋体" w:hAnsi="宋体" w:eastAsia="宋体" w:cs="宋体"/>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附件</w:t>
      </w:r>
      <w:r>
        <w:rPr>
          <w:rFonts w:hint="eastAsia" w:ascii="Times New Roman" w:hAnsi="Times New Roman" w:eastAsia="宋体" w:cs="Times New Roman"/>
          <w:i w:val="0"/>
          <w:iCs w:val="0"/>
          <w:kern w:val="2"/>
          <w:sz w:val="24"/>
          <w:szCs w:val="24"/>
          <w:lang w:val="en-US" w:eastAsia="zh-CN" w:bidi="ar-SA"/>
        </w:rPr>
        <w:t>8</w:t>
      </w:r>
      <w:r>
        <w:rPr>
          <w:rFonts w:hint="default" w:ascii="Times New Roman" w:hAnsi="Times New Roman" w:eastAsia="宋体" w:cs="Times New Roman"/>
          <w:i w:val="0"/>
          <w:iCs w:val="0"/>
          <w:kern w:val="2"/>
          <w:sz w:val="24"/>
          <w:szCs w:val="24"/>
          <w:lang w:val="en-US" w:eastAsia="zh-CN" w:bidi="ar-SA"/>
        </w:rPr>
        <w:t xml:space="preserve"> 采石</w:t>
      </w:r>
      <w:r>
        <w:rPr>
          <w:rFonts w:hint="eastAsia" w:ascii="宋体" w:hAnsi="宋体" w:eastAsia="宋体" w:cs="宋体"/>
          <w:i w:val="0"/>
          <w:iCs w:val="0"/>
          <w:kern w:val="2"/>
          <w:sz w:val="24"/>
          <w:szCs w:val="24"/>
          <w:lang w:val="en-US" w:eastAsia="zh-CN" w:bidi="ar-SA"/>
        </w:rPr>
        <w:t>场项目排污许可</w:t>
      </w:r>
    </w:p>
    <w:p w14:paraId="520CA573">
      <w:pPr>
        <w:keepNext w:val="0"/>
        <w:keepLines w:val="0"/>
        <w:pageBreakBefore w:val="0"/>
        <w:kinsoku/>
        <w:overflowPunct/>
        <w:topLinePunct w:val="0"/>
        <w:autoSpaceDE/>
        <w:autoSpaceDN/>
        <w:bidi w:val="0"/>
        <w:adjustRightInd/>
        <w:spacing w:line="360" w:lineRule="auto"/>
        <w:ind w:left="0" w:leftChars="0" w:right="0" w:firstLine="480" w:firstLineChars="200"/>
        <w:jc w:val="left"/>
        <w:textAlignment w:val="auto"/>
        <w:rPr>
          <w:rFonts w:hint="default" w:ascii="宋体" w:hAnsi="宋体" w:eastAsia="宋体" w:cs="宋体"/>
          <w:i w:val="0"/>
          <w:iCs w:val="0"/>
          <w:kern w:val="2"/>
          <w:sz w:val="24"/>
          <w:szCs w:val="24"/>
          <w:lang w:val="en-US" w:eastAsia="zh-CN" w:bidi="ar-SA"/>
        </w:rPr>
      </w:pPr>
      <w:r>
        <w:rPr>
          <w:rFonts w:hint="default" w:ascii="Times New Roman" w:hAnsi="Times New Roman" w:eastAsia="宋体" w:cs="Times New Roman"/>
          <w:i w:val="0"/>
          <w:iCs w:val="0"/>
          <w:kern w:val="2"/>
          <w:sz w:val="24"/>
          <w:szCs w:val="24"/>
          <w:lang w:val="en-US" w:eastAsia="zh-CN" w:bidi="ar-SA"/>
        </w:rPr>
        <w:t>附件</w:t>
      </w:r>
      <w:r>
        <w:rPr>
          <w:rFonts w:hint="eastAsia" w:cs="Times New Roman"/>
          <w:i w:val="0"/>
          <w:iCs w:val="0"/>
          <w:kern w:val="2"/>
          <w:sz w:val="24"/>
          <w:szCs w:val="24"/>
          <w:lang w:val="en-US" w:eastAsia="zh-CN" w:bidi="ar-SA"/>
        </w:rPr>
        <w:t>9</w:t>
      </w:r>
      <w:r>
        <w:rPr>
          <w:rFonts w:hint="default" w:ascii="Times New Roman" w:hAnsi="Times New Roman" w:eastAsia="宋体" w:cs="Times New Roman"/>
          <w:i w:val="0"/>
          <w:iCs w:val="0"/>
          <w:kern w:val="2"/>
          <w:sz w:val="24"/>
          <w:szCs w:val="24"/>
          <w:lang w:val="en-US" w:eastAsia="zh-CN" w:bidi="ar-SA"/>
        </w:rPr>
        <w:t xml:space="preserve"> </w:t>
      </w:r>
      <w:r>
        <w:rPr>
          <w:rFonts w:hint="eastAsia" w:cs="Times New Roman"/>
          <w:i w:val="0"/>
          <w:iCs w:val="0"/>
          <w:kern w:val="2"/>
          <w:sz w:val="24"/>
          <w:szCs w:val="24"/>
          <w:lang w:val="en-US" w:eastAsia="zh-CN" w:bidi="ar-SA"/>
        </w:rPr>
        <w:t>项目现状监测报告</w:t>
      </w:r>
    </w:p>
    <w:p w14:paraId="62BBA338">
      <w:pPr>
        <w:keepNext w:val="0"/>
        <w:keepLines w:val="0"/>
        <w:pageBreakBefore w:val="0"/>
        <w:kinsoku/>
        <w:overflowPunct/>
        <w:topLinePunct w:val="0"/>
        <w:autoSpaceDE/>
        <w:autoSpaceDN/>
        <w:bidi w:val="0"/>
        <w:adjustRightInd/>
        <w:snapToGrid w:val="0"/>
        <w:spacing w:line="360" w:lineRule="auto"/>
        <w:ind w:left="0" w:leftChars="0" w:right="0" w:firstLine="0" w:firstLineChars="0"/>
        <w:jc w:val="left"/>
        <w:textAlignment w:val="auto"/>
        <w:rPr>
          <w:rFonts w:hint="eastAsia" w:ascii="宋体" w:hAnsi="宋体" w:eastAsia="宋体" w:cs="宋体"/>
          <w:i w:val="0"/>
          <w:iCs w:val="0"/>
          <w:sz w:val="24"/>
          <w:szCs w:val="24"/>
          <w:lang w:val="en-US" w:eastAsia="zh-CN"/>
        </w:rPr>
      </w:pPr>
    </w:p>
    <w:p w14:paraId="32E2C56B">
      <w:pPr>
        <w:pStyle w:val="6"/>
        <w:keepNext w:val="0"/>
        <w:keepLines w:val="0"/>
        <w:pageBreakBefore w:val="0"/>
        <w:kinsoku/>
        <w:overflowPunct/>
        <w:topLinePunct w:val="0"/>
        <w:autoSpaceDE/>
        <w:autoSpaceDN/>
        <w:bidi w:val="0"/>
        <w:adjustRightInd/>
        <w:snapToGrid/>
        <w:spacing w:before="0" w:after="0" w:line="360" w:lineRule="auto"/>
        <w:ind w:left="0" w:leftChars="0" w:right="0" w:firstLine="0" w:firstLineChars="0"/>
        <w:jc w:val="left"/>
        <w:textAlignment w:val="auto"/>
        <w:rPr>
          <w:rFonts w:hint="eastAsia" w:ascii="宋体" w:hAnsi="宋体" w:eastAsia="宋体" w:cs="宋体"/>
          <w:b/>
          <w:bCs/>
          <w:i w:val="0"/>
          <w:iCs w:val="0"/>
          <w:sz w:val="24"/>
          <w:szCs w:val="24"/>
          <w:lang w:val="en-US" w:eastAsia="zh-CN"/>
        </w:rPr>
      </w:pPr>
      <w:r>
        <w:rPr>
          <w:rFonts w:hint="eastAsia" w:ascii="宋体" w:hAnsi="宋体" w:eastAsia="宋体" w:cs="宋体"/>
          <w:b/>
          <w:bCs/>
          <w:i w:val="0"/>
          <w:iCs w:val="0"/>
          <w:sz w:val="24"/>
          <w:szCs w:val="24"/>
          <w:lang w:val="en-US" w:eastAsia="zh-CN"/>
        </w:rPr>
        <w:t>附图</w:t>
      </w:r>
    </w:p>
    <w:p w14:paraId="7369A163">
      <w:pPr>
        <w:keepLines w:val="0"/>
        <w:pageBreakBefore w:val="0"/>
        <w:kinsoku/>
        <w:wordWrap/>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rPr>
      </w:pPr>
      <w:bookmarkStart w:id="1" w:name="_Toc4283"/>
      <w:r>
        <w:rPr>
          <w:rFonts w:hint="default" w:ascii="Times New Roman" w:hAnsi="Times New Roman" w:eastAsia="宋体" w:cs="Times New Roman"/>
          <w:color w:val="auto"/>
          <w:sz w:val="24"/>
        </w:rPr>
        <w:t>附图1  项目地理位置图</w:t>
      </w:r>
      <w:bookmarkEnd w:id="1"/>
    </w:p>
    <w:p w14:paraId="713C1D01">
      <w:pPr>
        <w:keepLines w:val="0"/>
        <w:pageBreakBefore w:val="0"/>
        <w:kinsoku/>
        <w:wordWrap/>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rPr>
      </w:pPr>
      <w:bookmarkStart w:id="2" w:name="_Toc26534"/>
      <w:r>
        <w:rPr>
          <w:rFonts w:hint="default" w:ascii="Times New Roman" w:hAnsi="Times New Roman" w:eastAsia="宋体" w:cs="Times New Roman"/>
          <w:color w:val="auto"/>
          <w:sz w:val="24"/>
        </w:rPr>
        <w:t>附图2</w:t>
      </w:r>
      <w:r>
        <w:rPr>
          <w:rFonts w:hint="eastAsia" w:cs="Times New Roman"/>
          <w:color w:val="auto"/>
          <w:sz w:val="24"/>
          <w:lang w:val="en-US" w:eastAsia="zh-CN"/>
        </w:rPr>
        <w:t>-1</w:t>
      </w:r>
      <w:r>
        <w:rPr>
          <w:rFonts w:hint="default" w:ascii="Times New Roman" w:hAnsi="Times New Roman" w:eastAsia="宋体" w:cs="Times New Roman"/>
          <w:color w:val="auto"/>
          <w:sz w:val="24"/>
        </w:rPr>
        <w:t xml:space="preserve">  项目</w:t>
      </w:r>
      <w:r>
        <w:rPr>
          <w:rFonts w:hint="eastAsia" w:cs="Times New Roman"/>
          <w:color w:val="auto"/>
          <w:sz w:val="24"/>
          <w:lang w:val="en-US" w:eastAsia="zh-CN"/>
        </w:rPr>
        <w:t>与采石场位置关系</w:t>
      </w:r>
      <w:r>
        <w:rPr>
          <w:rFonts w:hint="default" w:ascii="Times New Roman" w:hAnsi="Times New Roman" w:eastAsia="宋体" w:cs="Times New Roman"/>
          <w:color w:val="auto"/>
          <w:sz w:val="24"/>
        </w:rPr>
        <w:t>图</w:t>
      </w:r>
      <w:bookmarkEnd w:id="2"/>
    </w:p>
    <w:p w14:paraId="229E4B1D">
      <w:pPr>
        <w:keepLines w:val="0"/>
        <w:pageBreakBefore w:val="0"/>
        <w:kinsoku/>
        <w:wordWrap/>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附图2</w:t>
      </w:r>
      <w:r>
        <w:rPr>
          <w:rFonts w:hint="eastAsia" w:cs="Times New Roman"/>
          <w:color w:val="auto"/>
          <w:sz w:val="24"/>
          <w:lang w:val="en-US" w:eastAsia="zh-CN"/>
        </w:rPr>
        <w:t>-2</w:t>
      </w:r>
      <w:r>
        <w:rPr>
          <w:rFonts w:hint="default" w:ascii="Times New Roman" w:hAnsi="Times New Roman" w:eastAsia="宋体" w:cs="Times New Roman"/>
          <w:color w:val="auto"/>
          <w:sz w:val="24"/>
        </w:rPr>
        <w:t xml:space="preserve">  项目平面布置图</w:t>
      </w:r>
    </w:p>
    <w:p w14:paraId="73DF74A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rPr>
      </w:pPr>
      <w:bookmarkStart w:id="3" w:name="_Toc31237"/>
      <w:r>
        <w:rPr>
          <w:rFonts w:hint="default" w:ascii="Times New Roman" w:hAnsi="Times New Roman" w:eastAsia="宋体" w:cs="Times New Roman"/>
          <w:color w:val="auto"/>
          <w:kern w:val="2"/>
          <w:sz w:val="24"/>
          <w:szCs w:val="24"/>
          <w:lang w:val="en-US" w:eastAsia="zh-CN" w:bidi="ar-SA"/>
        </w:rPr>
        <w:t>附图3</w:t>
      </w:r>
      <w:r>
        <w:rPr>
          <w:rFonts w:hint="default" w:ascii="Times New Roman" w:hAnsi="Times New Roman" w:eastAsia="宋体" w:cs="Times New Roman"/>
          <w:color w:val="auto"/>
          <w:sz w:val="24"/>
        </w:rPr>
        <w:t xml:space="preserve">  项目区域水系图</w:t>
      </w:r>
      <w:bookmarkEnd w:id="3"/>
    </w:p>
    <w:p w14:paraId="23459B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rPr>
      </w:pPr>
      <w:bookmarkStart w:id="4" w:name="_Toc10743"/>
      <w:r>
        <w:rPr>
          <w:rFonts w:hint="default" w:ascii="Times New Roman" w:hAnsi="Times New Roman" w:eastAsia="宋体" w:cs="Times New Roman"/>
          <w:color w:val="auto"/>
          <w:sz w:val="24"/>
        </w:rPr>
        <w:t xml:space="preserve">附图4  </w:t>
      </w:r>
      <w:bookmarkEnd w:id="4"/>
      <w:r>
        <w:rPr>
          <w:rFonts w:hint="default" w:ascii="Times New Roman" w:hAnsi="Times New Roman" w:eastAsia="宋体" w:cs="Times New Roman"/>
          <w:color w:val="auto"/>
          <w:sz w:val="24"/>
        </w:rPr>
        <w:t>项目周边环境关系图</w:t>
      </w:r>
    </w:p>
    <w:p w14:paraId="38F15F3E">
      <w:pPr>
        <w:pStyle w:val="24"/>
        <w:keepNext w:val="0"/>
        <w:keepLines w:val="0"/>
        <w:pageBreakBefore w:val="0"/>
        <w:widowControl w:val="0"/>
        <w:kinsoku/>
        <w:wordWrap/>
        <w:overflowPunct/>
        <w:topLinePunct w:val="0"/>
        <w:bidi w:val="0"/>
        <w:snapToGrid/>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附图5</w:t>
      </w:r>
      <w:r>
        <w:rPr>
          <w:rFonts w:hint="eastAsia" w:eastAsia="宋体" w:cs="Times New Roman"/>
          <w:color w:val="auto"/>
          <w:lang w:val="en-US" w:eastAsia="zh-CN"/>
        </w:rPr>
        <w:t xml:space="preserve">   </w:t>
      </w:r>
      <w:r>
        <w:rPr>
          <w:rFonts w:hint="default" w:ascii="Times New Roman" w:hAnsi="Times New Roman" w:eastAsia="宋体" w:cs="Times New Roman"/>
          <w:color w:val="auto"/>
          <w:lang w:val="en-US" w:eastAsia="zh-CN"/>
        </w:rPr>
        <w:t>项目</w:t>
      </w:r>
      <w:r>
        <w:rPr>
          <w:rFonts w:hint="eastAsia" w:ascii="Times New Roman" w:hAnsi="Times New Roman" w:eastAsia="宋体" w:cs="Times New Roman"/>
          <w:color w:val="auto"/>
          <w:lang w:val="en-US" w:eastAsia="zh-CN"/>
        </w:rPr>
        <w:t>区</w:t>
      </w:r>
      <w:r>
        <w:rPr>
          <w:rFonts w:hint="default" w:ascii="Times New Roman" w:hAnsi="Times New Roman" w:eastAsia="宋体" w:cs="Times New Roman"/>
          <w:color w:val="auto"/>
          <w:lang w:val="en-US" w:eastAsia="zh-CN"/>
        </w:rPr>
        <w:t>与</w:t>
      </w:r>
      <w:r>
        <w:rPr>
          <w:rFonts w:hint="eastAsia" w:ascii="Times New Roman" w:hAnsi="Times New Roman" w:eastAsia="宋体" w:cs="Times New Roman"/>
          <w:color w:val="auto"/>
          <w:lang w:val="en-US" w:eastAsia="zh-CN"/>
        </w:rPr>
        <w:t>寻甸县国土空间总体格局规划</w:t>
      </w:r>
      <w:r>
        <w:rPr>
          <w:rFonts w:hint="default" w:ascii="Times New Roman" w:hAnsi="Times New Roman" w:eastAsia="宋体" w:cs="Times New Roman"/>
          <w:color w:val="auto"/>
          <w:lang w:val="en-US" w:eastAsia="zh-CN"/>
        </w:rPr>
        <w:t>位置关系图</w:t>
      </w:r>
    </w:p>
    <w:p w14:paraId="2BE065EB">
      <w:pPr>
        <w:pStyle w:val="12"/>
        <w:jc w:val="both"/>
        <w:rPr>
          <w:rFonts w:hint="default" w:ascii="Times New Roman" w:hAnsi="Times New Roman" w:eastAsia="宋体" w:cs="Times New Roman"/>
          <w:color w:val="auto"/>
          <w:lang w:val="en-US" w:eastAsia="zh-CN"/>
        </w:rPr>
      </w:pPr>
      <w:r>
        <w:rPr>
          <w:rFonts w:hint="eastAsia" w:cs="Times New Roman"/>
          <w:color w:val="auto"/>
          <w:lang w:val="en-US" w:eastAsia="zh-CN"/>
        </w:rPr>
        <w:t>附图6  项目与牛栏江水环境规划关系图</w:t>
      </w:r>
    </w:p>
    <w:p w14:paraId="175AD322">
      <w:pPr>
        <w:pStyle w:val="2"/>
        <w:jc w:val="center"/>
        <w:rPr>
          <w:rFonts w:hint="eastAsia"/>
        </w:rPr>
      </w:pPr>
      <w:bookmarkStart w:id="5" w:name="_Toc25703"/>
      <w:r>
        <w:rPr>
          <w:rFonts w:hint="eastAsia"/>
        </w:rPr>
        <w:t>一、建设项目基本情况</w:t>
      </w:r>
      <w:bookmarkEnd w:id="5"/>
    </w:p>
    <w:tbl>
      <w:tblPr>
        <w:tblStyle w:val="15"/>
        <w:tblW w:w="925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430"/>
        <w:gridCol w:w="768"/>
        <w:gridCol w:w="2974"/>
        <w:gridCol w:w="2008"/>
        <w:gridCol w:w="3079"/>
      </w:tblGrid>
      <w:tr w14:paraId="2988F4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68" w:hRule="atLeast"/>
          <w:jc w:val="center"/>
        </w:trPr>
        <w:tc>
          <w:tcPr>
            <w:tcW w:w="1198" w:type="dxa"/>
            <w:gridSpan w:val="2"/>
            <w:noWrap w:val="0"/>
            <w:vAlign w:val="center"/>
          </w:tcPr>
          <w:p w14:paraId="01DEF5CE">
            <w:pPr>
              <w:spacing w:line="240" w:lineRule="auto"/>
              <w:ind w:firstLine="0" w:firstLineChars="0"/>
              <w:jc w:val="center"/>
            </w:pPr>
            <w:r>
              <w:rPr>
                <w:rFonts w:hAnsi="宋体"/>
              </w:rPr>
              <w:t>项目名称</w:t>
            </w:r>
          </w:p>
        </w:tc>
        <w:tc>
          <w:tcPr>
            <w:tcW w:w="8061" w:type="dxa"/>
            <w:gridSpan w:val="3"/>
            <w:noWrap w:val="0"/>
            <w:vAlign w:val="center"/>
          </w:tcPr>
          <w:p w14:paraId="4B182A68">
            <w:pPr>
              <w:ind w:firstLine="0" w:firstLineChars="0"/>
              <w:jc w:val="center"/>
              <w:rPr>
                <w:szCs w:val="24"/>
              </w:rPr>
            </w:pPr>
            <w:r>
              <w:rPr>
                <w:rFonts w:hint="eastAsia"/>
                <w:szCs w:val="24"/>
              </w:rPr>
              <w:t>寻甸福兴宏盛土石方工程有限公司10万吨/年沥青混凝土搅拌站建设项目</w:t>
            </w:r>
          </w:p>
        </w:tc>
      </w:tr>
      <w:tr w14:paraId="744318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74" w:hRule="atLeast"/>
          <w:jc w:val="center"/>
        </w:trPr>
        <w:tc>
          <w:tcPr>
            <w:tcW w:w="1198" w:type="dxa"/>
            <w:gridSpan w:val="2"/>
            <w:noWrap w:val="0"/>
            <w:vAlign w:val="center"/>
          </w:tcPr>
          <w:p w14:paraId="5515EB70">
            <w:pPr>
              <w:spacing w:line="240" w:lineRule="auto"/>
              <w:ind w:firstLine="0" w:firstLineChars="0"/>
              <w:jc w:val="center"/>
              <w:rPr>
                <w:rFonts w:hint="eastAsia" w:eastAsia="宋体"/>
                <w:lang w:eastAsia="zh-CN"/>
              </w:rPr>
            </w:pPr>
            <w:r>
              <w:rPr>
                <w:rFonts w:hint="eastAsia" w:hAnsi="宋体"/>
                <w:lang w:eastAsia="zh-CN"/>
              </w:rPr>
              <w:t>项目代码</w:t>
            </w:r>
          </w:p>
        </w:tc>
        <w:tc>
          <w:tcPr>
            <w:tcW w:w="8061" w:type="dxa"/>
            <w:gridSpan w:val="3"/>
            <w:noWrap w:val="0"/>
            <w:vAlign w:val="center"/>
          </w:tcPr>
          <w:p w14:paraId="388E8E6F">
            <w:pPr>
              <w:spacing w:line="240" w:lineRule="auto"/>
              <w:ind w:firstLine="0" w:firstLineChars="0"/>
              <w:jc w:val="center"/>
              <w:rPr>
                <w:rFonts w:hint="default" w:eastAsia="宋体"/>
                <w:szCs w:val="24"/>
                <w:lang w:val="en-US" w:eastAsia="zh-CN"/>
              </w:rPr>
            </w:pPr>
            <w:r>
              <w:rPr>
                <w:rFonts w:hint="eastAsia"/>
                <w:szCs w:val="24"/>
                <w:lang w:val="en-US" w:eastAsia="zh-CN"/>
              </w:rPr>
              <w:t>2504-530129-04-01-528969</w:t>
            </w:r>
          </w:p>
        </w:tc>
      </w:tr>
      <w:tr w14:paraId="35644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95" w:hRule="atLeast"/>
          <w:jc w:val="center"/>
        </w:trPr>
        <w:tc>
          <w:tcPr>
            <w:tcW w:w="1198" w:type="dxa"/>
            <w:gridSpan w:val="2"/>
            <w:noWrap w:val="0"/>
            <w:vAlign w:val="center"/>
          </w:tcPr>
          <w:p w14:paraId="342AE054">
            <w:pPr>
              <w:spacing w:line="240" w:lineRule="auto"/>
              <w:ind w:firstLine="0" w:firstLineChars="0"/>
              <w:jc w:val="center"/>
              <w:rPr>
                <w:rFonts w:hint="eastAsia" w:eastAsia="宋体"/>
                <w:lang w:eastAsia="zh-CN"/>
              </w:rPr>
            </w:pPr>
            <w:r>
              <w:rPr>
                <w:rFonts w:hint="eastAsia" w:hAnsi="宋体"/>
                <w:lang w:eastAsia="zh-CN"/>
              </w:rPr>
              <w:t>建设单位联系人</w:t>
            </w:r>
          </w:p>
        </w:tc>
        <w:tc>
          <w:tcPr>
            <w:tcW w:w="2974" w:type="dxa"/>
            <w:noWrap w:val="0"/>
            <w:vAlign w:val="center"/>
          </w:tcPr>
          <w:p w14:paraId="162D480B">
            <w:pPr>
              <w:spacing w:line="240" w:lineRule="auto"/>
              <w:ind w:firstLine="0" w:firstLineChars="0"/>
              <w:jc w:val="center"/>
              <w:rPr>
                <w:rFonts w:hint="default" w:eastAsia="宋体"/>
                <w:lang w:val="en-US" w:eastAsia="zh-CN"/>
              </w:rPr>
            </w:pPr>
          </w:p>
        </w:tc>
        <w:tc>
          <w:tcPr>
            <w:tcW w:w="2008" w:type="dxa"/>
            <w:noWrap w:val="0"/>
            <w:vAlign w:val="center"/>
          </w:tcPr>
          <w:p w14:paraId="0EB9D5BA">
            <w:pPr>
              <w:spacing w:line="240" w:lineRule="auto"/>
              <w:ind w:firstLine="0" w:firstLineChars="0"/>
              <w:jc w:val="center"/>
              <w:rPr>
                <w:rFonts w:hint="eastAsia" w:eastAsia="宋体"/>
                <w:lang w:eastAsia="zh-CN"/>
              </w:rPr>
            </w:pPr>
            <w:r>
              <w:rPr>
                <w:rFonts w:hint="eastAsia"/>
                <w:lang w:eastAsia="zh-CN"/>
              </w:rPr>
              <w:t>联系方式</w:t>
            </w:r>
          </w:p>
        </w:tc>
        <w:tc>
          <w:tcPr>
            <w:tcW w:w="3079" w:type="dxa"/>
            <w:noWrap w:val="0"/>
            <w:vAlign w:val="center"/>
          </w:tcPr>
          <w:p w14:paraId="15BE7001">
            <w:pPr>
              <w:spacing w:line="240" w:lineRule="auto"/>
              <w:ind w:firstLine="0" w:firstLineChars="0"/>
              <w:jc w:val="center"/>
              <w:rPr>
                <w:rFonts w:hint="default" w:eastAsia="宋体"/>
                <w:lang w:val="en-US" w:eastAsia="zh-CN"/>
              </w:rPr>
            </w:pPr>
          </w:p>
        </w:tc>
      </w:tr>
      <w:tr w14:paraId="144432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198" w:type="dxa"/>
            <w:gridSpan w:val="2"/>
            <w:noWrap w:val="0"/>
            <w:vAlign w:val="center"/>
          </w:tcPr>
          <w:p w14:paraId="743894B5">
            <w:pPr>
              <w:spacing w:line="240" w:lineRule="auto"/>
              <w:ind w:firstLine="0" w:firstLineChars="0"/>
              <w:jc w:val="center"/>
              <w:rPr>
                <w:rFonts w:hint="eastAsia" w:eastAsia="宋体"/>
                <w:lang w:eastAsia="zh-CN"/>
              </w:rPr>
            </w:pPr>
            <w:r>
              <w:rPr>
                <w:rFonts w:hint="eastAsia" w:hAnsi="宋体"/>
                <w:lang w:eastAsia="zh-CN"/>
              </w:rPr>
              <w:t>建设地点</w:t>
            </w:r>
          </w:p>
        </w:tc>
        <w:tc>
          <w:tcPr>
            <w:tcW w:w="8061" w:type="dxa"/>
            <w:gridSpan w:val="3"/>
            <w:noWrap w:val="0"/>
            <w:vAlign w:val="center"/>
          </w:tcPr>
          <w:p w14:paraId="3C4F13CA">
            <w:pPr>
              <w:spacing w:line="240" w:lineRule="auto"/>
              <w:ind w:firstLine="0" w:firstLineChars="0"/>
              <w:jc w:val="center"/>
              <w:rPr>
                <w:rFonts w:hint="default" w:eastAsia="宋体"/>
                <w:lang w:val="en-US" w:eastAsia="zh-CN"/>
              </w:rPr>
            </w:pPr>
            <w:r>
              <w:rPr>
                <w:rFonts w:hint="eastAsia"/>
                <w:u w:val="none"/>
                <w:lang w:val="en-US" w:eastAsia="zh-CN"/>
              </w:rPr>
              <w:t>云南省昆明市寻甸县仁德街道道院社区大发古村石头山采石场</w:t>
            </w:r>
          </w:p>
        </w:tc>
      </w:tr>
      <w:tr w14:paraId="01799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83" w:hRule="atLeast"/>
          <w:jc w:val="center"/>
        </w:trPr>
        <w:tc>
          <w:tcPr>
            <w:tcW w:w="1198" w:type="dxa"/>
            <w:gridSpan w:val="2"/>
            <w:noWrap w:val="0"/>
            <w:vAlign w:val="center"/>
          </w:tcPr>
          <w:p w14:paraId="42A7EB32">
            <w:pPr>
              <w:spacing w:line="240" w:lineRule="auto"/>
              <w:ind w:firstLine="0" w:firstLineChars="0"/>
              <w:jc w:val="center"/>
              <w:rPr>
                <w:rFonts w:hint="eastAsia" w:eastAsia="宋体"/>
                <w:lang w:eastAsia="zh-CN"/>
              </w:rPr>
            </w:pPr>
            <w:r>
              <w:rPr>
                <w:rFonts w:hint="eastAsia" w:hAnsi="宋体"/>
                <w:lang w:eastAsia="zh-CN"/>
              </w:rPr>
              <w:t>地理坐标</w:t>
            </w:r>
          </w:p>
        </w:tc>
        <w:tc>
          <w:tcPr>
            <w:tcW w:w="8061" w:type="dxa"/>
            <w:gridSpan w:val="3"/>
            <w:noWrap w:val="0"/>
            <w:vAlign w:val="center"/>
          </w:tcPr>
          <w:p w14:paraId="0AE47E7D">
            <w:pPr>
              <w:spacing w:line="240" w:lineRule="auto"/>
              <w:ind w:firstLine="0" w:firstLineChars="0"/>
              <w:jc w:val="center"/>
              <w:rPr>
                <w:rFonts w:hint="eastAsia" w:eastAsia="宋体"/>
                <w:lang w:eastAsia="zh-CN"/>
              </w:rPr>
            </w:pPr>
            <w:r>
              <w:rPr>
                <w:rFonts w:hint="eastAsia" w:ascii="Times New Roman" w:hAnsi="Times New Roman" w:eastAsia="宋体" w:cs="Times New Roman"/>
                <w:lang w:val="en-US" w:eastAsia="zh-CN"/>
              </w:rPr>
              <w:t>103</w:t>
            </w:r>
            <w:r>
              <w:rPr>
                <w:rFonts w:hint="eastAsia" w:ascii="Times New Roman" w:hAnsi="Times New Roman" w:eastAsia="宋体" w:cs="Times New Roman"/>
                <w:lang w:eastAsia="zh-CN"/>
              </w:rPr>
              <w:t>度</w:t>
            </w:r>
            <w:r>
              <w:rPr>
                <w:rFonts w:hint="eastAsia" w:ascii="Times New Roman" w:hAnsi="Times New Roman" w:eastAsia="宋体" w:cs="Times New Roman"/>
                <w:lang w:val="en-US" w:eastAsia="zh-CN"/>
              </w:rPr>
              <w:t>19</w:t>
            </w:r>
            <w:r>
              <w:rPr>
                <w:rFonts w:hint="eastAsia" w:ascii="Times New Roman" w:hAnsi="Times New Roman" w:eastAsia="宋体" w:cs="Times New Roman"/>
                <w:lang w:eastAsia="zh-CN"/>
              </w:rPr>
              <w:t>分</w:t>
            </w:r>
            <w:r>
              <w:rPr>
                <w:rFonts w:hint="eastAsia" w:ascii="Times New Roman" w:hAnsi="Times New Roman" w:eastAsia="宋体" w:cs="Times New Roman"/>
                <w:lang w:val="en-US" w:eastAsia="zh-CN"/>
              </w:rPr>
              <w:t>1.275</w:t>
            </w:r>
            <w:r>
              <w:rPr>
                <w:rFonts w:hint="eastAsia" w:ascii="Times New Roman" w:hAnsi="Times New Roman" w:eastAsia="宋体" w:cs="Times New Roman"/>
                <w:lang w:eastAsia="zh-CN"/>
              </w:rPr>
              <w:t>秒，</w:t>
            </w:r>
            <w:r>
              <w:rPr>
                <w:rFonts w:hint="eastAsia" w:ascii="Times New Roman" w:hAnsi="Times New Roman" w:eastAsia="宋体" w:cs="Times New Roman"/>
                <w:lang w:val="en-US" w:eastAsia="zh-CN"/>
              </w:rPr>
              <w:t>25</w:t>
            </w:r>
            <w:r>
              <w:rPr>
                <w:rFonts w:hint="eastAsia" w:ascii="Times New Roman" w:hAnsi="Times New Roman" w:eastAsia="宋体" w:cs="Times New Roman"/>
                <w:lang w:eastAsia="zh-CN"/>
              </w:rPr>
              <w:t>度</w:t>
            </w:r>
            <w:r>
              <w:rPr>
                <w:rFonts w:hint="eastAsia" w:ascii="Times New Roman" w:hAnsi="Times New Roman" w:eastAsia="宋体" w:cs="Times New Roman"/>
                <w:lang w:val="en-US" w:eastAsia="zh-CN"/>
              </w:rPr>
              <w:t>34</w:t>
            </w:r>
            <w:r>
              <w:rPr>
                <w:rFonts w:hint="eastAsia" w:ascii="Times New Roman" w:hAnsi="Times New Roman" w:eastAsia="宋体" w:cs="Times New Roman"/>
                <w:lang w:eastAsia="zh-CN"/>
              </w:rPr>
              <w:t>分</w:t>
            </w:r>
            <w:r>
              <w:rPr>
                <w:rFonts w:hint="eastAsia" w:ascii="Times New Roman" w:hAnsi="Times New Roman" w:eastAsia="宋体" w:cs="Times New Roman"/>
                <w:lang w:val="en-US" w:eastAsia="zh-CN"/>
              </w:rPr>
              <w:t>5.664</w:t>
            </w:r>
            <w:r>
              <w:rPr>
                <w:rFonts w:hint="eastAsia" w:ascii="Times New Roman" w:hAnsi="Times New Roman" w:eastAsia="宋体" w:cs="Times New Roman"/>
                <w:lang w:eastAsia="zh-CN"/>
              </w:rPr>
              <w:t>秒</w:t>
            </w:r>
          </w:p>
        </w:tc>
      </w:tr>
      <w:tr w14:paraId="471E76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198" w:type="dxa"/>
            <w:gridSpan w:val="2"/>
            <w:noWrap w:val="0"/>
            <w:vAlign w:val="center"/>
          </w:tcPr>
          <w:p w14:paraId="0E96C5C9">
            <w:pPr>
              <w:spacing w:line="240" w:lineRule="auto"/>
              <w:ind w:firstLine="0" w:firstLineChars="0"/>
              <w:jc w:val="center"/>
              <w:rPr>
                <w:rFonts w:hint="eastAsia" w:hAnsi="宋体"/>
                <w:lang w:eastAsia="zh-CN"/>
              </w:rPr>
            </w:pPr>
            <w:r>
              <w:rPr>
                <w:rFonts w:hint="eastAsia" w:hAnsi="宋体"/>
                <w:lang w:eastAsia="zh-CN"/>
              </w:rPr>
              <w:t>国民经济</w:t>
            </w:r>
          </w:p>
          <w:p w14:paraId="054D324D">
            <w:pPr>
              <w:spacing w:line="240" w:lineRule="auto"/>
              <w:ind w:firstLine="0" w:firstLineChars="0"/>
              <w:jc w:val="center"/>
              <w:rPr>
                <w:rFonts w:hint="eastAsia" w:eastAsia="宋体"/>
                <w:lang w:eastAsia="zh-CN"/>
              </w:rPr>
            </w:pPr>
            <w:r>
              <w:rPr>
                <w:rFonts w:hint="eastAsia" w:hAnsi="宋体"/>
                <w:lang w:eastAsia="zh-CN"/>
              </w:rPr>
              <w:t>行业类别</w:t>
            </w:r>
          </w:p>
        </w:tc>
        <w:tc>
          <w:tcPr>
            <w:tcW w:w="2974" w:type="dxa"/>
            <w:noWrap w:val="0"/>
            <w:vAlign w:val="center"/>
          </w:tcPr>
          <w:p w14:paraId="4C2B0E6F">
            <w:pPr>
              <w:spacing w:line="240" w:lineRule="auto"/>
              <w:ind w:firstLine="0" w:firstLineChars="0"/>
              <w:jc w:val="center"/>
            </w:pPr>
            <w:r>
              <w:rPr>
                <w:rFonts w:ascii="Times New Roman" w:hAnsi="Times New Roman" w:eastAsia="宋体" w:cs="Times New Roman"/>
                <w:color w:val="000000" w:themeColor="text1"/>
                <w:sz w:val="24"/>
                <w14:textFill>
                  <w14:solidFill>
                    <w14:schemeClr w14:val="tx1"/>
                  </w14:solidFill>
                </w14:textFill>
              </w:rPr>
              <w:t>C</w:t>
            </w:r>
            <w:r>
              <w:rPr>
                <w:rFonts w:hint="eastAsia" w:ascii="Times New Roman" w:hAnsi="Times New Roman" w:eastAsia="宋体" w:cs="Times New Roman"/>
                <w:color w:val="000000" w:themeColor="text1"/>
                <w:sz w:val="24"/>
                <w14:textFill>
                  <w14:solidFill>
                    <w14:schemeClr w14:val="tx1"/>
                  </w14:solidFill>
                </w14:textFill>
              </w:rPr>
              <w:t>3099</w:t>
            </w:r>
            <w:r>
              <w:rPr>
                <w:rFonts w:hint="eastAsia" w:cs="Times New Roman"/>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14:textFill>
                  <w14:solidFill>
                    <w14:schemeClr w14:val="tx1"/>
                  </w14:solidFill>
                </w14:textFill>
              </w:rPr>
              <w:t>其他非金属矿物制品制造</w:t>
            </w:r>
          </w:p>
        </w:tc>
        <w:tc>
          <w:tcPr>
            <w:tcW w:w="2008" w:type="dxa"/>
            <w:noWrap w:val="0"/>
            <w:vAlign w:val="center"/>
          </w:tcPr>
          <w:p w14:paraId="48A35121">
            <w:pPr>
              <w:spacing w:line="240" w:lineRule="auto"/>
              <w:ind w:firstLine="0" w:firstLineChars="0"/>
              <w:jc w:val="center"/>
              <w:rPr>
                <w:rFonts w:hint="eastAsia" w:hAnsi="宋体"/>
                <w:lang w:eastAsia="zh-CN"/>
              </w:rPr>
            </w:pPr>
            <w:r>
              <w:rPr>
                <w:rFonts w:hint="eastAsia" w:hAnsi="宋体"/>
                <w:lang w:eastAsia="zh-CN"/>
              </w:rPr>
              <w:t>建设项目</w:t>
            </w:r>
          </w:p>
          <w:p w14:paraId="1340BC1D">
            <w:pPr>
              <w:spacing w:line="240" w:lineRule="auto"/>
              <w:ind w:firstLine="0" w:firstLineChars="0"/>
              <w:jc w:val="center"/>
              <w:rPr>
                <w:rFonts w:hint="default" w:eastAsia="宋体"/>
                <w:lang w:val="en-US" w:eastAsia="zh-CN"/>
              </w:rPr>
            </w:pPr>
            <w:r>
              <w:rPr>
                <w:rFonts w:hint="eastAsia" w:hAnsi="宋体"/>
                <w:lang w:eastAsia="zh-CN"/>
              </w:rPr>
              <w:t>行业类别</w:t>
            </w:r>
          </w:p>
        </w:tc>
        <w:tc>
          <w:tcPr>
            <w:tcW w:w="3079" w:type="dxa"/>
            <w:noWrap w:val="0"/>
            <w:vAlign w:val="center"/>
          </w:tcPr>
          <w:p w14:paraId="77AA0AC0">
            <w:pPr>
              <w:spacing w:line="240" w:lineRule="auto"/>
              <w:ind w:firstLine="0" w:firstLineChars="0"/>
              <w:jc w:val="center"/>
            </w:pPr>
            <w:r>
              <w:rPr>
                <w:rFonts w:ascii="Times New Roman" w:hAnsi="Times New Roman" w:eastAsia="宋体" w:cs="Times New Roman"/>
                <w:color w:val="000000" w:themeColor="text1"/>
                <w:sz w:val="24"/>
                <w14:textFill>
                  <w14:solidFill>
                    <w14:schemeClr w14:val="tx1"/>
                  </w14:solidFill>
                </w14:textFill>
              </w:rPr>
              <w:t>二十七、非金属矿物制品业</w:t>
            </w:r>
            <w:r>
              <w:rPr>
                <w:rFonts w:hint="eastAsia" w:ascii="Times New Roman" w:hAnsi="Times New Roman" w:eastAsia="宋体" w:cs="Times New Roman"/>
                <w:color w:val="000000" w:themeColor="text1"/>
                <w:sz w:val="24"/>
                <w14:textFill>
                  <w14:solidFill>
                    <w14:schemeClr w14:val="tx1"/>
                  </w14:solidFill>
                </w14:textFill>
              </w:rPr>
              <w:t>60</w:t>
            </w:r>
            <w:r>
              <w:rPr>
                <w:rFonts w:hint="eastAsia" w:cs="Times New Roman"/>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14:textFill>
                  <w14:solidFill>
                    <w14:schemeClr w14:val="tx1"/>
                  </w14:solidFill>
                </w14:textFill>
              </w:rPr>
              <w:t>石墨及其他非金属矿物制品制造309</w:t>
            </w:r>
          </w:p>
        </w:tc>
      </w:tr>
      <w:tr w14:paraId="2E1450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78" w:hRule="atLeast"/>
          <w:jc w:val="center"/>
        </w:trPr>
        <w:tc>
          <w:tcPr>
            <w:tcW w:w="1198" w:type="dxa"/>
            <w:gridSpan w:val="2"/>
            <w:noWrap w:val="0"/>
            <w:vAlign w:val="center"/>
          </w:tcPr>
          <w:p w14:paraId="731C6A1E">
            <w:pPr>
              <w:spacing w:line="240" w:lineRule="auto"/>
              <w:ind w:firstLine="0" w:firstLineChars="0"/>
              <w:jc w:val="center"/>
              <w:rPr>
                <w:rFonts w:hint="eastAsia"/>
                <w:lang w:eastAsia="zh-CN"/>
              </w:rPr>
            </w:pPr>
            <w:r>
              <w:rPr>
                <w:rFonts w:hint="eastAsia"/>
                <w:lang w:eastAsia="zh-CN"/>
              </w:rPr>
              <w:t>建设性质</w:t>
            </w:r>
          </w:p>
        </w:tc>
        <w:tc>
          <w:tcPr>
            <w:tcW w:w="2974" w:type="dxa"/>
            <w:noWrap w:val="0"/>
            <w:vAlign w:val="center"/>
          </w:tcPr>
          <w:p w14:paraId="2CDC1874">
            <w:pPr>
              <w:spacing w:line="240" w:lineRule="auto"/>
              <w:ind w:firstLine="0" w:firstLineChars="0"/>
              <w:jc w:val="left"/>
              <w:rPr>
                <w:rFonts w:hint="eastAsia"/>
                <w:lang w:eastAsia="zh-CN"/>
              </w:rPr>
            </w:pPr>
            <w:r>
              <w:rPr>
                <w:rFonts w:hint="eastAsia" w:asciiTheme="minorEastAsia" w:hAnsiTheme="minorEastAsia" w:eastAsiaTheme="minorEastAsia" w:cstheme="minorEastAsia"/>
                <w:lang w:eastAsia="zh-CN"/>
              </w:rPr>
              <w:t>☑</w:t>
            </w:r>
            <w:r>
              <w:rPr>
                <w:rFonts w:hint="eastAsia"/>
                <w:lang w:eastAsia="zh-CN"/>
              </w:rPr>
              <w:t>新建（迁建）</w:t>
            </w:r>
          </w:p>
          <w:p w14:paraId="7A137DB6">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改建</w:t>
            </w:r>
          </w:p>
          <w:p w14:paraId="1AEE9BE5">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扩建</w:t>
            </w:r>
          </w:p>
          <w:p w14:paraId="5667FF57">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技术改造</w:t>
            </w:r>
          </w:p>
        </w:tc>
        <w:tc>
          <w:tcPr>
            <w:tcW w:w="2008" w:type="dxa"/>
            <w:noWrap w:val="0"/>
            <w:vAlign w:val="center"/>
          </w:tcPr>
          <w:p w14:paraId="0B6C10C0">
            <w:pPr>
              <w:spacing w:line="240" w:lineRule="auto"/>
              <w:ind w:firstLine="0" w:firstLineChars="0"/>
              <w:jc w:val="center"/>
              <w:rPr>
                <w:rFonts w:hint="eastAsia"/>
                <w:lang w:eastAsia="zh-CN"/>
              </w:rPr>
            </w:pPr>
            <w:r>
              <w:rPr>
                <w:rFonts w:hint="eastAsia"/>
                <w:lang w:eastAsia="zh-CN"/>
              </w:rPr>
              <w:t>建设项目</w:t>
            </w:r>
          </w:p>
          <w:p w14:paraId="37C42265">
            <w:pPr>
              <w:spacing w:line="240" w:lineRule="auto"/>
              <w:ind w:firstLine="0" w:firstLineChars="0"/>
              <w:jc w:val="center"/>
              <w:rPr>
                <w:rFonts w:hint="eastAsia" w:eastAsia="宋体"/>
                <w:lang w:eastAsia="zh-CN"/>
              </w:rPr>
            </w:pPr>
            <w:r>
              <w:rPr>
                <w:rFonts w:hint="eastAsia"/>
                <w:lang w:eastAsia="zh-CN"/>
              </w:rPr>
              <w:t>申报情况</w:t>
            </w:r>
          </w:p>
        </w:tc>
        <w:tc>
          <w:tcPr>
            <w:tcW w:w="3079" w:type="dxa"/>
            <w:noWrap w:val="0"/>
            <w:vAlign w:val="center"/>
          </w:tcPr>
          <w:p w14:paraId="0249E37D">
            <w:pPr>
              <w:spacing w:line="240" w:lineRule="auto"/>
              <w:ind w:firstLine="0" w:firstLineChars="0"/>
              <w:jc w:val="left"/>
              <w:rPr>
                <w:rFonts w:hint="eastAsia"/>
                <w:lang w:eastAsia="zh-CN"/>
              </w:rPr>
            </w:pPr>
            <w:r>
              <w:rPr>
                <w:rFonts w:hint="eastAsia" w:asciiTheme="minorEastAsia" w:hAnsiTheme="minorEastAsia" w:eastAsiaTheme="minorEastAsia" w:cstheme="minorEastAsia"/>
                <w:lang w:eastAsia="zh-CN"/>
              </w:rPr>
              <w:t>☑</w:t>
            </w:r>
            <w:r>
              <w:rPr>
                <w:rFonts w:hint="eastAsia"/>
                <w:lang w:eastAsia="zh-CN"/>
              </w:rPr>
              <w:t>首次申报项目</w:t>
            </w:r>
          </w:p>
          <w:p w14:paraId="248B76BD">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不予批准后再次申报项目</w:t>
            </w:r>
          </w:p>
          <w:p w14:paraId="3B0EFFEF">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超五年重新审核项目</w:t>
            </w:r>
          </w:p>
          <w:p w14:paraId="383556F6">
            <w:pPr>
              <w:spacing w:line="240" w:lineRule="auto"/>
              <w:ind w:firstLine="0" w:firstLineChars="0"/>
              <w:jc w:val="left"/>
              <w:rPr>
                <w:rFonts w:hint="eastAsia"/>
                <w:lang w:eastAsia="zh-CN"/>
              </w:rPr>
            </w:pPr>
            <w:r>
              <w:rPr>
                <w:rFonts w:hint="eastAsia" w:asciiTheme="minorEastAsia" w:hAnsiTheme="minorEastAsia" w:eastAsiaTheme="minorEastAsia" w:cstheme="minorEastAsia"/>
              </w:rPr>
              <w:t>□</w:t>
            </w:r>
            <w:r>
              <w:rPr>
                <w:rFonts w:hint="eastAsia"/>
                <w:lang w:eastAsia="zh-CN"/>
              </w:rPr>
              <w:t>重大变动重新报批项目</w:t>
            </w:r>
          </w:p>
        </w:tc>
      </w:tr>
      <w:tr w14:paraId="72AC8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1198" w:type="dxa"/>
            <w:gridSpan w:val="2"/>
            <w:noWrap w:val="0"/>
            <w:vAlign w:val="center"/>
          </w:tcPr>
          <w:p w14:paraId="6C61CFC8">
            <w:pPr>
              <w:spacing w:line="240" w:lineRule="auto"/>
              <w:ind w:firstLine="0" w:firstLineChars="0"/>
              <w:jc w:val="center"/>
              <w:rPr>
                <w:rFonts w:hint="eastAsia" w:eastAsia="宋体"/>
                <w:lang w:eastAsia="zh-CN"/>
              </w:rPr>
            </w:pPr>
            <w:r>
              <w:rPr>
                <w:rFonts w:hint="eastAsia" w:hAnsi="宋体"/>
                <w:lang w:eastAsia="zh-CN"/>
              </w:rPr>
              <w:t>项目审批（核准</w:t>
            </w:r>
            <w:r>
              <w:rPr>
                <w:rFonts w:hint="eastAsia" w:hAnsi="宋体"/>
                <w:lang w:val="en-US" w:eastAsia="zh-CN"/>
              </w:rPr>
              <w:t>/备案</w:t>
            </w:r>
            <w:r>
              <w:rPr>
                <w:rFonts w:hint="eastAsia" w:hAnsi="宋体"/>
                <w:lang w:eastAsia="zh-CN"/>
              </w:rPr>
              <w:t>）部门</w:t>
            </w:r>
          </w:p>
        </w:tc>
        <w:tc>
          <w:tcPr>
            <w:tcW w:w="2974" w:type="dxa"/>
            <w:noWrap w:val="0"/>
            <w:vAlign w:val="center"/>
          </w:tcPr>
          <w:p w14:paraId="1FA0A764">
            <w:pPr>
              <w:spacing w:line="240" w:lineRule="auto"/>
              <w:ind w:right="-134" w:rightChars="-56" w:firstLine="0" w:firstLineChars="0"/>
              <w:jc w:val="center"/>
            </w:pPr>
            <w:r>
              <w:rPr>
                <w:rFonts w:hint="eastAsia" w:eastAsia="宋体" w:cs="Times New Roman"/>
                <w:color w:val="000000" w:themeColor="text1"/>
                <w:sz w:val="24"/>
                <w:lang w:val="en-US" w:eastAsia="zh-CN"/>
                <w14:textFill>
                  <w14:solidFill>
                    <w14:schemeClr w14:val="tx1"/>
                  </w14:solidFill>
                </w14:textFill>
              </w:rPr>
              <w:t>寻甸县</w:t>
            </w:r>
            <w:r>
              <w:rPr>
                <w:rFonts w:hint="eastAsia" w:ascii="Times New Roman" w:hAnsi="Times New Roman" w:eastAsia="宋体" w:cs="Times New Roman"/>
                <w:color w:val="000000" w:themeColor="text1"/>
                <w:sz w:val="24"/>
                <w14:textFill>
                  <w14:solidFill>
                    <w14:schemeClr w14:val="tx1"/>
                  </w14:solidFill>
                </w14:textFill>
              </w:rPr>
              <w:t>发展和改革局</w:t>
            </w:r>
          </w:p>
        </w:tc>
        <w:tc>
          <w:tcPr>
            <w:tcW w:w="2008" w:type="dxa"/>
            <w:noWrap w:val="0"/>
            <w:vAlign w:val="center"/>
          </w:tcPr>
          <w:p w14:paraId="12908AAC">
            <w:pPr>
              <w:spacing w:line="240" w:lineRule="auto"/>
              <w:ind w:firstLine="0" w:firstLineChars="0"/>
              <w:jc w:val="center"/>
              <w:rPr>
                <w:w w:val="80"/>
              </w:rPr>
            </w:pPr>
            <w:r>
              <w:rPr>
                <w:rFonts w:hint="eastAsia" w:hAnsi="宋体"/>
                <w:lang w:eastAsia="zh-CN"/>
              </w:rPr>
              <w:t>项目审批（核准</w:t>
            </w:r>
            <w:r>
              <w:rPr>
                <w:rFonts w:hint="eastAsia" w:hAnsi="宋体"/>
                <w:lang w:val="en-US" w:eastAsia="zh-CN"/>
              </w:rPr>
              <w:t>/备案</w:t>
            </w:r>
            <w:r>
              <w:rPr>
                <w:rFonts w:hint="eastAsia" w:hAnsi="宋体"/>
                <w:lang w:eastAsia="zh-CN"/>
              </w:rPr>
              <w:t>）文号</w:t>
            </w:r>
          </w:p>
        </w:tc>
        <w:tc>
          <w:tcPr>
            <w:tcW w:w="3079" w:type="dxa"/>
            <w:noWrap w:val="0"/>
            <w:vAlign w:val="center"/>
          </w:tcPr>
          <w:p w14:paraId="1B8823B4">
            <w:pPr>
              <w:spacing w:line="240" w:lineRule="auto"/>
              <w:ind w:right="-58" w:rightChars="-24" w:firstLine="0" w:firstLineChars="0"/>
              <w:jc w:val="center"/>
              <w:rPr>
                <w:rFonts w:hint="eastAsia" w:eastAsia="宋体"/>
                <w:lang w:val="en-US" w:eastAsia="zh-CN"/>
              </w:rPr>
            </w:pPr>
            <w:r>
              <w:rPr>
                <w:rFonts w:hint="eastAsia"/>
                <w:lang w:val="en-US" w:eastAsia="zh-CN"/>
              </w:rPr>
              <w:t>—</w:t>
            </w:r>
          </w:p>
        </w:tc>
      </w:tr>
      <w:tr w14:paraId="07C2D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13" w:hRule="atLeast"/>
          <w:jc w:val="center"/>
        </w:trPr>
        <w:tc>
          <w:tcPr>
            <w:tcW w:w="1198" w:type="dxa"/>
            <w:gridSpan w:val="2"/>
            <w:noWrap w:val="0"/>
            <w:vAlign w:val="center"/>
          </w:tcPr>
          <w:p w14:paraId="3E097C13">
            <w:pPr>
              <w:spacing w:line="240" w:lineRule="auto"/>
              <w:ind w:firstLine="0" w:firstLineChars="0"/>
              <w:jc w:val="center"/>
              <w:rPr>
                <w:rFonts w:hint="eastAsia" w:eastAsia="宋体"/>
                <w:color w:val="auto"/>
                <w:spacing w:val="-22"/>
                <w:lang w:eastAsia="zh-CN"/>
              </w:rPr>
            </w:pPr>
            <w:r>
              <w:rPr>
                <w:rFonts w:hint="eastAsia" w:hAnsi="宋体"/>
                <w:color w:val="auto"/>
                <w:spacing w:val="-22"/>
                <w:lang w:eastAsia="zh-CN"/>
              </w:rPr>
              <w:t>总投资（</w:t>
            </w:r>
            <w:r>
              <w:rPr>
                <w:rFonts w:hint="eastAsia" w:hAnsi="宋体"/>
                <w:color w:val="auto"/>
                <w:spacing w:val="-22"/>
                <w:lang w:val="en-US" w:eastAsia="zh-CN"/>
              </w:rPr>
              <w:t>万元</w:t>
            </w:r>
            <w:r>
              <w:rPr>
                <w:rFonts w:hint="eastAsia" w:hAnsi="宋体"/>
                <w:color w:val="auto"/>
                <w:spacing w:val="-22"/>
                <w:lang w:eastAsia="zh-CN"/>
              </w:rPr>
              <w:t>）</w:t>
            </w:r>
          </w:p>
        </w:tc>
        <w:tc>
          <w:tcPr>
            <w:tcW w:w="2974" w:type="dxa"/>
            <w:noWrap w:val="0"/>
            <w:vAlign w:val="center"/>
          </w:tcPr>
          <w:p w14:paraId="5F8BEA58">
            <w:pPr>
              <w:spacing w:line="240" w:lineRule="auto"/>
              <w:ind w:firstLine="0" w:firstLineChars="0"/>
              <w:jc w:val="center"/>
              <w:rPr>
                <w:rFonts w:hint="default" w:eastAsia="宋体"/>
                <w:color w:val="auto"/>
                <w:lang w:val="en-US" w:eastAsia="zh-CN"/>
              </w:rPr>
            </w:pPr>
            <w:r>
              <w:rPr>
                <w:rFonts w:hint="eastAsia" w:ascii="Times New Roman" w:hAnsi="Times New Roman" w:eastAsia="宋体" w:cs="Times New Roman"/>
                <w:color w:val="auto"/>
                <w:lang w:val="en-US" w:eastAsia="zh-CN"/>
              </w:rPr>
              <w:t>896.17</w:t>
            </w:r>
          </w:p>
        </w:tc>
        <w:tc>
          <w:tcPr>
            <w:tcW w:w="2008" w:type="dxa"/>
            <w:noWrap w:val="0"/>
            <w:vAlign w:val="center"/>
          </w:tcPr>
          <w:p w14:paraId="1C9EF112">
            <w:pPr>
              <w:spacing w:line="240" w:lineRule="auto"/>
              <w:ind w:left="-122" w:leftChars="-51" w:firstLine="0" w:firstLineChars="0"/>
              <w:jc w:val="center"/>
              <w:rPr>
                <w:rFonts w:hint="eastAsia" w:eastAsia="宋体"/>
                <w:color w:val="auto"/>
                <w:spacing w:val="-18"/>
                <w:lang w:eastAsia="zh-CN"/>
              </w:rPr>
            </w:pPr>
            <w:r>
              <w:rPr>
                <w:rFonts w:hint="eastAsia"/>
                <w:color w:val="auto"/>
                <w:spacing w:val="-18"/>
                <w:lang w:eastAsia="zh-CN"/>
              </w:rPr>
              <w:t>环保投资</w:t>
            </w:r>
            <w:r>
              <w:rPr>
                <w:rFonts w:hint="eastAsia" w:hAnsi="宋体"/>
                <w:color w:val="auto"/>
                <w:spacing w:val="-22"/>
                <w:lang w:eastAsia="zh-CN"/>
              </w:rPr>
              <w:t>（</w:t>
            </w:r>
            <w:r>
              <w:rPr>
                <w:rFonts w:hint="eastAsia" w:hAnsi="宋体"/>
                <w:color w:val="auto"/>
                <w:spacing w:val="-22"/>
                <w:lang w:val="en-US" w:eastAsia="zh-CN"/>
              </w:rPr>
              <w:t>万元</w:t>
            </w:r>
            <w:r>
              <w:rPr>
                <w:rFonts w:hint="eastAsia" w:hAnsi="宋体"/>
                <w:color w:val="auto"/>
                <w:spacing w:val="-22"/>
                <w:lang w:eastAsia="zh-CN"/>
              </w:rPr>
              <w:t>）</w:t>
            </w:r>
          </w:p>
        </w:tc>
        <w:tc>
          <w:tcPr>
            <w:tcW w:w="3079" w:type="dxa"/>
            <w:noWrap w:val="0"/>
            <w:vAlign w:val="center"/>
          </w:tcPr>
          <w:p w14:paraId="369D9EDF">
            <w:pPr>
              <w:spacing w:line="240" w:lineRule="auto"/>
              <w:ind w:right="-65" w:rightChars="-27" w:firstLine="0" w:firstLineChars="0"/>
              <w:jc w:val="center"/>
              <w:rPr>
                <w:rFonts w:hint="default" w:eastAsia="宋体"/>
                <w:color w:val="auto"/>
                <w:lang w:val="en-US" w:eastAsia="zh-CN"/>
              </w:rPr>
            </w:pPr>
            <w:r>
              <w:rPr>
                <w:rFonts w:hint="eastAsia"/>
                <w:color w:val="auto"/>
                <w:lang w:val="en-US" w:eastAsia="zh-CN"/>
              </w:rPr>
              <w:t>23.3</w:t>
            </w:r>
          </w:p>
        </w:tc>
      </w:tr>
      <w:tr w14:paraId="4036D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654" w:hRule="atLeast"/>
          <w:jc w:val="center"/>
        </w:trPr>
        <w:tc>
          <w:tcPr>
            <w:tcW w:w="1198" w:type="dxa"/>
            <w:gridSpan w:val="2"/>
            <w:noWrap w:val="0"/>
            <w:vAlign w:val="center"/>
          </w:tcPr>
          <w:p w14:paraId="04371F34">
            <w:pPr>
              <w:spacing w:line="240" w:lineRule="auto"/>
              <w:ind w:firstLine="0" w:firstLineChars="0"/>
              <w:jc w:val="center"/>
              <w:rPr>
                <w:rFonts w:hint="eastAsia" w:eastAsia="宋体"/>
                <w:color w:val="auto"/>
                <w:lang w:eastAsia="zh-CN"/>
              </w:rPr>
            </w:pPr>
            <w:r>
              <w:rPr>
                <w:rFonts w:hint="eastAsia" w:hAnsi="宋体"/>
                <w:color w:val="auto"/>
                <w:lang w:eastAsia="zh-CN"/>
              </w:rPr>
              <w:t>环保投资占比（</w:t>
            </w:r>
            <w:r>
              <w:rPr>
                <w:rFonts w:hint="eastAsia" w:hAnsi="宋体"/>
                <w:color w:val="auto"/>
                <w:lang w:val="en-US" w:eastAsia="zh-CN"/>
              </w:rPr>
              <w:t>%</w:t>
            </w:r>
            <w:r>
              <w:rPr>
                <w:rFonts w:hint="eastAsia" w:hAnsi="宋体"/>
                <w:color w:val="auto"/>
                <w:lang w:eastAsia="zh-CN"/>
              </w:rPr>
              <w:t>）</w:t>
            </w:r>
          </w:p>
        </w:tc>
        <w:tc>
          <w:tcPr>
            <w:tcW w:w="2974" w:type="dxa"/>
            <w:noWrap w:val="0"/>
            <w:vAlign w:val="center"/>
          </w:tcPr>
          <w:p w14:paraId="3ACE3D03">
            <w:pPr>
              <w:spacing w:line="240" w:lineRule="auto"/>
              <w:ind w:firstLine="0" w:firstLineChars="0"/>
              <w:jc w:val="center"/>
              <w:rPr>
                <w:rFonts w:hint="default" w:eastAsia="宋体"/>
                <w:color w:val="auto"/>
                <w:lang w:val="en-US" w:eastAsia="zh-CN"/>
              </w:rPr>
            </w:pPr>
            <w:r>
              <w:rPr>
                <w:rFonts w:hint="eastAsia"/>
                <w:color w:val="auto"/>
                <w:lang w:val="en-US" w:eastAsia="zh-CN"/>
              </w:rPr>
              <w:t>2.60</w:t>
            </w:r>
          </w:p>
        </w:tc>
        <w:tc>
          <w:tcPr>
            <w:tcW w:w="2008" w:type="dxa"/>
            <w:noWrap w:val="0"/>
            <w:vAlign w:val="center"/>
          </w:tcPr>
          <w:p w14:paraId="352ECC42">
            <w:pPr>
              <w:spacing w:line="240" w:lineRule="auto"/>
              <w:ind w:firstLine="0" w:firstLineChars="0"/>
              <w:jc w:val="center"/>
              <w:rPr>
                <w:rFonts w:hint="default" w:eastAsia="宋体"/>
                <w:color w:val="auto"/>
                <w:lang w:val="en-US" w:eastAsia="zh-CN"/>
              </w:rPr>
            </w:pPr>
            <w:r>
              <w:rPr>
                <w:rFonts w:hint="eastAsia"/>
                <w:color w:val="auto"/>
                <w:lang w:val="en-US" w:eastAsia="zh-CN"/>
              </w:rPr>
              <w:t>施工工期</w:t>
            </w:r>
          </w:p>
        </w:tc>
        <w:tc>
          <w:tcPr>
            <w:tcW w:w="3079" w:type="dxa"/>
            <w:noWrap w:val="0"/>
            <w:vAlign w:val="center"/>
          </w:tcPr>
          <w:p w14:paraId="64032542">
            <w:pPr>
              <w:spacing w:line="240" w:lineRule="auto"/>
              <w:ind w:firstLine="0" w:firstLineChars="0"/>
              <w:jc w:val="center"/>
              <w:rPr>
                <w:color w:val="auto"/>
              </w:rPr>
            </w:pPr>
            <w:r>
              <w:rPr>
                <w:rFonts w:hint="eastAsia"/>
                <w:color w:val="auto"/>
                <w:lang w:val="en-US" w:eastAsia="zh-CN"/>
              </w:rPr>
              <w:t>—</w:t>
            </w:r>
          </w:p>
        </w:tc>
      </w:tr>
      <w:tr w14:paraId="16E30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1198" w:type="dxa"/>
            <w:gridSpan w:val="2"/>
            <w:noWrap w:val="0"/>
            <w:vAlign w:val="center"/>
          </w:tcPr>
          <w:p w14:paraId="6EDE2773">
            <w:pPr>
              <w:spacing w:line="240" w:lineRule="auto"/>
              <w:ind w:firstLine="0" w:firstLineChars="0"/>
              <w:jc w:val="center"/>
              <w:rPr>
                <w:rFonts w:hint="eastAsia" w:eastAsia="宋体"/>
                <w:lang w:eastAsia="zh-CN"/>
              </w:rPr>
            </w:pPr>
            <w:r>
              <w:rPr>
                <w:rFonts w:hint="eastAsia" w:hAnsi="宋体"/>
                <w:lang w:eastAsia="zh-CN"/>
              </w:rPr>
              <w:t>是否开工建设</w:t>
            </w:r>
          </w:p>
        </w:tc>
        <w:tc>
          <w:tcPr>
            <w:tcW w:w="2974" w:type="dxa"/>
            <w:noWrap w:val="0"/>
            <w:vAlign w:val="center"/>
          </w:tcPr>
          <w:p w14:paraId="51B140D4">
            <w:pPr>
              <w:spacing w:line="240" w:lineRule="auto"/>
              <w:ind w:firstLine="0" w:firstLineChars="0"/>
              <w:jc w:val="left"/>
              <w:rPr>
                <w:rFonts w:hint="eastAsia"/>
                <w:lang w:eastAsia="zh-CN"/>
              </w:rPr>
            </w:pPr>
            <w:r>
              <w:rPr>
                <w:rFonts w:hint="eastAsia" w:asciiTheme="minorEastAsia" w:hAnsiTheme="minorEastAsia" w:eastAsiaTheme="minorEastAsia" w:cstheme="minorEastAsia"/>
                <w:lang w:eastAsia="zh-CN"/>
              </w:rPr>
              <w:t>□</w:t>
            </w:r>
            <w:r>
              <w:rPr>
                <w:rFonts w:hint="eastAsia"/>
                <w:lang w:eastAsia="zh-CN"/>
              </w:rPr>
              <w:t>否：</w:t>
            </w:r>
          </w:p>
          <w:p w14:paraId="20125C8E">
            <w:pPr>
              <w:spacing w:line="240" w:lineRule="auto"/>
              <w:ind w:firstLine="0" w:firstLineChars="0"/>
              <w:jc w:val="left"/>
              <w:rPr>
                <w:rFonts w:hint="default"/>
                <w:lang w:val="en-US" w:eastAsia="zh-CN"/>
              </w:rPr>
            </w:pPr>
            <w:r>
              <w:rPr>
                <w:rFonts w:hint="eastAsia" w:asciiTheme="minorEastAsia" w:hAnsiTheme="minorEastAsia" w:eastAsiaTheme="minorEastAsia" w:cstheme="minorEastAsia"/>
                <w:lang w:eastAsia="zh-CN"/>
              </w:rPr>
              <w:t>☑</w:t>
            </w:r>
            <w:r>
              <w:rPr>
                <w:rFonts w:hint="eastAsia"/>
                <w:lang w:eastAsia="zh-CN"/>
              </w:rPr>
              <w:t>是：</w:t>
            </w:r>
            <w:r>
              <w:rPr>
                <w:rFonts w:hint="eastAsia"/>
                <w:color w:val="auto"/>
                <w:highlight w:val="none"/>
                <w:u w:val="single"/>
                <w:lang w:val="en-US" w:eastAsia="zh-CN"/>
              </w:rPr>
              <w:t>现状主体生产设施、布袋除尘器、砂石料场已建设完成，目前未开工生产。2025年9月3日经昆明市生态环境局现场检查给予处罚决定，于2025年11月25日印发昆明市生态环境局行政处罚决定书。</w:t>
            </w:r>
          </w:p>
        </w:tc>
        <w:tc>
          <w:tcPr>
            <w:tcW w:w="2008" w:type="dxa"/>
            <w:noWrap w:val="0"/>
            <w:vAlign w:val="center"/>
          </w:tcPr>
          <w:p w14:paraId="28BAD01F">
            <w:pPr>
              <w:spacing w:line="240" w:lineRule="auto"/>
              <w:ind w:firstLine="0" w:firstLineChars="0"/>
              <w:jc w:val="center"/>
              <w:rPr>
                <w:rFonts w:hint="eastAsia" w:asciiTheme="minorEastAsia" w:hAnsiTheme="minorEastAsia" w:eastAsiaTheme="minorEastAsia" w:cstheme="minorEastAsia"/>
              </w:rPr>
            </w:pPr>
            <w:r>
              <w:rPr>
                <w:rFonts w:hint="eastAsia"/>
                <w:lang w:eastAsia="zh-CN"/>
              </w:rPr>
              <w:t>用地（用海）面积（</w:t>
            </w:r>
            <w:r>
              <w:rPr>
                <w:rFonts w:hint="eastAsia"/>
                <w:lang w:val="en-US" w:eastAsia="zh-CN"/>
              </w:rPr>
              <w:t>m</w:t>
            </w:r>
            <w:r>
              <w:rPr>
                <w:rFonts w:hint="eastAsia"/>
                <w:vertAlign w:val="superscript"/>
                <w:lang w:val="en-US" w:eastAsia="zh-CN"/>
              </w:rPr>
              <w:t>2</w:t>
            </w:r>
            <w:r>
              <w:rPr>
                <w:rFonts w:hint="eastAsia"/>
                <w:lang w:eastAsia="zh-CN"/>
              </w:rPr>
              <w:t>）</w:t>
            </w:r>
          </w:p>
        </w:tc>
        <w:tc>
          <w:tcPr>
            <w:tcW w:w="3079" w:type="dxa"/>
            <w:noWrap w:val="0"/>
            <w:vAlign w:val="center"/>
          </w:tcPr>
          <w:p w14:paraId="091379E3">
            <w:pPr>
              <w:spacing w:line="240" w:lineRule="auto"/>
              <w:ind w:firstLine="0" w:firstLineChars="0"/>
              <w:jc w:val="center"/>
              <w:rPr>
                <w:rFonts w:hint="default" w:asciiTheme="minorEastAsia" w:hAnsiTheme="minorEastAsia" w:eastAsiaTheme="minorEastAsia" w:cstheme="minorEastAsia"/>
                <w:lang w:val="en-US" w:eastAsia="zh-CN"/>
              </w:rPr>
            </w:pPr>
            <w:r>
              <w:rPr>
                <w:rFonts w:hint="eastAsia" w:ascii="Times New Roman" w:hAnsi="Times New Roman" w:eastAsia="宋体" w:cs="Times New Roman"/>
                <w:lang w:val="en-US" w:eastAsia="zh-CN"/>
              </w:rPr>
              <w:t>1500</w:t>
            </w:r>
          </w:p>
        </w:tc>
      </w:tr>
      <w:tr w14:paraId="41D31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98" w:type="dxa"/>
            <w:gridSpan w:val="2"/>
            <w:noWrap w:val="0"/>
            <w:vAlign w:val="center"/>
          </w:tcPr>
          <w:p w14:paraId="3D0EB69B">
            <w:pPr>
              <w:ind w:left="0" w:leftChars="0" w:firstLine="0" w:firstLineChars="0"/>
              <w:jc w:val="center"/>
              <w:rPr>
                <w:rFonts w:hint="eastAsia" w:eastAsia="宋体"/>
                <w:lang w:eastAsia="zh-CN"/>
              </w:rPr>
            </w:pPr>
            <w:r>
              <w:rPr>
                <w:rFonts w:hint="eastAsia"/>
                <w:lang w:eastAsia="zh-CN"/>
              </w:rPr>
              <w:t>专项评价设置情况</w:t>
            </w:r>
          </w:p>
        </w:tc>
        <w:tc>
          <w:tcPr>
            <w:tcW w:w="8061" w:type="dxa"/>
            <w:gridSpan w:val="3"/>
            <w:noWrap w:val="0"/>
            <w:vAlign w:val="top"/>
          </w:tcPr>
          <w:p w14:paraId="504CD367">
            <w:pPr>
              <w:pStyle w:val="20"/>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根据《建设项目环境影响报告表编制技术指南（污染影响类）（试行）》本项目不需要设置专项评价，具体理由详见表1-1。</w:t>
            </w:r>
          </w:p>
          <w:p w14:paraId="2BAF08AB">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表1-1</w:t>
            </w:r>
            <w:r>
              <w:rPr>
                <w:rFonts w:hint="eastAsia"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项目与专项设置原则对比情况一览表</w:t>
            </w:r>
          </w:p>
          <w:tbl>
            <w:tblPr>
              <w:tblStyle w:val="15"/>
              <w:tblW w:w="7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350"/>
              <w:gridCol w:w="3217"/>
              <w:gridCol w:w="638"/>
            </w:tblGrid>
            <w:tr w14:paraId="4A81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44" w:type="dxa"/>
                  <w:noWrap w:val="0"/>
                  <w:vAlign w:val="center"/>
                </w:tcPr>
                <w:p w14:paraId="75665411">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专项评价类别</w:t>
                  </w:r>
                </w:p>
              </w:tc>
              <w:tc>
                <w:tcPr>
                  <w:tcW w:w="3350" w:type="dxa"/>
                  <w:noWrap w:val="0"/>
                  <w:vAlign w:val="center"/>
                </w:tcPr>
                <w:p w14:paraId="2B317470">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设置原则</w:t>
                  </w:r>
                </w:p>
              </w:tc>
              <w:tc>
                <w:tcPr>
                  <w:tcW w:w="3217" w:type="dxa"/>
                  <w:noWrap w:val="0"/>
                  <w:vAlign w:val="center"/>
                </w:tcPr>
                <w:p w14:paraId="3D09804A">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本项目情况</w:t>
                  </w:r>
                </w:p>
              </w:tc>
              <w:tc>
                <w:tcPr>
                  <w:tcW w:w="638" w:type="dxa"/>
                  <w:noWrap w:val="0"/>
                  <w:vAlign w:val="center"/>
                </w:tcPr>
                <w:p w14:paraId="758040A7">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是否设置专项</w:t>
                  </w:r>
                </w:p>
              </w:tc>
            </w:tr>
            <w:tr w14:paraId="3A22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644" w:type="dxa"/>
                  <w:noWrap w:val="0"/>
                  <w:vAlign w:val="center"/>
                </w:tcPr>
                <w:p w14:paraId="3B72B013">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大气</w:t>
                  </w:r>
                </w:p>
              </w:tc>
              <w:tc>
                <w:tcPr>
                  <w:tcW w:w="3350" w:type="dxa"/>
                  <w:noWrap w:val="0"/>
                  <w:vAlign w:val="center"/>
                </w:tcPr>
                <w:p w14:paraId="4C8B4099">
                  <w:pPr>
                    <w:pStyle w:val="20"/>
                    <w:keepNext w:val="0"/>
                    <w:keepLines w:val="0"/>
                    <w:pageBreakBefore w:val="0"/>
                    <w:kinsoku/>
                    <w:wordWrap/>
                    <w:overflowPunct/>
                    <w:topLinePunct w:val="0"/>
                    <w:autoSpaceDE/>
                    <w:autoSpaceDN/>
                    <w:bidi w:val="0"/>
                    <w:adjustRightInd w:val="0"/>
                    <w:snapToGrid w:val="0"/>
                    <w:spacing w:line="360" w:lineRule="exact"/>
                    <w:ind w:firstLine="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排放废气含有毒有害污染物</w:t>
                  </w:r>
                  <w:r>
                    <w:rPr>
                      <w:rFonts w:hint="default" w:ascii="Times New Roman" w:hAnsi="Times New Roman" w:eastAsia="宋体" w:cs="Times New Roman"/>
                      <w:color w:val="auto"/>
                      <w:kern w:val="0"/>
                      <w:sz w:val="21"/>
                      <w:szCs w:val="21"/>
                      <w:vertAlign w:val="superscript"/>
                      <w:lang w:val="en-US" w:eastAsia="zh-CN"/>
                    </w:rPr>
                    <w:t>1</w:t>
                  </w:r>
                  <w:r>
                    <w:rPr>
                      <w:rFonts w:hint="default" w:ascii="Times New Roman" w:hAnsi="Times New Roman" w:eastAsia="宋体" w:cs="Times New Roman"/>
                      <w:color w:val="auto"/>
                      <w:kern w:val="0"/>
                      <w:sz w:val="21"/>
                      <w:szCs w:val="21"/>
                      <w:lang w:val="en-US" w:eastAsia="zh-CN"/>
                    </w:rPr>
                    <w:t>、二噁英、苯并[a]芘、氰化物、氯气且厂界外500米范围内有环境空气保护目标</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的建设项目</w:t>
                  </w:r>
                </w:p>
              </w:tc>
              <w:tc>
                <w:tcPr>
                  <w:tcW w:w="3217" w:type="dxa"/>
                  <w:noWrap w:val="0"/>
                  <w:vAlign w:val="center"/>
                </w:tcPr>
                <w:p w14:paraId="2000002B">
                  <w:pPr>
                    <w:pStyle w:val="20"/>
                    <w:keepNext w:val="0"/>
                    <w:keepLines w:val="0"/>
                    <w:pageBreakBefore w:val="0"/>
                    <w:kinsoku/>
                    <w:wordWrap/>
                    <w:overflowPunct/>
                    <w:topLinePunct w:val="0"/>
                    <w:autoSpaceDE/>
                    <w:autoSpaceDN/>
                    <w:bidi w:val="0"/>
                    <w:adjustRightInd w:val="0"/>
                    <w:snapToGrid w:val="0"/>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w:t>
                  </w:r>
                  <w:r>
                    <w:rPr>
                      <w:rFonts w:hint="eastAsia"/>
                      <w:color w:val="auto"/>
                      <w:lang w:val="en-US" w:eastAsia="zh-CN"/>
                    </w:rPr>
                    <w:t>生产过程中会产生</w:t>
                  </w:r>
                  <w:r>
                    <w:rPr>
                      <w:rFonts w:hint="default" w:ascii="Times New Roman" w:hAnsi="Times New Roman" w:eastAsia="宋体" w:cs="Times New Roman"/>
                      <w:color w:val="auto"/>
                      <w:kern w:val="0"/>
                      <w:sz w:val="21"/>
                      <w:szCs w:val="21"/>
                      <w:lang w:val="en-US" w:eastAsia="zh-CN"/>
                    </w:rPr>
                    <w:t>苯并[a]芘</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厂界外500m范围内</w:t>
                  </w:r>
                  <w:r>
                    <w:rPr>
                      <w:rFonts w:hint="eastAsia" w:ascii="Times New Roman" w:hAnsi="Times New Roman" w:eastAsia="宋体" w:cs="Times New Roman"/>
                      <w:color w:val="auto"/>
                      <w:kern w:val="0"/>
                      <w:sz w:val="21"/>
                      <w:szCs w:val="21"/>
                      <w:lang w:val="en-US" w:eastAsia="zh-CN"/>
                    </w:rPr>
                    <w:t>无</w:t>
                  </w:r>
                  <w:r>
                    <w:rPr>
                      <w:rFonts w:hint="default" w:ascii="Times New Roman" w:hAnsi="Times New Roman" w:eastAsia="宋体" w:cs="Times New Roman"/>
                      <w:color w:val="auto"/>
                      <w:kern w:val="0"/>
                      <w:sz w:val="21"/>
                      <w:szCs w:val="21"/>
                      <w:lang w:val="en-US" w:eastAsia="zh-CN"/>
                    </w:rPr>
                    <w:t>环境空气保护目标</w:t>
                  </w:r>
                  <w:r>
                    <w:rPr>
                      <w:rFonts w:hint="eastAsia" w:ascii="Times New Roman" w:hAnsi="Times New Roman" w:eastAsia="宋体" w:cs="Times New Roman"/>
                      <w:color w:val="auto"/>
                      <w:kern w:val="0"/>
                      <w:sz w:val="21"/>
                      <w:szCs w:val="21"/>
                      <w:lang w:val="en-US" w:eastAsia="zh-CN"/>
                    </w:rPr>
                    <w:t>。</w:t>
                  </w:r>
                </w:p>
              </w:tc>
              <w:tc>
                <w:tcPr>
                  <w:tcW w:w="638" w:type="dxa"/>
                  <w:noWrap w:val="0"/>
                  <w:vAlign w:val="center"/>
                </w:tcPr>
                <w:p w14:paraId="486DEAC2">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否</w:t>
                  </w:r>
                </w:p>
              </w:tc>
            </w:tr>
            <w:tr w14:paraId="738D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noWrap w:val="0"/>
                  <w:vAlign w:val="center"/>
                </w:tcPr>
                <w:p w14:paraId="375A61F8">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地表水</w:t>
                  </w:r>
                </w:p>
              </w:tc>
              <w:tc>
                <w:tcPr>
                  <w:tcW w:w="3350" w:type="dxa"/>
                  <w:noWrap w:val="0"/>
                  <w:vAlign w:val="center"/>
                </w:tcPr>
                <w:p w14:paraId="2B7F56EF">
                  <w:pPr>
                    <w:pStyle w:val="20"/>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新增工业废水直排的建设项目（槽罐车外送污水处理厂的除外）；新增废水直排的污水集中处理厂</w:t>
                  </w:r>
                </w:p>
              </w:tc>
              <w:tc>
                <w:tcPr>
                  <w:tcW w:w="3217" w:type="dxa"/>
                  <w:noWrap w:val="0"/>
                  <w:vAlign w:val="center"/>
                </w:tcPr>
                <w:p w14:paraId="1617EA01">
                  <w:pPr>
                    <w:keepNext w:val="0"/>
                    <w:keepLines w:val="0"/>
                    <w:pageBreakBefore w:val="0"/>
                    <w:widowControl/>
                    <w:suppressLineNumbers w:val="0"/>
                    <w:kinsoku/>
                    <w:wordWrap/>
                    <w:overflowPunct/>
                    <w:topLinePunct w:val="0"/>
                    <w:autoSpaceDE/>
                    <w:autoSpaceDN/>
                    <w:bidi w:val="0"/>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bidi="ar-SA"/>
                    </w:rPr>
                    <w:t>项目无生产废水外排，不属于污水集中处理厂，因此，本次评价不设地表水专项评价。</w:t>
                  </w:r>
                </w:p>
              </w:tc>
              <w:tc>
                <w:tcPr>
                  <w:tcW w:w="638" w:type="dxa"/>
                  <w:noWrap w:val="0"/>
                  <w:vAlign w:val="center"/>
                </w:tcPr>
                <w:p w14:paraId="5F6D6444">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2521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644" w:type="dxa"/>
                  <w:noWrap w:val="0"/>
                  <w:vAlign w:val="center"/>
                </w:tcPr>
                <w:p w14:paraId="1E3293D8">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环境风险</w:t>
                  </w:r>
                </w:p>
              </w:tc>
              <w:tc>
                <w:tcPr>
                  <w:tcW w:w="3350" w:type="dxa"/>
                  <w:noWrap w:val="0"/>
                  <w:vAlign w:val="center"/>
                </w:tcPr>
                <w:p w14:paraId="166350AF">
                  <w:pPr>
                    <w:pStyle w:val="20"/>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有毒有害和易燃易爆危险物质存储量超过临界量</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的建设项目</w:t>
                  </w:r>
                </w:p>
              </w:tc>
              <w:tc>
                <w:tcPr>
                  <w:tcW w:w="3217" w:type="dxa"/>
                  <w:noWrap w:val="0"/>
                  <w:vAlign w:val="center"/>
                </w:tcPr>
                <w:p w14:paraId="7C3022ED">
                  <w:pPr>
                    <w:pStyle w:val="20"/>
                    <w:keepNext w:val="0"/>
                    <w:keepLines w:val="0"/>
                    <w:pageBreakBefore w:val="0"/>
                    <w:kinsoku/>
                    <w:wordWrap/>
                    <w:overflowPunct/>
                    <w:topLinePunct w:val="0"/>
                    <w:autoSpaceDE/>
                    <w:autoSpaceDN/>
                    <w:bidi w:val="0"/>
                    <w:adjustRightInd w:val="0"/>
                    <w:snapToGrid w:val="0"/>
                    <w:spacing w:line="360" w:lineRule="exact"/>
                    <w:ind w:firstLine="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根据《建设项目环境风险评价技术导则》（HJ169-2018），项目涉及的有毒有害和易燃易爆物质存储量均未超过临界量。</w:t>
                  </w:r>
                </w:p>
              </w:tc>
              <w:tc>
                <w:tcPr>
                  <w:tcW w:w="638" w:type="dxa"/>
                  <w:noWrap w:val="0"/>
                  <w:vAlign w:val="center"/>
                </w:tcPr>
                <w:p w14:paraId="592B5EA5">
                  <w:pPr>
                    <w:keepNext w:val="0"/>
                    <w:keepLines w:val="0"/>
                    <w:pageBreakBefore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否</w:t>
                  </w:r>
                </w:p>
              </w:tc>
            </w:tr>
            <w:tr w14:paraId="0DE4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644" w:type="dxa"/>
                  <w:noWrap w:val="0"/>
                  <w:vAlign w:val="center"/>
                </w:tcPr>
                <w:p w14:paraId="3F8F597D">
                  <w:pPr>
                    <w:pStyle w:val="20"/>
                    <w:keepNext w:val="0"/>
                    <w:keepLines w:val="0"/>
                    <w:pageBreakBefore w:val="0"/>
                    <w:kinsoku/>
                    <w:wordWrap/>
                    <w:overflowPunct/>
                    <w:topLinePunct w:val="0"/>
                    <w:autoSpaceDE/>
                    <w:autoSpaceDN/>
                    <w:bidi w:val="0"/>
                    <w:adjustRightInd w:val="0"/>
                    <w:snapToGrid w:val="0"/>
                    <w:spacing w:line="360" w:lineRule="exact"/>
                    <w:ind w:firstLine="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生态</w:t>
                  </w:r>
                </w:p>
              </w:tc>
              <w:tc>
                <w:tcPr>
                  <w:tcW w:w="3350" w:type="dxa"/>
                  <w:noWrap w:val="0"/>
                  <w:vAlign w:val="center"/>
                </w:tcPr>
                <w:p w14:paraId="52154FCE">
                  <w:pPr>
                    <w:pStyle w:val="20"/>
                    <w:keepNext w:val="0"/>
                    <w:keepLines w:val="0"/>
                    <w:pageBreakBefore w:val="0"/>
                    <w:kinsoku/>
                    <w:wordWrap/>
                    <w:overflowPunct/>
                    <w:topLinePunct w:val="0"/>
                    <w:autoSpaceDE/>
                    <w:autoSpaceDN/>
                    <w:bidi w:val="0"/>
                    <w:adjustRightInd w:val="0"/>
                    <w:snapToGrid w:val="0"/>
                    <w:spacing w:line="360" w:lineRule="exact"/>
                    <w:ind w:firstLine="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取水口下游500米范围内有重要水生生物的自然产卵场、索饵场、越冬场和洄游通道的新增河道取水的污染类建设项目</w:t>
                  </w:r>
                </w:p>
              </w:tc>
              <w:tc>
                <w:tcPr>
                  <w:tcW w:w="3217" w:type="dxa"/>
                  <w:noWrap w:val="0"/>
                  <w:vAlign w:val="center"/>
                </w:tcPr>
                <w:p w14:paraId="7C6B2DAC">
                  <w:pPr>
                    <w:pStyle w:val="20"/>
                    <w:keepNext w:val="0"/>
                    <w:keepLines w:val="0"/>
                    <w:pageBreakBefore w:val="0"/>
                    <w:kinsoku/>
                    <w:wordWrap/>
                    <w:overflowPunct/>
                    <w:topLinePunct w:val="0"/>
                    <w:autoSpaceDE/>
                    <w:autoSpaceDN/>
                    <w:bidi w:val="0"/>
                    <w:adjustRightInd w:val="0"/>
                    <w:snapToGrid w:val="0"/>
                    <w:spacing w:line="360" w:lineRule="exact"/>
                    <w:ind w:firstLine="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w:t>
                  </w:r>
                  <w:r>
                    <w:rPr>
                      <w:rFonts w:hint="eastAsia" w:cs="Times New Roman"/>
                      <w:color w:val="auto"/>
                      <w:kern w:val="0"/>
                      <w:sz w:val="21"/>
                      <w:szCs w:val="21"/>
                      <w:lang w:val="en-US" w:eastAsia="zh-CN"/>
                    </w:rPr>
                    <w:t>生产和</w:t>
                  </w:r>
                  <w:r>
                    <w:rPr>
                      <w:rFonts w:hint="default" w:ascii="Times New Roman" w:hAnsi="Times New Roman" w:eastAsia="宋体" w:cs="Times New Roman"/>
                      <w:color w:val="auto"/>
                      <w:kern w:val="0"/>
                      <w:sz w:val="21"/>
                      <w:szCs w:val="21"/>
                      <w:lang w:val="en-US" w:eastAsia="zh-CN"/>
                    </w:rPr>
                    <w:t>生活用水</w:t>
                  </w:r>
                  <w:r>
                    <w:rPr>
                      <w:rFonts w:hint="eastAsia" w:ascii="Times New Roman" w:hAnsi="Times New Roman" w:eastAsia="宋体" w:cs="Times New Roman"/>
                      <w:color w:val="auto"/>
                      <w:kern w:val="0"/>
                      <w:sz w:val="21"/>
                      <w:szCs w:val="21"/>
                      <w:lang w:val="en-US" w:eastAsia="zh-CN"/>
                    </w:rPr>
                    <w:t>均依托</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云南龙泉矿业开发有限公司供水系统</w:t>
                  </w:r>
                  <w:r>
                    <w:rPr>
                      <w:rFonts w:hint="eastAsia" w:cs="Times New Roman"/>
                      <w:color w:val="000000" w:themeColor="text1"/>
                      <w:sz w:val="21"/>
                      <w:szCs w:val="21"/>
                      <w:lang w:val="en-US" w:eastAsia="zh-CN"/>
                      <w14:textFill>
                        <w14:solidFill>
                          <w14:schemeClr w14:val="tx1"/>
                        </w14:solidFill>
                      </w14:textFill>
                    </w:rPr>
                    <w:t>，</w:t>
                  </w:r>
                  <w:r>
                    <w:rPr>
                      <w:rFonts w:hint="eastAsia" w:cs="Times New Roman"/>
                      <w:color w:val="auto"/>
                      <w:sz w:val="21"/>
                      <w:szCs w:val="21"/>
                      <w:lang w:val="en-US" w:eastAsia="zh-CN"/>
                    </w:rPr>
                    <w:t>不涉及河道取水</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638" w:type="dxa"/>
                  <w:noWrap w:val="0"/>
                  <w:vAlign w:val="center"/>
                </w:tcPr>
                <w:p w14:paraId="618FA65E">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否</w:t>
                  </w:r>
                </w:p>
              </w:tc>
            </w:tr>
            <w:tr w14:paraId="4A9E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44" w:type="dxa"/>
                  <w:noWrap w:val="0"/>
                  <w:vAlign w:val="center"/>
                </w:tcPr>
                <w:p w14:paraId="065DA726">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海洋</w:t>
                  </w:r>
                </w:p>
              </w:tc>
              <w:tc>
                <w:tcPr>
                  <w:tcW w:w="3350" w:type="dxa"/>
                  <w:noWrap w:val="0"/>
                  <w:vAlign w:val="center"/>
                </w:tcPr>
                <w:p w14:paraId="03213412">
                  <w:pPr>
                    <w:pStyle w:val="20"/>
                    <w:keepNext w:val="0"/>
                    <w:keepLines w:val="0"/>
                    <w:pageBreakBefore w:val="0"/>
                    <w:kinsoku/>
                    <w:wordWrap/>
                    <w:overflowPunct/>
                    <w:topLinePunct w:val="0"/>
                    <w:autoSpaceDE/>
                    <w:autoSpaceDN/>
                    <w:bidi w:val="0"/>
                    <w:adjustRightInd w:val="0"/>
                    <w:snapToGrid w:val="0"/>
                    <w:spacing w:line="360" w:lineRule="exact"/>
                    <w:ind w:firstLine="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直接向海排放污染物的海洋工程建设项目</w:t>
                  </w:r>
                </w:p>
              </w:tc>
              <w:tc>
                <w:tcPr>
                  <w:tcW w:w="3217" w:type="dxa"/>
                  <w:noWrap w:val="0"/>
                  <w:vAlign w:val="center"/>
                </w:tcPr>
                <w:p w14:paraId="1761AB5D">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本项目不属于海洋工程。</w:t>
                  </w:r>
                </w:p>
              </w:tc>
              <w:tc>
                <w:tcPr>
                  <w:tcW w:w="638" w:type="dxa"/>
                  <w:noWrap w:val="0"/>
                  <w:vAlign w:val="center"/>
                </w:tcPr>
                <w:p w14:paraId="57C5F64D">
                  <w:pPr>
                    <w:pStyle w:val="20"/>
                    <w:keepNext w:val="0"/>
                    <w:keepLines w:val="0"/>
                    <w:pageBreakBefore w:val="0"/>
                    <w:kinsoku/>
                    <w:wordWrap/>
                    <w:overflowPunct/>
                    <w:topLinePunct w:val="0"/>
                    <w:autoSpaceDE/>
                    <w:autoSpaceDN/>
                    <w:bidi w:val="0"/>
                    <w:adjustRightInd w:val="0"/>
                    <w:snapToGrid w:val="0"/>
                    <w:spacing w:line="360" w:lineRule="exact"/>
                    <w:ind w:firstLine="0"/>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否</w:t>
                  </w:r>
                </w:p>
              </w:tc>
            </w:tr>
            <w:tr w14:paraId="0543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jc w:val="center"/>
              </w:trPr>
              <w:tc>
                <w:tcPr>
                  <w:tcW w:w="7849" w:type="dxa"/>
                  <w:gridSpan w:val="4"/>
                  <w:noWrap w:val="0"/>
                  <w:vAlign w:val="center"/>
                </w:tcPr>
                <w:p w14:paraId="042434A3">
                  <w:pPr>
                    <w:pStyle w:val="20"/>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备注：</w:t>
                  </w:r>
                </w:p>
                <w:p w14:paraId="44CE2D6E">
                  <w:pPr>
                    <w:pStyle w:val="20"/>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1.废气中有毒有害污染物指纳入《有毒有害大气污染物名录》的污染物（不包括无排放标准的污染物）。</w:t>
                  </w:r>
                </w:p>
                <w:p w14:paraId="45CA99DC">
                  <w:pPr>
                    <w:pStyle w:val="20"/>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2.环境空气保护目标指自然保护区、风景名胜区、居住区、文化区和农村地区中人群较集中的区域。</w:t>
                  </w:r>
                </w:p>
                <w:p w14:paraId="7D875FE8">
                  <w:pPr>
                    <w:pStyle w:val="20"/>
                    <w:keepNext w:val="0"/>
                    <w:keepLines w:val="0"/>
                    <w:pageBreakBefore w:val="0"/>
                    <w:kinsoku/>
                    <w:wordWrap/>
                    <w:overflowPunct/>
                    <w:topLinePunct w:val="0"/>
                    <w:autoSpaceDE/>
                    <w:autoSpaceDN/>
                    <w:bidi w:val="0"/>
                    <w:adjustRightInd w:val="0"/>
                    <w:snapToGrid w:val="0"/>
                    <w:spacing w:line="360" w:lineRule="exact"/>
                    <w:ind w:firstLine="0"/>
                    <w:jc w:val="left"/>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3.临界量及其计算方法可参考《建设项目环境风险评价技术导则》（HJ 169）附录B、附录C。</w:t>
                  </w:r>
                </w:p>
              </w:tc>
            </w:tr>
          </w:tbl>
          <w:p w14:paraId="475DD8CC">
            <w:pPr>
              <w:ind w:firstLine="480"/>
            </w:pPr>
            <w:r>
              <w:rPr>
                <w:rFonts w:hint="default" w:ascii="Times New Roman" w:hAnsi="Times New Roman" w:eastAsia="宋体" w:cs="Times New Roman"/>
                <w:color w:val="auto"/>
                <w:kern w:val="0"/>
                <w:sz w:val="24"/>
                <w:szCs w:val="24"/>
                <w:lang w:val="en-US" w:eastAsia="zh-CN"/>
              </w:rPr>
              <w:t>综上所述，</w:t>
            </w:r>
            <w:r>
              <w:rPr>
                <w:rFonts w:hint="default" w:ascii="Times New Roman" w:hAnsi="Times New Roman" w:eastAsia="宋体" w:cs="Times New Roman"/>
                <w:color w:val="auto"/>
                <w:kern w:val="0"/>
                <w:sz w:val="24"/>
                <w:szCs w:val="24"/>
                <w:lang w:val="en-US" w:eastAsia="zh-CN" w:bidi="ar"/>
              </w:rPr>
              <w:t>根据《建设项目环境影响报告表编制技术指南》（污染影响类）（试行）表1专项评价设置原则表，</w:t>
            </w:r>
            <w:r>
              <w:rPr>
                <w:rFonts w:hint="default" w:ascii="Times New Roman" w:hAnsi="Times New Roman" w:eastAsia="宋体" w:cs="Times New Roman"/>
                <w:color w:val="auto"/>
                <w:kern w:val="0"/>
                <w:sz w:val="24"/>
                <w:szCs w:val="24"/>
                <w:lang w:val="en-US" w:eastAsia="zh-CN"/>
              </w:rPr>
              <w:t>本项目无需设置专项评价。</w:t>
            </w:r>
          </w:p>
        </w:tc>
      </w:tr>
      <w:tr w14:paraId="5C6A2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98" w:type="dxa"/>
            <w:gridSpan w:val="2"/>
            <w:noWrap w:val="0"/>
            <w:vAlign w:val="top"/>
          </w:tcPr>
          <w:p w14:paraId="6EDDA22F">
            <w:pPr>
              <w:ind w:left="0" w:leftChars="0" w:firstLine="0" w:firstLineChars="0"/>
              <w:jc w:val="center"/>
              <w:rPr>
                <w:rFonts w:hint="eastAsia" w:eastAsia="宋体"/>
                <w:lang w:eastAsia="zh-CN"/>
              </w:rPr>
            </w:pPr>
            <w:r>
              <w:rPr>
                <w:rFonts w:hint="eastAsia"/>
                <w:lang w:eastAsia="zh-CN"/>
              </w:rPr>
              <w:t>规划情况</w:t>
            </w:r>
          </w:p>
        </w:tc>
        <w:tc>
          <w:tcPr>
            <w:tcW w:w="8061" w:type="dxa"/>
            <w:gridSpan w:val="3"/>
            <w:noWrap w:val="0"/>
            <w:vAlign w:val="center"/>
          </w:tcPr>
          <w:p w14:paraId="01FF9AFE">
            <w:pPr>
              <w:widowControl/>
              <w:ind w:firstLine="0" w:firstLineChars="0"/>
              <w:jc w:val="center"/>
              <w:rPr>
                <w:rFonts w:hint="eastAsia" w:eastAsia="宋体"/>
                <w:lang w:eastAsia="zh-CN"/>
              </w:rPr>
            </w:pPr>
            <w:r>
              <w:rPr>
                <w:rFonts w:hint="eastAsia"/>
                <w:kern w:val="0"/>
                <w:lang w:eastAsia="zh-CN" w:bidi="ar"/>
              </w:rPr>
              <w:t>《</w:t>
            </w:r>
            <w:r>
              <w:rPr>
                <w:rFonts w:hint="eastAsia"/>
                <w:kern w:val="0"/>
                <w:lang w:val="en-US" w:eastAsia="zh-CN" w:bidi="ar"/>
              </w:rPr>
              <w:t>寻甸回族彝族自治县国土空间总体规划（2021-2035）</w:t>
            </w:r>
            <w:r>
              <w:rPr>
                <w:rFonts w:hint="eastAsia"/>
                <w:kern w:val="0"/>
                <w:lang w:eastAsia="zh-CN" w:bidi="ar"/>
              </w:rPr>
              <w:t>》（</w:t>
            </w:r>
            <w:r>
              <w:rPr>
                <w:rFonts w:hint="eastAsia"/>
                <w:kern w:val="0"/>
                <w:lang w:val="en-US" w:eastAsia="zh-CN" w:bidi="ar"/>
              </w:rPr>
              <w:t>草案公示稿</w:t>
            </w:r>
            <w:r>
              <w:rPr>
                <w:rFonts w:hint="eastAsia"/>
                <w:kern w:val="0"/>
                <w:lang w:eastAsia="zh-CN" w:bidi="ar"/>
              </w:rPr>
              <w:t>）</w:t>
            </w:r>
          </w:p>
        </w:tc>
      </w:tr>
      <w:tr w14:paraId="7B46E2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8" w:hRule="atLeast"/>
          <w:jc w:val="center"/>
        </w:trPr>
        <w:tc>
          <w:tcPr>
            <w:tcW w:w="1198" w:type="dxa"/>
            <w:gridSpan w:val="2"/>
            <w:noWrap w:val="0"/>
            <w:vAlign w:val="top"/>
          </w:tcPr>
          <w:p w14:paraId="5096D0AB">
            <w:pPr>
              <w:ind w:left="0" w:leftChars="0" w:firstLine="0" w:firstLineChars="0"/>
              <w:jc w:val="center"/>
              <w:rPr>
                <w:rFonts w:hint="eastAsia"/>
                <w:lang w:eastAsia="zh-CN"/>
              </w:rPr>
            </w:pPr>
            <w:r>
              <w:rPr>
                <w:rFonts w:hint="eastAsia"/>
                <w:lang w:eastAsia="zh-CN"/>
              </w:rPr>
              <w:t>规划环境影响评价情况</w:t>
            </w:r>
          </w:p>
        </w:tc>
        <w:tc>
          <w:tcPr>
            <w:tcW w:w="8061" w:type="dxa"/>
            <w:gridSpan w:val="3"/>
            <w:noWrap w:val="0"/>
            <w:vAlign w:val="center"/>
          </w:tcPr>
          <w:p w14:paraId="1A25D395">
            <w:pPr>
              <w:widowControl/>
              <w:ind w:firstLine="0" w:firstLineChars="0"/>
              <w:jc w:val="center"/>
            </w:pPr>
            <w:r>
              <w:rPr>
                <w:rFonts w:hint="eastAsia"/>
                <w:kern w:val="0"/>
                <w:lang w:bidi="ar"/>
              </w:rPr>
              <w:t>/</w:t>
            </w:r>
          </w:p>
        </w:tc>
      </w:tr>
      <w:tr w14:paraId="0C12D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966" w:hRule="atLeast"/>
          <w:jc w:val="center"/>
        </w:trPr>
        <w:tc>
          <w:tcPr>
            <w:tcW w:w="1198" w:type="dxa"/>
            <w:gridSpan w:val="2"/>
            <w:noWrap w:val="0"/>
            <w:vAlign w:val="top"/>
          </w:tcPr>
          <w:p w14:paraId="46958053">
            <w:pPr>
              <w:ind w:left="0" w:leftChars="0" w:firstLine="0" w:firstLineChars="0"/>
              <w:jc w:val="center"/>
              <w:rPr>
                <w:rFonts w:hint="eastAsia"/>
                <w:lang w:eastAsia="zh-CN"/>
              </w:rPr>
            </w:pPr>
            <w:r>
              <w:rPr>
                <w:rFonts w:hint="eastAsia"/>
                <w:lang w:eastAsia="zh-CN"/>
              </w:rPr>
              <w:t>规划及规划环境影响评价符合性分析</w:t>
            </w:r>
          </w:p>
        </w:tc>
        <w:tc>
          <w:tcPr>
            <w:tcW w:w="8061" w:type="dxa"/>
            <w:gridSpan w:val="3"/>
            <w:noWrap w:val="0"/>
            <w:vAlign w:val="center"/>
          </w:tcPr>
          <w:p w14:paraId="7F7E983C">
            <w:pPr>
              <w:keepNext w:val="0"/>
              <w:keepLines w:val="0"/>
              <w:pageBreakBefore w:val="0"/>
              <w:widowControl w:val="0"/>
              <w:kinsoku/>
              <w:wordWrap/>
              <w:overflowPunct/>
              <w:topLinePunct w:val="0"/>
              <w:autoSpaceDE/>
              <w:autoSpaceDN/>
              <w:bidi w:val="0"/>
              <w:adjustRightInd/>
              <w:snapToGrid/>
              <w:spacing w:before="157" w:beforeLines="50"/>
              <w:ind w:left="0" w:leftChars="0" w:firstLine="482" w:firstLineChars="200"/>
              <w:jc w:val="left"/>
              <w:textAlignment w:val="auto"/>
              <w:rPr>
                <w:rFonts w:hint="eastAsia"/>
                <w:b/>
                <w:bCs/>
                <w:color w:val="auto"/>
                <w:lang w:val="en-US" w:eastAsia="zh-CN"/>
              </w:rPr>
            </w:pPr>
            <w:r>
              <w:rPr>
                <w:rFonts w:hint="eastAsia"/>
                <w:b/>
                <w:bCs/>
                <w:color w:val="auto"/>
                <w:lang w:val="en-US" w:eastAsia="zh-CN"/>
              </w:rPr>
              <w:t>1、与</w:t>
            </w:r>
            <w:r>
              <w:rPr>
                <w:rFonts w:hint="eastAsia"/>
                <w:b/>
                <w:bCs/>
                <w:color w:val="auto"/>
                <w:lang w:eastAsia="zh-CN"/>
              </w:rPr>
              <w:t>《</w:t>
            </w:r>
            <w:r>
              <w:rPr>
                <w:rFonts w:hint="eastAsia"/>
                <w:b/>
                <w:bCs/>
                <w:color w:val="auto"/>
                <w:lang w:val="en-US" w:eastAsia="zh-CN"/>
              </w:rPr>
              <w:t>寻甸回族彝族自治县国土空间规划（2021~2035年）</w:t>
            </w:r>
            <w:r>
              <w:rPr>
                <w:rFonts w:hint="eastAsia"/>
                <w:b/>
                <w:bCs/>
                <w:color w:val="auto"/>
                <w:lang w:eastAsia="zh-CN"/>
              </w:rPr>
              <w:t>》（</w:t>
            </w:r>
            <w:r>
              <w:rPr>
                <w:rFonts w:hint="eastAsia"/>
                <w:b/>
                <w:bCs/>
                <w:color w:val="auto"/>
                <w:lang w:val="en-US" w:eastAsia="zh-CN"/>
              </w:rPr>
              <w:t>草案公示稿</w:t>
            </w:r>
            <w:r>
              <w:rPr>
                <w:rFonts w:hint="eastAsia"/>
                <w:b/>
                <w:bCs/>
                <w:color w:val="auto"/>
                <w:lang w:eastAsia="zh-CN"/>
              </w:rPr>
              <w:t>）</w:t>
            </w:r>
            <w:r>
              <w:rPr>
                <w:rFonts w:hint="eastAsia"/>
                <w:b/>
                <w:bCs/>
                <w:color w:val="auto"/>
                <w:lang w:val="en-US" w:eastAsia="zh-CN"/>
              </w:rPr>
              <w:t>符合性分析</w:t>
            </w:r>
          </w:p>
          <w:p w14:paraId="677CB9DE">
            <w:pPr>
              <w:keepNext w:val="0"/>
              <w:keepLines w:val="0"/>
              <w:pageBreakBefore w:val="0"/>
              <w:widowControl/>
              <w:kinsoku/>
              <w:wordWrap/>
              <w:overflowPunct/>
              <w:topLinePunct w:val="0"/>
              <w:autoSpaceDE/>
              <w:autoSpaceDN/>
              <w:bidi w:val="0"/>
              <w:adjustRightInd/>
              <w:snapToGrid/>
              <w:ind w:firstLine="480" w:firstLineChars="200"/>
              <w:jc w:val="left"/>
              <w:textAlignment w:val="auto"/>
              <w:rPr>
                <w:rFonts w:hint="eastAsia"/>
                <w:lang w:val="en-US" w:eastAsia="zh-CN"/>
              </w:rPr>
            </w:pPr>
            <w:r>
              <w:rPr>
                <w:rFonts w:hint="eastAsia"/>
                <w:lang w:val="en-US" w:eastAsia="zh-CN"/>
              </w:rPr>
              <w:t>根据《寻甸回族彝族自治县国土空间规划（2021~2035年）》（草案公示稿），仁德街道作为综合发展区，是寻甸县城市经济发展的核心。</w:t>
            </w:r>
          </w:p>
          <w:p w14:paraId="478ABBC4">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lang w:val="en-US" w:eastAsia="zh-CN"/>
              </w:rPr>
            </w:pPr>
            <w:r>
              <w:rPr>
                <w:rFonts w:hint="eastAsia" w:ascii="Times New Roman" w:hAnsi="Times New Roman" w:eastAsia="宋体" w:cs="Times New Roman"/>
                <w:kern w:val="2"/>
                <w:sz w:val="24"/>
                <w:szCs w:val="22"/>
                <w:lang w:val="en-US" w:eastAsia="zh-CN" w:bidi="ar-SA"/>
              </w:rPr>
              <w:t>本项目位于寻甸县仁德街道道院社区大发古村石头山采石场内，位于东部江湖峡谷风貌片区，项目租赁</w:t>
            </w:r>
            <w:r>
              <w:rPr>
                <w:rFonts w:hint="eastAsia" w:cs="Times New Roman"/>
                <w:b w:val="0"/>
                <w:bCs w:val="0"/>
                <w:color w:val="000000" w:themeColor="text1"/>
                <w:sz w:val="24"/>
                <w:szCs w:val="24"/>
                <w:lang w:val="en-US" w:eastAsia="zh-CN"/>
                <w14:textFill>
                  <w14:solidFill>
                    <w14:schemeClr w14:val="tx1"/>
                  </w14:solidFill>
                </w14:textFill>
              </w:rPr>
              <w:t>云南龙泉矿业开发有限公司“45万吨/年普通建筑材料用石灰岩露天开采技术改造项目”用地范围内的空地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建设，不新增用地，</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根据20</w:t>
            </w:r>
            <w:r>
              <w:rPr>
                <w:rFonts w:hint="eastAsia" w:cs="Times New Roman"/>
                <w:b w:val="0"/>
                <w:bCs w:val="0"/>
                <w:color w:val="000000" w:themeColor="text1"/>
                <w:sz w:val="24"/>
                <w:szCs w:val="24"/>
                <w:highlight w:val="none"/>
                <w:lang w:val="en-US" w:eastAsia="zh-CN"/>
                <w14:textFill>
                  <w14:solidFill>
                    <w14:schemeClr w14:val="tx1"/>
                  </w14:solidFill>
                </w14:textFill>
              </w:rPr>
              <w:t>25</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年</w:t>
            </w:r>
            <w:r>
              <w:rPr>
                <w:rFonts w:hint="eastAsia" w:cs="Times New Roman"/>
                <w:b w:val="0"/>
                <w:bCs w:val="0"/>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月1</w:t>
            </w:r>
            <w:r>
              <w:rPr>
                <w:rFonts w:hint="eastAsia" w:cs="Times New Roman"/>
                <w:b w:val="0"/>
                <w:bCs w:val="0"/>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日寻甸回族彝族自治县</w:t>
            </w:r>
            <w:r>
              <w:rPr>
                <w:rFonts w:hint="eastAsia" w:cs="Times New Roman"/>
                <w:b w:val="0"/>
                <w:bCs w:val="0"/>
                <w:color w:val="000000" w:themeColor="text1"/>
                <w:sz w:val="24"/>
                <w:szCs w:val="24"/>
                <w:highlight w:val="none"/>
                <w:lang w:val="en-US" w:eastAsia="zh-CN"/>
                <w14:textFill>
                  <w14:solidFill>
                    <w14:schemeClr w14:val="tx1"/>
                  </w14:solidFill>
                </w14:textFill>
              </w:rPr>
              <w:t>自然</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资源局出具的《关于寻甸福兴宏盛土石方工程有限公司10万吨/年沥青混凝土搅拌站建设项目是否涉及生态红线及城镇开发边界的情况说明》</w:t>
            </w:r>
            <w:r>
              <w:rPr>
                <w:rFonts w:hint="eastAsia" w:cs="Times New Roman"/>
                <w:b w:val="0"/>
                <w:bCs w:val="0"/>
                <w:color w:val="000000" w:themeColor="text1"/>
                <w:sz w:val="24"/>
                <w:szCs w:val="24"/>
                <w:highlight w:val="none"/>
                <w:lang w:val="en-US" w:eastAsia="zh-CN"/>
                <w14:textFill>
                  <w14:solidFill>
                    <w14:schemeClr w14:val="tx1"/>
                  </w14:solidFill>
                </w14:textFill>
              </w:rPr>
              <w:t>和《关于寻甸福兴宏盛土石方工程有限公司10万吨/年沥青混凝土搅拌站建设项目范围是否涉及永久基本农田的说明》（见附件5）</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，项目用地范围不涉及占用生态红线</w:t>
            </w:r>
            <w:r>
              <w:rPr>
                <w:rFonts w:hint="eastAsia" w:cs="Times New Roman"/>
                <w:b w:val="0"/>
                <w:bCs w:val="0"/>
                <w:color w:val="000000" w:themeColor="text1"/>
                <w:sz w:val="24"/>
                <w:szCs w:val="24"/>
                <w:lang w:val="en-US" w:eastAsia="zh-CN"/>
                <w14:textFill>
                  <w14:solidFill>
                    <w14:schemeClr w14:val="tx1"/>
                  </w14:solidFill>
                </w14:textFill>
              </w:rPr>
              <w:t>和</w:t>
            </w:r>
            <w:r>
              <w:rPr>
                <w:rFonts w:hint="eastAsia" w:cs="Times New Roman"/>
                <w:b w:val="0"/>
                <w:bCs w:val="0"/>
                <w:color w:val="000000" w:themeColor="text1"/>
                <w:sz w:val="24"/>
                <w:szCs w:val="24"/>
                <w:highlight w:val="none"/>
                <w:lang w:val="en-US" w:eastAsia="zh-CN"/>
                <w14:textFill>
                  <w14:solidFill>
                    <w14:schemeClr w14:val="tx1"/>
                  </w14:solidFill>
                </w14:textFill>
              </w:rPr>
              <w:t>永久基本农田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auto"/>
                <w:sz w:val="24"/>
                <w:szCs w:val="24"/>
                <w:lang w:val="en-US" w:eastAsia="zh-CN"/>
              </w:rPr>
              <w:t>不在</w:t>
            </w:r>
            <w:r>
              <w:rPr>
                <w:rFonts w:hint="eastAsia" w:ascii="Times New Roman" w:hAnsi="Times New Roman" w:eastAsia="宋体" w:cs="Times New Roman"/>
                <w:b w:val="0"/>
                <w:bCs w:val="0"/>
                <w:color w:val="auto"/>
                <w:sz w:val="24"/>
                <w:szCs w:val="24"/>
                <w:highlight w:val="none"/>
                <w:lang w:val="en-US" w:eastAsia="zh-CN"/>
              </w:rPr>
              <w:t>城镇开发边界</w:t>
            </w:r>
            <w:r>
              <w:rPr>
                <w:rFonts w:hint="eastAsia" w:cs="Times New Roman"/>
                <w:b w:val="0"/>
                <w:bCs w:val="0"/>
                <w:color w:val="auto"/>
                <w:sz w:val="24"/>
                <w:szCs w:val="24"/>
                <w:highlight w:val="none"/>
                <w:lang w:val="en-US" w:eastAsia="zh-CN"/>
              </w:rPr>
              <w:t>内</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且项目已取得寻甸回族彝族自治县科学技术和工业信息化局关于本项目不进工业园区选址的批复（寻科工信复</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〔2025〕6</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号），项目与寻甸县国土空间规划不冲突，</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若后续与寻甸县国土空间规划发生冲突，将无条件配合寻甸县国土空间规划。</w:t>
            </w:r>
          </w:p>
        </w:tc>
      </w:tr>
      <w:tr w14:paraId="1D8340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2646" w:hRule="atLeast"/>
          <w:jc w:val="center"/>
        </w:trPr>
        <w:tc>
          <w:tcPr>
            <w:tcW w:w="430" w:type="dxa"/>
            <w:noWrap w:val="0"/>
            <w:vAlign w:val="center"/>
          </w:tcPr>
          <w:p w14:paraId="1350CA68">
            <w:pPr>
              <w:ind w:left="0" w:leftChars="0" w:firstLine="0" w:firstLineChars="0"/>
              <w:jc w:val="center"/>
              <w:rPr>
                <w:rFonts w:hint="eastAsia"/>
                <w:lang w:eastAsia="zh-CN"/>
              </w:rPr>
            </w:pPr>
            <w:r>
              <w:rPr>
                <w:rFonts w:hint="eastAsia"/>
                <w:lang w:eastAsia="zh-CN"/>
              </w:rPr>
              <w:t>其他符合性分析</w:t>
            </w:r>
          </w:p>
        </w:tc>
        <w:tc>
          <w:tcPr>
            <w:tcW w:w="8829" w:type="dxa"/>
            <w:gridSpan w:val="4"/>
            <w:noWrap w:val="0"/>
            <w:vAlign w:val="top"/>
          </w:tcPr>
          <w:p w14:paraId="621030B8">
            <w:pPr>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jc w:val="both"/>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一</w:t>
            </w:r>
            <w:r>
              <w:rPr>
                <w:rFonts w:hint="default" w:ascii="Times New Roman" w:hAnsi="Times New Roman" w:eastAsia="宋体" w:cs="Times New Roman"/>
                <w:b/>
                <w:color w:val="auto"/>
              </w:rPr>
              <w:t>、产业政策符合性分析</w:t>
            </w:r>
          </w:p>
          <w:p w14:paraId="5A550FD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本项目为</w:t>
            </w:r>
            <w:r>
              <w:rPr>
                <w:rFonts w:hint="eastAsia" w:ascii="Times New Roman" w:hAnsi="Times New Roman" w:eastAsia="宋体" w:cs="Times New Roman"/>
                <w:color w:val="000000" w:themeColor="text1"/>
                <w:sz w:val="24"/>
                <w14:textFill>
                  <w14:solidFill>
                    <w14:schemeClr w14:val="tx1"/>
                  </w14:solidFill>
                </w14:textFill>
              </w:rPr>
              <w:t>其他非金属矿物制品制造</w:t>
            </w:r>
            <w:r>
              <w:rPr>
                <w:rFonts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eastAsia="宋体" w:cs="Times New Roman"/>
                <w:color w:val="auto"/>
                <w:kern w:val="0"/>
                <w:sz w:val="24"/>
                <w:szCs w:val="24"/>
                <w:lang w:val="en-US" w:eastAsia="zh-CN" w:bidi="ar"/>
              </w:rPr>
              <w:t>不属于国家发展和改革委员会颁布的《产业结构调整指导目录》（2024年本）中限制类、淘汰类项目，根据国务院关于发布实施《促进产业结构调整暂行规定》的决定第三章产业结构调整指导目录第十三条</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不属于鼓励类、限制类和淘汰类，且符合国家有关法律、法规和政策规定的，为允许类</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，故本项目属于允许类建设项目。且项目于</w:t>
            </w:r>
            <w:r>
              <w:rPr>
                <w:rFonts w:hint="default" w:ascii="Times New Roman" w:hAnsi="Times New Roman" w:eastAsia="宋体" w:cs="Times New Roman"/>
                <w:color w:val="auto"/>
                <w:kern w:val="0"/>
                <w:szCs w:val="21"/>
                <w:highlight w:val="none"/>
              </w:rPr>
              <w:t>202</w:t>
            </w:r>
            <w:r>
              <w:rPr>
                <w:rFonts w:hint="eastAsia" w:cs="Times New Roman"/>
                <w:color w:val="auto"/>
                <w:kern w:val="0"/>
                <w:szCs w:val="21"/>
                <w:highlight w:val="none"/>
                <w:lang w:val="en-US" w:eastAsia="zh-CN"/>
              </w:rPr>
              <w:t>5</w:t>
            </w:r>
            <w:r>
              <w:rPr>
                <w:rFonts w:hint="default" w:ascii="Times New Roman" w:hAnsi="Times New Roman" w:eastAsia="宋体" w:cs="Times New Roman"/>
                <w:color w:val="auto"/>
                <w:kern w:val="0"/>
                <w:szCs w:val="21"/>
                <w:highlight w:val="none"/>
              </w:rPr>
              <w:t>年</w:t>
            </w:r>
            <w:r>
              <w:rPr>
                <w:rFonts w:hint="eastAsia" w:ascii="Times New Roman" w:hAnsi="Times New Roman" w:eastAsia="宋体" w:cs="Times New Roman"/>
                <w:color w:val="auto"/>
                <w:kern w:val="0"/>
                <w:szCs w:val="21"/>
                <w:highlight w:val="none"/>
                <w:lang w:val="en-US" w:eastAsia="zh-CN"/>
              </w:rPr>
              <w:t>3</w:t>
            </w:r>
            <w:r>
              <w:rPr>
                <w:rFonts w:hint="default" w:ascii="Times New Roman" w:hAnsi="Times New Roman" w:eastAsia="宋体" w:cs="Times New Roman"/>
                <w:color w:val="auto"/>
                <w:kern w:val="0"/>
                <w:szCs w:val="21"/>
                <w:highlight w:val="none"/>
              </w:rPr>
              <w:t>月</w:t>
            </w:r>
            <w:r>
              <w:rPr>
                <w:rFonts w:hint="default" w:ascii="Times New Roman" w:hAnsi="Times New Roman" w:eastAsia="宋体" w:cs="Times New Roman"/>
                <w:color w:val="auto"/>
                <w:kern w:val="0"/>
                <w:szCs w:val="21"/>
                <w:highlight w:val="none"/>
                <w:lang w:val="en-US" w:eastAsia="zh-CN"/>
              </w:rPr>
              <w:t>1</w:t>
            </w:r>
            <w:r>
              <w:rPr>
                <w:rFonts w:hint="eastAsia" w:ascii="Times New Roman" w:hAnsi="Times New Roman" w:eastAsia="宋体" w:cs="Times New Roman"/>
                <w:color w:val="auto"/>
                <w:kern w:val="0"/>
                <w:szCs w:val="21"/>
                <w:highlight w:val="none"/>
                <w:lang w:val="en-US" w:eastAsia="zh-CN"/>
              </w:rPr>
              <w:t>9</w:t>
            </w:r>
            <w:r>
              <w:rPr>
                <w:rFonts w:hint="default" w:ascii="Times New Roman" w:hAnsi="Times New Roman" w:eastAsia="宋体" w:cs="Times New Roman"/>
                <w:color w:val="auto"/>
                <w:kern w:val="0"/>
                <w:szCs w:val="21"/>
                <w:highlight w:val="none"/>
                <w:lang w:val="en-US" w:eastAsia="zh-CN"/>
              </w:rPr>
              <w:t>日</w:t>
            </w:r>
            <w:r>
              <w:rPr>
                <w:rFonts w:hint="default" w:ascii="Times New Roman" w:hAnsi="Times New Roman" w:eastAsia="宋体" w:cs="Times New Roman"/>
                <w:color w:val="auto"/>
                <w:kern w:val="0"/>
                <w:sz w:val="24"/>
                <w:szCs w:val="24"/>
                <w:lang w:val="en-US" w:eastAsia="zh-CN" w:bidi="ar"/>
              </w:rPr>
              <w:t>取得了</w:t>
            </w:r>
            <w:r>
              <w:rPr>
                <w:rFonts w:hint="eastAsia" w:cs="Times New Roman"/>
                <w:color w:val="auto"/>
                <w:sz w:val="24"/>
                <w:szCs w:val="24"/>
                <w:lang w:val="en-US" w:eastAsia="zh-CN"/>
              </w:rPr>
              <w:t>寻甸县</w:t>
            </w:r>
            <w:r>
              <w:rPr>
                <w:rFonts w:hint="default" w:ascii="Times New Roman" w:hAnsi="Times New Roman" w:eastAsia="宋体" w:cs="Times New Roman"/>
                <w:color w:val="auto"/>
                <w:sz w:val="24"/>
                <w:szCs w:val="24"/>
              </w:rPr>
              <w:t>发展和改革局</w:t>
            </w:r>
            <w:r>
              <w:rPr>
                <w:rFonts w:hint="default" w:ascii="Times New Roman" w:hAnsi="Times New Roman" w:eastAsia="宋体" w:cs="Times New Roman"/>
                <w:color w:val="auto"/>
                <w:kern w:val="0"/>
                <w:sz w:val="24"/>
                <w:szCs w:val="24"/>
                <w:lang w:val="en-US" w:eastAsia="zh-CN" w:bidi="ar"/>
              </w:rPr>
              <w:t>出具的投资项目备案证，</w:t>
            </w:r>
            <w:r>
              <w:rPr>
                <w:rFonts w:hint="default" w:ascii="Times New Roman" w:hAnsi="Times New Roman" w:eastAsia="宋体" w:cs="Times New Roman"/>
                <w:szCs w:val="24"/>
                <w:lang w:val="en-US" w:eastAsia="zh-CN"/>
              </w:rPr>
              <w:t>项目代码为：</w:t>
            </w:r>
            <w:r>
              <w:rPr>
                <w:rFonts w:hint="eastAsia" w:ascii="Times New Roman" w:hAnsi="Times New Roman" w:eastAsia="宋体" w:cs="Times New Roman"/>
                <w:szCs w:val="24"/>
                <w:lang w:val="en-US" w:eastAsia="zh-CN"/>
              </w:rPr>
              <w:t>250</w:t>
            </w:r>
            <w:r>
              <w:rPr>
                <w:rFonts w:hint="eastAsia"/>
                <w:szCs w:val="24"/>
                <w:lang w:val="en-US" w:eastAsia="zh-CN"/>
              </w:rPr>
              <w:t>4-530129-04-01-528969</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kern w:val="0"/>
                <w:sz w:val="24"/>
                <w:szCs w:val="24"/>
                <w:lang w:val="en-US" w:eastAsia="zh-CN" w:bidi="ar"/>
              </w:rPr>
              <w:t>因此，项目建设符合国家相关产业政策。</w:t>
            </w:r>
          </w:p>
          <w:p w14:paraId="68D190AC">
            <w:pPr>
              <w:keepNext w:val="0"/>
              <w:keepLines w:val="0"/>
              <w:widowControl/>
              <w:numPr>
                <w:ilvl w:val="0"/>
                <w:numId w:val="0"/>
              </w:numPr>
              <w:suppressLineNumbers w:val="0"/>
              <w:jc w:val="left"/>
            </w:pPr>
            <w:r>
              <w:rPr>
                <w:rFonts w:hint="eastAsia" w:ascii="Times New Roman" w:hAnsi="Times New Roman" w:eastAsia="宋体" w:cs="Times New Roman"/>
                <w:kern w:val="2"/>
                <w:sz w:val="24"/>
                <w:szCs w:val="24"/>
                <w:lang w:val="en-US" w:eastAsia="zh-CN" w:bidi="ar-SA"/>
              </w:rPr>
              <w:t>二、</w:t>
            </w:r>
            <w:r>
              <w:rPr>
                <w:rFonts w:hint="eastAsia"/>
                <w:b/>
                <w:bCs/>
                <w:lang w:val="en-US" w:eastAsia="zh-CN"/>
              </w:rPr>
              <w:t>与《昆明市生态环境分区管控动态更新方案（2023年）》符合性分析</w:t>
            </w:r>
          </w:p>
          <w:p w14:paraId="0BD0580D">
            <w:pPr>
              <w:ind w:firstLine="480"/>
              <w:rPr>
                <w:rFonts w:hint="eastAsia"/>
                <w:color w:val="0000FF"/>
                <w:lang w:val="en-US" w:eastAsia="zh-CN"/>
              </w:rPr>
            </w:pPr>
            <w:r>
              <w:rPr>
                <w:rFonts w:hint="eastAsia"/>
                <w:color w:val="000000" w:themeColor="text1"/>
                <w:lang w:val="en-US" w:eastAsia="zh-CN"/>
                <w14:textFill>
                  <w14:solidFill>
                    <w14:schemeClr w14:val="tx1"/>
                  </w14:solidFill>
                </w14:textFill>
              </w:rPr>
              <w:t>本项目位于云南省昆明市寻甸县仁德街道道院社区大发古村石头山采石场内</w:t>
            </w:r>
            <w:r>
              <w:rPr>
                <w:rFonts w:hint="eastAsia"/>
                <w:color w:val="0000FF"/>
                <w:lang w:val="en-US" w:eastAsia="zh-CN"/>
              </w:rPr>
              <w:t>，</w:t>
            </w:r>
            <w:r>
              <w:rPr>
                <w:rFonts w:hint="eastAsia"/>
                <w:color w:val="auto"/>
                <w:lang w:val="en-US" w:eastAsia="zh-CN"/>
              </w:rPr>
              <w:t>根据云南省生态环境分区管控公共服务查询平台</w:t>
            </w:r>
            <w:r>
              <w:rPr>
                <w:rFonts w:hint="eastAsia"/>
                <w:color w:val="auto"/>
                <w:sz w:val="24"/>
                <w:lang w:val="en-US" w:eastAsia="zh-CN"/>
              </w:rPr>
              <w:t>（http://183.224.17.39:19272/sxydyn#）</w:t>
            </w:r>
            <w:r>
              <w:rPr>
                <w:rFonts w:hint="eastAsia"/>
                <w:color w:val="auto"/>
                <w:lang w:val="en-US" w:eastAsia="zh-CN"/>
              </w:rPr>
              <w:t>查询，本项目位置属于</w:t>
            </w:r>
            <w:r>
              <w:rPr>
                <w:rFonts w:hint="eastAsia"/>
                <w:color w:val="auto"/>
                <w:highlight w:val="none"/>
                <w:lang w:val="en-US" w:eastAsia="zh-CN"/>
              </w:rPr>
              <w:t>寻甸回族彝族自治县矿产资源重点管控单元</w:t>
            </w:r>
            <w:r>
              <w:rPr>
                <w:rFonts w:hint="eastAsia"/>
                <w:color w:val="auto"/>
                <w:lang w:val="en-US" w:eastAsia="zh-CN"/>
              </w:rPr>
              <w:t>，查询结果如下图1-1。</w:t>
            </w:r>
          </w:p>
          <w:p w14:paraId="767D8812">
            <w:pPr>
              <w:ind w:left="0" w:leftChars="0" w:firstLine="0" w:firstLineChars="0"/>
              <w:jc w:val="center"/>
              <w:rPr>
                <w:rFonts w:hint="eastAsia"/>
                <w:color w:val="0000FF"/>
                <w:lang w:val="en-US" w:eastAsia="zh-CN"/>
              </w:rPr>
            </w:pPr>
            <w:r>
              <w:rPr>
                <w:rFonts w:hint="eastAsia"/>
                <w:color w:val="0000FF"/>
                <w:lang w:val="en-US" w:eastAsia="zh-CN"/>
              </w:rPr>
              <w:drawing>
                <wp:inline distT="0" distB="0" distL="114300" distR="114300">
                  <wp:extent cx="3954145" cy="4314190"/>
                  <wp:effectExtent l="0" t="0" r="8255" b="10160"/>
                  <wp:docPr id="1" name="图片 1" descr="D:/2025年项目/寻甸 混凝土生产/过程文件/矢量数据/管控单元截图20250708 (2)(1).jpg管控单元截图2025070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25年项目/寻甸 混凝土生产/过程文件/矢量数据/管控单元截图20250708 (2)(1).jpg管控单元截图20250708 (2)(1)"/>
                          <pic:cNvPicPr>
                            <a:picLocks noChangeAspect="1"/>
                          </pic:cNvPicPr>
                        </pic:nvPicPr>
                        <pic:blipFill>
                          <a:blip r:embed="rId15"/>
                          <a:srcRect l="7" r="7"/>
                          <a:stretch>
                            <a:fillRect/>
                          </a:stretch>
                        </pic:blipFill>
                        <pic:spPr>
                          <a:xfrm>
                            <a:off x="0" y="0"/>
                            <a:ext cx="3954145" cy="4314190"/>
                          </a:xfrm>
                          <a:prstGeom prst="rect">
                            <a:avLst/>
                          </a:prstGeom>
                        </pic:spPr>
                      </pic:pic>
                    </a:graphicData>
                  </a:graphic>
                </wp:inline>
              </w:drawing>
            </w:r>
          </w:p>
          <w:p w14:paraId="7D9A8B71">
            <w:pPr>
              <w:keepNext w:val="0"/>
              <w:keepLines w:val="0"/>
              <w:widowControl/>
              <w:numPr>
                <w:ilvl w:val="0"/>
                <w:numId w:val="0"/>
              </w:numPr>
              <w:suppressLineNumbers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图1-1 </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项目管控单元查询结果图</w:t>
            </w:r>
          </w:p>
          <w:p w14:paraId="668E8F2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本项目与《昆明市生态环境分区管控动态更新方案（2023年）》符合性分析详见下表1-2。</w:t>
            </w:r>
          </w:p>
          <w:p w14:paraId="378B480A">
            <w:pPr>
              <w:keepNext w:val="0"/>
              <w:keepLines w:val="0"/>
              <w:widowControl/>
              <w:numPr>
                <w:ilvl w:val="0"/>
                <w:numId w:val="0"/>
              </w:numPr>
              <w:suppressLineNumbers w:val="0"/>
              <w:jc w:val="center"/>
              <w:rPr>
                <w:rFonts w:hint="eastAsia"/>
                <w:b/>
                <w:bCs/>
                <w:lang w:val="en-US" w:eastAsia="zh-CN"/>
              </w:rPr>
            </w:pPr>
            <w:r>
              <w:rPr>
                <w:rFonts w:hint="default" w:ascii="Times New Roman" w:hAnsi="Times New Roman" w:eastAsia="宋体" w:cs="Times New Roman"/>
                <w:b/>
                <w:bCs/>
                <w:color w:val="auto"/>
                <w:kern w:val="0"/>
                <w:sz w:val="21"/>
                <w:szCs w:val="21"/>
                <w:lang w:val="en-US" w:eastAsia="zh-CN" w:bidi="ar"/>
              </w:rPr>
              <w:t>表1-</w:t>
            </w:r>
            <w:r>
              <w:rPr>
                <w:rFonts w:hint="eastAsia" w:cs="Times New Roman"/>
                <w:b/>
                <w:bCs/>
                <w:color w:val="auto"/>
                <w:kern w:val="0"/>
                <w:sz w:val="21"/>
                <w:szCs w:val="21"/>
                <w:lang w:val="en-US" w:eastAsia="zh-CN" w:bidi="ar"/>
              </w:rPr>
              <w:t xml:space="preserve">2  </w:t>
            </w:r>
            <w:r>
              <w:rPr>
                <w:rFonts w:hint="default" w:ascii="Times New Roman" w:hAnsi="Times New Roman" w:eastAsia="宋体" w:cs="Times New Roman"/>
                <w:b/>
                <w:bCs/>
                <w:color w:val="auto"/>
                <w:kern w:val="0"/>
                <w:sz w:val="21"/>
                <w:szCs w:val="21"/>
                <w:lang w:val="en-US" w:eastAsia="zh-CN" w:bidi="ar"/>
              </w:rPr>
              <w:t>与</w:t>
            </w:r>
            <w:r>
              <w:rPr>
                <w:rFonts w:hint="eastAsia" w:cs="Times New Roman"/>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昆明市</w:t>
            </w:r>
            <w:r>
              <w:rPr>
                <w:rFonts w:hint="eastAsia" w:cs="Times New Roman"/>
                <w:b/>
                <w:bCs/>
                <w:color w:val="auto"/>
                <w:kern w:val="0"/>
                <w:sz w:val="21"/>
                <w:szCs w:val="21"/>
                <w:lang w:val="en-US" w:eastAsia="zh-CN" w:bidi="ar"/>
              </w:rPr>
              <w:t>生态环境分区管控动态更新方案（2023年）》</w:t>
            </w:r>
            <w:r>
              <w:rPr>
                <w:rFonts w:hint="default" w:ascii="Times New Roman" w:hAnsi="Times New Roman" w:eastAsia="宋体" w:cs="Times New Roman"/>
                <w:b/>
                <w:bCs/>
                <w:color w:val="auto"/>
                <w:kern w:val="0"/>
                <w:sz w:val="21"/>
                <w:szCs w:val="21"/>
                <w:lang w:val="en-US" w:eastAsia="zh-CN" w:bidi="ar"/>
              </w:rPr>
              <w:t>符合性一览表</w:t>
            </w:r>
          </w:p>
          <w:tbl>
            <w:tblPr>
              <w:tblStyle w:val="16"/>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483"/>
              <w:gridCol w:w="4117"/>
              <w:gridCol w:w="3383"/>
              <w:gridCol w:w="317"/>
            </w:tblGrid>
            <w:tr w14:paraId="2C1F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1" w:type="dxa"/>
                  <w:noWrap w:val="0"/>
                  <w:vAlign w:val="center"/>
                </w:tcPr>
                <w:p w14:paraId="74C45DC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类别</w:t>
                  </w:r>
                </w:p>
              </w:tc>
              <w:tc>
                <w:tcPr>
                  <w:tcW w:w="4600" w:type="dxa"/>
                  <w:gridSpan w:val="2"/>
                  <w:noWrap w:val="0"/>
                  <w:vAlign w:val="center"/>
                </w:tcPr>
                <w:p w14:paraId="6719A58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文件内容</w:t>
                  </w:r>
                </w:p>
              </w:tc>
              <w:tc>
                <w:tcPr>
                  <w:tcW w:w="3383" w:type="dxa"/>
                  <w:noWrap w:val="0"/>
                  <w:vAlign w:val="center"/>
                </w:tcPr>
                <w:p w14:paraId="78ED643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相符性分析</w:t>
                  </w:r>
                </w:p>
              </w:tc>
              <w:tc>
                <w:tcPr>
                  <w:tcW w:w="317" w:type="dxa"/>
                  <w:noWrap w:val="0"/>
                  <w:vAlign w:val="center"/>
                </w:tcPr>
                <w:p w14:paraId="0E80149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1EC2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dxa"/>
                  <w:noWrap w:val="0"/>
                  <w:vAlign w:val="center"/>
                </w:tcPr>
                <w:p w14:paraId="1F0ECBC7">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生态保护红线</w:t>
                  </w:r>
                  <w:r>
                    <w:rPr>
                      <w:rFonts w:hint="eastAsia" w:cs="Times New Roman"/>
                      <w:b/>
                      <w:bCs/>
                      <w:color w:val="auto"/>
                      <w:kern w:val="0"/>
                      <w:sz w:val="21"/>
                      <w:szCs w:val="21"/>
                      <w:lang w:val="en-US" w:eastAsia="zh-CN" w:bidi="ar"/>
                    </w:rPr>
                    <w:t>和一般生态空间</w:t>
                  </w:r>
                </w:p>
              </w:tc>
              <w:tc>
                <w:tcPr>
                  <w:tcW w:w="4600" w:type="dxa"/>
                  <w:gridSpan w:val="2"/>
                  <w:noWrap w:val="0"/>
                  <w:vAlign w:val="center"/>
                </w:tcPr>
                <w:p w14:paraId="0B447C22">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tc>
              <w:tc>
                <w:tcPr>
                  <w:tcW w:w="3383" w:type="dxa"/>
                  <w:noWrap w:val="0"/>
                  <w:vAlign w:val="center"/>
                </w:tcPr>
                <w:p w14:paraId="6FD2B11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cs="Times New Roman"/>
                      <w:color w:val="auto"/>
                      <w:kern w:val="0"/>
                      <w:sz w:val="21"/>
                      <w:szCs w:val="21"/>
                      <w:lang w:val="en-US" w:eastAsia="zh-CN" w:bidi="ar"/>
                    </w:rPr>
                    <w:t>本</w:t>
                  </w:r>
                  <w:r>
                    <w:rPr>
                      <w:rFonts w:hint="default" w:ascii="Times New Roman" w:hAnsi="Times New Roman" w:eastAsia="宋体" w:cs="Times New Roman"/>
                      <w:color w:val="auto"/>
                      <w:kern w:val="0"/>
                      <w:sz w:val="21"/>
                      <w:szCs w:val="21"/>
                      <w:lang w:val="en-US" w:eastAsia="zh-CN" w:bidi="ar"/>
                    </w:rPr>
                    <w:t>项目位于</w:t>
                  </w:r>
                  <w:r>
                    <w:rPr>
                      <w:rFonts w:hint="eastAsia" w:cs="Times New Roman"/>
                      <w:color w:val="auto"/>
                      <w:kern w:val="0"/>
                      <w:sz w:val="21"/>
                      <w:szCs w:val="21"/>
                      <w:lang w:val="en-US" w:eastAsia="zh-CN" w:bidi="ar"/>
                    </w:rPr>
                    <w:t>昆明市寻甸县仁德街道道</w:t>
                  </w:r>
                  <w:r>
                    <w:rPr>
                      <w:rFonts w:hint="eastAsia" w:ascii="Times New Roman" w:hAnsi="Times New Roman" w:eastAsia="宋体" w:cs="Times New Roman"/>
                      <w:color w:val="auto"/>
                      <w:kern w:val="0"/>
                      <w:sz w:val="21"/>
                      <w:szCs w:val="21"/>
                      <w:lang w:val="en-US" w:eastAsia="zh-CN" w:bidi="ar"/>
                    </w:rPr>
                    <w:t>院社区大发古村石头山采石场内</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为租赁云南龙泉矿业开发有限公司采石场用地，根据</w:t>
                  </w:r>
                  <w:r>
                    <w:rPr>
                      <w:rFonts w:hint="eastAsia" w:cs="Times New Roman"/>
                      <w:color w:val="auto"/>
                      <w:kern w:val="0"/>
                      <w:sz w:val="21"/>
                      <w:szCs w:val="21"/>
                      <w:lang w:val="en-US" w:eastAsia="zh-CN" w:bidi="ar"/>
                    </w:rPr>
                    <w:t>项目三区三线查询结果</w:t>
                  </w:r>
                  <w:r>
                    <w:rPr>
                      <w:rFonts w:hint="eastAsia"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highlight w:val="none"/>
                      <w:lang w:val="en-US" w:eastAsia="zh-CN" w:bidi="ar"/>
                    </w:rPr>
                    <w:t>见附件</w:t>
                  </w:r>
                  <w:r>
                    <w:rPr>
                      <w:rFonts w:hint="eastAsia" w:cs="Times New Roman"/>
                      <w:color w:val="auto"/>
                      <w:kern w:val="0"/>
                      <w:sz w:val="21"/>
                      <w:szCs w:val="21"/>
                      <w:highlight w:val="none"/>
                      <w:lang w:val="en-US" w:eastAsia="zh-CN" w:bidi="ar"/>
                    </w:rPr>
                    <w:t>5</w:t>
                  </w:r>
                  <w:r>
                    <w:rPr>
                      <w:rFonts w:hint="eastAsia"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，本</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项目不占用生态红线。</w:t>
                  </w:r>
                </w:p>
              </w:tc>
              <w:tc>
                <w:tcPr>
                  <w:tcW w:w="317" w:type="dxa"/>
                  <w:noWrap w:val="0"/>
                  <w:vAlign w:val="center"/>
                </w:tcPr>
                <w:p w14:paraId="4170B69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1D16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371" w:type="dxa"/>
                  <w:vMerge w:val="restart"/>
                  <w:noWrap w:val="0"/>
                  <w:vAlign w:val="center"/>
                </w:tcPr>
                <w:p w14:paraId="7590268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环境质量底线</w:t>
                  </w:r>
                </w:p>
              </w:tc>
              <w:tc>
                <w:tcPr>
                  <w:tcW w:w="483" w:type="dxa"/>
                  <w:tcBorders>
                    <w:bottom w:val="single" w:color="000000" w:sz="4" w:space="0"/>
                    <w:right w:val="single" w:color="000000" w:sz="4" w:space="0"/>
                  </w:tcBorders>
                  <w:noWrap w:val="0"/>
                  <w:vAlign w:val="center"/>
                </w:tcPr>
                <w:p w14:paraId="08993EE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水环境质量底线</w:t>
                  </w:r>
                </w:p>
              </w:tc>
              <w:tc>
                <w:tcPr>
                  <w:tcW w:w="4117" w:type="dxa"/>
                  <w:tcBorders>
                    <w:left w:val="single" w:color="000000" w:sz="4" w:space="0"/>
                    <w:bottom w:val="single" w:color="000000" w:sz="4" w:space="0"/>
                  </w:tcBorders>
                  <w:noWrap w:val="0"/>
                  <w:vAlign w:val="center"/>
                </w:tcPr>
                <w:p w14:paraId="3D8F486B">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到2025年，昆明市地表水国控断面达到或好于Ⅲ类水体比例应达到81.5%，45个省控断面达到或好于Ⅲ类水体比例应达到80%，劣V类水体全面消除，县级及以上集中式饮用水水源地水质达标率100%</w:t>
                  </w:r>
                  <w:r>
                    <w:rPr>
                      <w:rFonts w:hint="eastAsia" w:cs="Times New Roman"/>
                      <w:color w:val="auto"/>
                      <w:kern w:val="0"/>
                      <w:sz w:val="21"/>
                      <w:szCs w:val="21"/>
                      <w:lang w:val="en-US" w:eastAsia="zh-CN" w:bidi="ar"/>
                    </w:rPr>
                    <w:t>。</w:t>
                  </w:r>
                </w:p>
              </w:tc>
              <w:tc>
                <w:tcPr>
                  <w:tcW w:w="3383" w:type="dxa"/>
                  <w:tcBorders>
                    <w:bottom w:val="single" w:color="000000" w:sz="4" w:space="0"/>
                  </w:tcBorders>
                  <w:noWrap w:val="0"/>
                  <w:vAlign w:val="center"/>
                </w:tcPr>
                <w:p w14:paraId="72722572">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项目</w:t>
                  </w:r>
                  <w:r>
                    <w:rPr>
                      <w:rFonts w:hint="eastAsia" w:ascii="Times New Roman" w:hAnsi="Times New Roman" w:eastAsia="宋体" w:cs="Times New Roman"/>
                      <w:b w:val="0"/>
                      <w:bCs w:val="0"/>
                      <w:color w:val="auto"/>
                      <w:kern w:val="0"/>
                      <w:sz w:val="21"/>
                      <w:szCs w:val="21"/>
                      <w:highlight w:val="none"/>
                      <w:vertAlign w:val="baseline"/>
                      <w:lang w:val="en-US" w:eastAsia="zh-CN" w:bidi="ar"/>
                    </w:rPr>
                    <w:t>所在</w:t>
                  </w:r>
                  <w:r>
                    <w:rPr>
                      <w:rFonts w:hint="eastAsia" w:ascii="Times New Roman" w:hAnsi="Times New Roman" w:eastAsia="宋体" w:cs="Times New Roman"/>
                      <w:color w:val="auto"/>
                      <w:kern w:val="0"/>
                      <w:sz w:val="21"/>
                      <w:szCs w:val="21"/>
                      <w:highlight w:val="none"/>
                      <w:lang w:val="en-US" w:eastAsia="zh-CN" w:bidi="ar"/>
                    </w:rPr>
                    <w:t>区域最近</w:t>
                  </w:r>
                  <w:r>
                    <w:rPr>
                      <w:rFonts w:hint="default" w:ascii="Times New Roman" w:hAnsi="Times New Roman" w:eastAsia="宋体" w:cs="Times New Roman"/>
                      <w:color w:val="auto"/>
                      <w:kern w:val="0"/>
                      <w:sz w:val="21"/>
                      <w:szCs w:val="21"/>
                      <w:highlight w:val="none"/>
                      <w:lang w:val="en-US" w:eastAsia="zh-CN" w:bidi="ar"/>
                    </w:rPr>
                    <w:t>地表水体为</w:t>
                  </w:r>
                  <w:r>
                    <w:rPr>
                      <w:rFonts w:hint="eastAsia" w:ascii="Times New Roman" w:hAnsi="Times New Roman" w:eastAsia="宋体" w:cs="Times New Roman"/>
                      <w:color w:val="auto"/>
                      <w:kern w:val="0"/>
                      <w:sz w:val="21"/>
                      <w:szCs w:val="21"/>
                      <w:highlight w:val="none"/>
                      <w:lang w:val="en-US" w:eastAsia="zh-CN" w:bidi="ar"/>
                    </w:rPr>
                    <w:t>初奈河（已干涸），初奈河经道院水库汇入前进河，前进河为牛栏江左侧一级支流，属</w:t>
                  </w:r>
                  <w:r>
                    <w:rPr>
                      <w:rFonts w:hint="default" w:ascii="Times New Roman" w:hAnsi="Times New Roman" w:eastAsia="宋体" w:cs="Times New Roman"/>
                      <w:color w:val="auto"/>
                      <w:kern w:val="0"/>
                      <w:sz w:val="21"/>
                      <w:szCs w:val="21"/>
                      <w:highlight w:val="none"/>
                      <w:lang w:val="en-US" w:eastAsia="zh-CN" w:bidi="ar"/>
                    </w:rPr>
                    <w:t>Ⅲ</w:t>
                  </w:r>
                  <w:r>
                    <w:rPr>
                      <w:rFonts w:hint="eastAsia" w:ascii="Times New Roman" w:hAnsi="Times New Roman" w:eastAsia="宋体" w:cs="Times New Roman"/>
                      <w:color w:val="auto"/>
                      <w:kern w:val="0"/>
                      <w:sz w:val="21"/>
                      <w:szCs w:val="21"/>
                      <w:highlight w:val="none"/>
                      <w:lang w:val="en-US" w:eastAsia="zh-CN" w:bidi="ar"/>
                    </w:rPr>
                    <w:t>类水体</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根据《2024年度昆明市生态环境状况公报》，</w:t>
                  </w:r>
                  <w:r>
                    <w:rPr>
                      <w:rFonts w:hint="default" w:ascii="Times New Roman" w:hAnsi="Times New Roman" w:eastAsia="宋体" w:cs="Times New Roman"/>
                      <w:color w:val="auto"/>
                      <w:kern w:val="0"/>
                      <w:sz w:val="21"/>
                      <w:szCs w:val="21"/>
                      <w:highlight w:val="none"/>
                      <w:lang w:val="en-US" w:eastAsia="zh-CN" w:bidi="ar"/>
                    </w:rPr>
                    <w:t>牛栏江与202</w:t>
                  </w:r>
                  <w:r>
                    <w:rPr>
                      <w:rFonts w:hint="eastAsia" w:ascii="Times New Roman" w:hAnsi="Times New Roman" w:eastAsia="宋体"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年相比，</w:t>
                  </w:r>
                  <w:r>
                    <w:rPr>
                      <w:rFonts w:hint="eastAsia" w:ascii="Times New Roman" w:hAnsi="Times New Roman" w:eastAsia="宋体" w:cs="Times New Roman"/>
                      <w:color w:val="auto"/>
                      <w:kern w:val="0"/>
                      <w:sz w:val="21"/>
                      <w:szCs w:val="21"/>
                      <w:highlight w:val="none"/>
                      <w:lang w:val="en-US" w:eastAsia="zh-CN" w:bidi="ar"/>
                    </w:rPr>
                    <w:t>牛栏江干流段的</w:t>
                  </w:r>
                  <w:r>
                    <w:rPr>
                      <w:rFonts w:hint="default" w:ascii="Times New Roman" w:hAnsi="Times New Roman" w:eastAsia="宋体" w:cs="Times New Roman"/>
                      <w:color w:val="auto"/>
                      <w:kern w:val="0"/>
                      <w:sz w:val="21"/>
                      <w:szCs w:val="21"/>
                      <w:highlight w:val="none"/>
                      <w:lang w:val="en-US" w:eastAsia="zh-CN" w:bidi="ar"/>
                    </w:rPr>
                    <w:t>四营水文站、崔家庄、七星水文站断面水质类别</w:t>
                  </w:r>
                  <w:r>
                    <w:rPr>
                      <w:rFonts w:hint="eastAsia" w:ascii="Times New Roman" w:hAnsi="Times New Roman" w:eastAsia="宋体" w:cs="Times New Roman"/>
                      <w:color w:val="auto"/>
                      <w:kern w:val="0"/>
                      <w:sz w:val="21"/>
                      <w:szCs w:val="21"/>
                      <w:highlight w:val="none"/>
                      <w:lang w:val="en-US" w:eastAsia="zh-CN" w:bidi="ar"/>
                    </w:rPr>
                    <w:t>保持</w:t>
                  </w:r>
                  <w:r>
                    <w:rPr>
                      <w:rFonts w:hint="default" w:ascii="Times New Roman" w:hAnsi="Times New Roman" w:eastAsia="宋体" w:cs="Times New Roman"/>
                      <w:color w:val="auto"/>
                      <w:kern w:val="0"/>
                      <w:sz w:val="21"/>
                      <w:szCs w:val="21"/>
                      <w:highlight w:val="none"/>
                      <w:lang w:val="en-US" w:eastAsia="zh-CN" w:bidi="ar"/>
                    </w:rPr>
                    <w:t>Ⅲ类</w:t>
                  </w:r>
                  <w:r>
                    <w:rPr>
                      <w:rFonts w:hint="eastAsia" w:ascii="Times New Roman" w:hAnsi="Times New Roman" w:eastAsia="宋体" w:cs="Times New Roman"/>
                      <w:color w:val="auto"/>
                      <w:kern w:val="0"/>
                      <w:sz w:val="21"/>
                      <w:szCs w:val="21"/>
                      <w:highlight w:val="none"/>
                      <w:lang w:val="en-US" w:eastAsia="zh-CN" w:bidi="ar"/>
                    </w:rPr>
                    <w:t>不变</w:t>
                  </w:r>
                  <w:r>
                    <w:rPr>
                      <w:rFonts w:hint="default" w:ascii="Times New Roman" w:hAnsi="Times New Roman" w:eastAsia="宋体" w:cs="Times New Roman"/>
                      <w:color w:val="auto"/>
                      <w:kern w:val="0"/>
                      <w:sz w:val="21"/>
                      <w:szCs w:val="21"/>
                      <w:highlight w:val="none"/>
                      <w:lang w:val="en-US" w:eastAsia="zh-CN" w:bidi="ar"/>
                    </w:rPr>
                    <w:t>；河口</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象鼻山吊桥</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断面水质类别保持Ⅱ类不变。</w:t>
                  </w:r>
                  <w:r>
                    <w:rPr>
                      <w:rFonts w:hint="eastAsia" w:cs="Times New Roman"/>
                      <w:color w:val="auto"/>
                      <w:kern w:val="0"/>
                      <w:sz w:val="21"/>
                      <w:szCs w:val="21"/>
                      <w:highlight w:val="none"/>
                      <w:lang w:val="en-US" w:eastAsia="zh-CN" w:bidi="ar"/>
                    </w:rPr>
                    <w:t>本项目产生废水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均不外排</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317" w:type="dxa"/>
                  <w:tcBorders>
                    <w:bottom w:val="single" w:color="000000" w:sz="4" w:space="0"/>
                  </w:tcBorders>
                  <w:noWrap w:val="0"/>
                  <w:vAlign w:val="center"/>
                </w:tcPr>
                <w:p w14:paraId="289E312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34FA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71" w:type="dxa"/>
                  <w:vMerge w:val="continue"/>
                  <w:noWrap w:val="0"/>
                  <w:vAlign w:val="center"/>
                </w:tcPr>
                <w:p w14:paraId="2BA6EE2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p>
              </w:tc>
              <w:tc>
                <w:tcPr>
                  <w:tcW w:w="483" w:type="dxa"/>
                  <w:tcBorders>
                    <w:top w:val="single" w:color="000000" w:sz="4" w:space="0"/>
                    <w:bottom w:val="single" w:color="000000" w:sz="4" w:space="0"/>
                    <w:right w:val="single" w:color="000000" w:sz="4" w:space="0"/>
                  </w:tcBorders>
                  <w:noWrap w:val="0"/>
                  <w:vAlign w:val="center"/>
                </w:tcPr>
                <w:p w14:paraId="4E6412D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大气环境质量底线</w:t>
                  </w:r>
                </w:p>
              </w:tc>
              <w:tc>
                <w:tcPr>
                  <w:tcW w:w="4117" w:type="dxa"/>
                  <w:tcBorders>
                    <w:top w:val="single" w:color="000000" w:sz="4" w:space="0"/>
                    <w:left w:val="single" w:color="000000" w:sz="4" w:space="0"/>
                    <w:bottom w:val="single" w:color="000000" w:sz="4" w:space="0"/>
                  </w:tcBorders>
                  <w:noWrap w:val="0"/>
                  <w:vAlign w:val="center"/>
                </w:tcPr>
                <w:p w14:paraId="6768F45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到2025年，空气质量优良天数比率达99.1%，细颗粒物（PM2.5）浓度不高于24微克/立方米，重污染天数为0。</w:t>
                  </w:r>
                </w:p>
              </w:tc>
              <w:tc>
                <w:tcPr>
                  <w:tcW w:w="3383" w:type="dxa"/>
                  <w:tcBorders>
                    <w:top w:val="single" w:color="000000" w:sz="4" w:space="0"/>
                    <w:bottom w:val="single" w:color="000000" w:sz="4" w:space="0"/>
                  </w:tcBorders>
                  <w:noWrap w:val="0"/>
                  <w:vAlign w:val="center"/>
                </w:tcPr>
                <w:p w14:paraId="21200C5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根据《202</w:t>
                  </w:r>
                  <w:r>
                    <w:rPr>
                      <w:rFonts w:hint="eastAsia" w:ascii="Times New Roman" w:hAnsi="Times New Roman" w:eastAsia="宋体" w:cs="Times New Roman"/>
                      <w:color w:val="auto"/>
                      <w:kern w:val="0"/>
                      <w:sz w:val="21"/>
                      <w:szCs w:val="21"/>
                      <w:highlight w:val="none"/>
                      <w:lang w:val="en-US" w:eastAsia="zh-CN" w:bidi="ar"/>
                    </w:rPr>
                    <w:t>4</w:t>
                  </w:r>
                  <w:r>
                    <w:rPr>
                      <w:rFonts w:hint="default" w:ascii="Times New Roman" w:hAnsi="Times New Roman" w:eastAsia="宋体" w:cs="Times New Roman"/>
                      <w:color w:val="auto"/>
                      <w:kern w:val="0"/>
                      <w:sz w:val="21"/>
                      <w:szCs w:val="21"/>
                      <w:highlight w:val="none"/>
                      <w:lang w:val="en-US" w:eastAsia="zh-CN" w:bidi="ar"/>
                    </w:rPr>
                    <w:t>年度昆明市生态环境状况公报》，2024年昆明市主城区外所辖的8个县</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市</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、区环境空气质量总体保持良好，各项污染物平均浓度均达到《环境空气质量标准》</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GB3095-2012</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二级标准</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空气优良天数比例范围为97.50%</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100%，与2023年相比，石林县、富民县、宜良县、东川区、</w:t>
                  </w:r>
                  <w:r>
                    <w:rPr>
                      <w:rFonts w:hint="eastAsia" w:ascii="Times New Roman" w:hAnsi="Times New Roman" w:eastAsia="宋体" w:cs="Times New Roman"/>
                      <w:color w:val="auto"/>
                      <w:kern w:val="0"/>
                      <w:sz w:val="21"/>
                      <w:szCs w:val="21"/>
                      <w:highlight w:val="none"/>
                      <w:lang w:val="en-US" w:eastAsia="zh-CN" w:bidi="ar"/>
                    </w:rPr>
                    <w:t>寻甸</w:t>
                  </w:r>
                  <w:r>
                    <w:rPr>
                      <w:rFonts w:hint="default" w:ascii="Times New Roman" w:hAnsi="Times New Roman" w:eastAsia="宋体" w:cs="Times New Roman"/>
                      <w:color w:val="auto"/>
                      <w:kern w:val="0"/>
                      <w:sz w:val="21"/>
                      <w:szCs w:val="21"/>
                      <w:highlight w:val="none"/>
                      <w:lang w:val="en-US" w:eastAsia="zh-CN" w:bidi="ar"/>
                    </w:rPr>
                    <w:t>县、</w:t>
                  </w:r>
                  <w:r>
                    <w:rPr>
                      <w:rFonts w:hint="eastAsia" w:ascii="Times New Roman" w:hAnsi="Times New Roman" w:eastAsia="宋体" w:cs="Times New Roman"/>
                      <w:color w:val="auto"/>
                      <w:kern w:val="0"/>
                      <w:sz w:val="21"/>
                      <w:szCs w:val="21"/>
                      <w:highlight w:val="none"/>
                      <w:lang w:val="en-US" w:eastAsia="zh-CN" w:bidi="ar"/>
                    </w:rPr>
                    <w:t>嵩</w:t>
                  </w:r>
                  <w:r>
                    <w:rPr>
                      <w:rFonts w:hint="default" w:ascii="Times New Roman" w:hAnsi="Times New Roman" w:eastAsia="宋体" w:cs="Times New Roman"/>
                      <w:color w:val="auto"/>
                      <w:kern w:val="0"/>
                      <w:sz w:val="21"/>
                      <w:szCs w:val="21"/>
                      <w:highlight w:val="none"/>
                      <w:lang w:val="en-US" w:eastAsia="zh-CN" w:bidi="ar"/>
                    </w:rPr>
                    <w:t>明县、</w:t>
                  </w:r>
                  <w:r>
                    <w:rPr>
                      <w:rFonts w:hint="eastAsia" w:ascii="Times New Roman" w:hAnsi="Times New Roman" w:eastAsia="宋体" w:cs="Times New Roman"/>
                      <w:color w:val="auto"/>
                      <w:kern w:val="0"/>
                      <w:sz w:val="21"/>
                      <w:szCs w:val="21"/>
                      <w:highlight w:val="none"/>
                      <w:lang w:val="en-US" w:eastAsia="zh-CN" w:bidi="ar"/>
                    </w:rPr>
                    <w:t>禄</w:t>
                  </w:r>
                  <w:r>
                    <w:rPr>
                      <w:rFonts w:hint="default" w:ascii="Times New Roman" w:hAnsi="Times New Roman" w:eastAsia="宋体" w:cs="Times New Roman"/>
                      <w:color w:val="auto"/>
                      <w:kern w:val="0"/>
                      <w:sz w:val="21"/>
                      <w:szCs w:val="21"/>
                      <w:highlight w:val="none"/>
                      <w:lang w:val="en-US" w:eastAsia="zh-CN" w:bidi="ar"/>
                    </w:rPr>
                    <w:t>劝县空气优良天数比例均有提高。</w:t>
                  </w:r>
                  <w:r>
                    <w:rPr>
                      <w:rFonts w:hint="eastAsia" w:ascii="Times New Roman" w:hAnsi="Times New Roman" w:eastAsia="宋体" w:cs="Times New Roman"/>
                      <w:color w:val="auto"/>
                      <w:kern w:val="0"/>
                      <w:sz w:val="21"/>
                      <w:szCs w:val="21"/>
                      <w:highlight w:val="none"/>
                      <w:lang w:val="en-US" w:eastAsia="zh-CN" w:bidi="ar"/>
                    </w:rPr>
                    <w:t>本</w:t>
                  </w:r>
                  <w:r>
                    <w:rPr>
                      <w:rFonts w:hint="default" w:ascii="Times New Roman" w:hAnsi="Times New Roman" w:eastAsia="宋体" w:cs="Times New Roman"/>
                      <w:color w:val="auto"/>
                      <w:kern w:val="0"/>
                      <w:sz w:val="21"/>
                      <w:szCs w:val="21"/>
                      <w:highlight w:val="none"/>
                      <w:lang w:val="en-US" w:eastAsia="zh-CN" w:bidi="ar"/>
                    </w:rPr>
                    <w:t>项目在建设运营过程中加强环境管理，严格落实设计及环评提出的各项废气污染防治措施，项目正常排放条件下废气污染物对环境的影响可接受。</w:t>
                  </w:r>
                </w:p>
              </w:tc>
              <w:tc>
                <w:tcPr>
                  <w:tcW w:w="317" w:type="dxa"/>
                  <w:tcBorders>
                    <w:top w:val="single" w:color="000000" w:sz="4" w:space="0"/>
                    <w:bottom w:val="single" w:color="000000" w:sz="4" w:space="0"/>
                  </w:tcBorders>
                  <w:noWrap w:val="0"/>
                  <w:vAlign w:val="center"/>
                </w:tcPr>
                <w:p w14:paraId="0D576A0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2CE0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71" w:type="dxa"/>
                  <w:vMerge w:val="continue"/>
                  <w:noWrap w:val="0"/>
                  <w:vAlign w:val="center"/>
                </w:tcPr>
                <w:p w14:paraId="13C0730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p>
              </w:tc>
              <w:tc>
                <w:tcPr>
                  <w:tcW w:w="483" w:type="dxa"/>
                  <w:tcBorders>
                    <w:top w:val="single" w:color="000000" w:sz="4" w:space="0"/>
                    <w:right w:val="single" w:color="000000" w:sz="4" w:space="0"/>
                  </w:tcBorders>
                  <w:noWrap w:val="0"/>
                  <w:vAlign w:val="center"/>
                </w:tcPr>
                <w:p w14:paraId="3C0E6B9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土壤环境风险防控</w:t>
                  </w:r>
                </w:p>
                <w:p w14:paraId="58C1B11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底线</w:t>
                  </w:r>
                </w:p>
              </w:tc>
              <w:tc>
                <w:tcPr>
                  <w:tcW w:w="4117" w:type="dxa"/>
                  <w:tcBorders>
                    <w:top w:val="single" w:color="000000" w:sz="4" w:space="0"/>
                    <w:left w:val="single" w:color="000000" w:sz="4" w:space="0"/>
                  </w:tcBorders>
                  <w:noWrap w:val="0"/>
                  <w:vAlign w:val="center"/>
                </w:tcPr>
                <w:p w14:paraId="5C94CDC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全市土壤环境质量总体保持稳定，局部稳中向好，受污染耕地安全利用率不低于90%，重点建设用地安全利用得到有效保障。</w:t>
                  </w:r>
                </w:p>
              </w:tc>
              <w:tc>
                <w:tcPr>
                  <w:tcW w:w="3383" w:type="dxa"/>
                  <w:tcBorders>
                    <w:top w:val="single" w:color="000000" w:sz="4" w:space="0"/>
                  </w:tcBorders>
                  <w:noWrap w:val="0"/>
                  <w:vAlign w:val="center"/>
                </w:tcPr>
                <w:p w14:paraId="76C7158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危险废物</w:t>
                  </w:r>
                  <w:r>
                    <w:rPr>
                      <w:rFonts w:hint="eastAsia" w:ascii="Times New Roman" w:hAnsi="Times New Roman" w:eastAsia="宋体" w:cs="Times New Roman"/>
                      <w:b w:val="0"/>
                      <w:bCs w:val="0"/>
                      <w:color w:val="auto"/>
                      <w:kern w:val="0"/>
                      <w:sz w:val="21"/>
                      <w:szCs w:val="21"/>
                      <w:vertAlign w:val="baseline"/>
                      <w:lang w:val="en-US" w:eastAsia="zh-CN" w:bidi="ar"/>
                    </w:rPr>
                    <w:t>依托采石场危险废物</w:t>
                  </w:r>
                  <w:r>
                    <w:rPr>
                      <w:rFonts w:hint="default" w:ascii="Times New Roman" w:hAnsi="Times New Roman" w:eastAsia="宋体" w:cs="Times New Roman"/>
                      <w:b w:val="0"/>
                      <w:bCs w:val="0"/>
                      <w:color w:val="auto"/>
                      <w:kern w:val="0"/>
                      <w:sz w:val="21"/>
                      <w:szCs w:val="21"/>
                      <w:vertAlign w:val="baseline"/>
                      <w:lang w:val="en-US" w:eastAsia="zh-CN" w:bidi="ar"/>
                    </w:rPr>
                    <w:t>暂存</w:t>
                  </w:r>
                  <w:r>
                    <w:rPr>
                      <w:rFonts w:hint="eastAsia" w:ascii="Times New Roman" w:hAnsi="Times New Roman" w:eastAsia="宋体" w:cs="Times New Roman"/>
                      <w:b w:val="0"/>
                      <w:bCs w:val="0"/>
                      <w:color w:val="auto"/>
                      <w:kern w:val="0"/>
                      <w:sz w:val="21"/>
                      <w:szCs w:val="21"/>
                      <w:vertAlign w:val="baseline"/>
                      <w:lang w:val="en-US" w:eastAsia="zh-CN" w:bidi="ar"/>
                    </w:rPr>
                    <w:t>间（5m</w:t>
                  </w:r>
                  <w:r>
                    <w:rPr>
                      <w:rFonts w:hint="eastAsia" w:ascii="Times New Roman" w:hAnsi="Times New Roman" w:eastAsia="宋体" w:cs="Times New Roman"/>
                      <w:b w:val="0"/>
                      <w:bCs w:val="0"/>
                      <w:color w:val="auto"/>
                      <w:kern w:val="0"/>
                      <w:sz w:val="21"/>
                      <w:szCs w:val="21"/>
                      <w:vertAlign w:val="superscript"/>
                      <w:lang w:val="en-US" w:eastAsia="zh-CN" w:bidi="ar"/>
                    </w:rPr>
                    <w:t>2</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w:t>
                  </w:r>
                  <w:r>
                    <w:rPr>
                      <w:rFonts w:hint="eastAsia" w:ascii="Times New Roman" w:hAnsi="Times New Roman" w:eastAsia="宋体" w:cs="Times New Roman"/>
                      <w:b w:val="0"/>
                      <w:bCs w:val="0"/>
                      <w:color w:val="auto"/>
                      <w:kern w:val="0"/>
                      <w:sz w:val="21"/>
                      <w:szCs w:val="21"/>
                      <w:vertAlign w:val="baseline"/>
                      <w:lang w:val="en-US" w:eastAsia="zh-CN" w:bidi="ar"/>
                    </w:rPr>
                    <w:t>定期</w:t>
                  </w:r>
                  <w:r>
                    <w:rPr>
                      <w:rFonts w:hint="default" w:ascii="Times New Roman" w:hAnsi="Times New Roman" w:eastAsia="宋体" w:cs="Times New Roman"/>
                      <w:b w:val="0"/>
                      <w:bCs w:val="0"/>
                      <w:color w:val="auto"/>
                      <w:kern w:val="0"/>
                      <w:sz w:val="21"/>
                      <w:szCs w:val="21"/>
                      <w:vertAlign w:val="baseline"/>
                      <w:lang w:val="en-US" w:eastAsia="zh-CN" w:bidi="ar"/>
                    </w:rPr>
                    <w:t>委托有资质单位定期处置，对土壤环境质量影响较小。</w:t>
                  </w:r>
                </w:p>
              </w:tc>
              <w:tc>
                <w:tcPr>
                  <w:tcW w:w="317" w:type="dxa"/>
                  <w:tcBorders>
                    <w:top w:val="single" w:color="000000" w:sz="4" w:space="0"/>
                  </w:tcBorders>
                  <w:noWrap w:val="0"/>
                  <w:vAlign w:val="center"/>
                </w:tcPr>
                <w:p w14:paraId="796BBF6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7CA0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71" w:type="dxa"/>
                  <w:vMerge w:val="restart"/>
                  <w:noWrap w:val="0"/>
                  <w:vAlign w:val="center"/>
                </w:tcPr>
                <w:p w14:paraId="0C321FB6">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2F5FA82B">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747E25D1">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3E8B6909">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6D4DA116">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p>
                <w:p w14:paraId="75CCE194">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资源利用上线</w:t>
                  </w:r>
                </w:p>
              </w:tc>
              <w:tc>
                <w:tcPr>
                  <w:tcW w:w="483" w:type="dxa"/>
                  <w:tcBorders>
                    <w:bottom w:val="single" w:color="000000" w:sz="4" w:space="0"/>
                    <w:right w:val="single" w:color="000000" w:sz="4" w:space="0"/>
                  </w:tcBorders>
                  <w:noWrap w:val="0"/>
                  <w:vAlign w:val="center"/>
                </w:tcPr>
                <w:p w14:paraId="6172E55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水资源利用上线</w:t>
                  </w:r>
                </w:p>
              </w:tc>
              <w:tc>
                <w:tcPr>
                  <w:tcW w:w="4117" w:type="dxa"/>
                  <w:tcBorders>
                    <w:left w:val="single" w:color="000000" w:sz="4" w:space="0"/>
                    <w:bottom w:val="single" w:color="000000" w:sz="4" w:space="0"/>
                  </w:tcBorders>
                  <w:noWrap w:val="0"/>
                  <w:vAlign w:val="center"/>
                </w:tcPr>
                <w:p w14:paraId="5BA6300B">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到2025年，按照国家、省、市有关要求和规划，按时完成全市用水总量、用水效率、限制纳污</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三条红线</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水资源上限控制指标；</w:t>
                  </w:r>
                </w:p>
              </w:tc>
              <w:tc>
                <w:tcPr>
                  <w:tcW w:w="3383" w:type="dxa"/>
                  <w:tcBorders>
                    <w:bottom w:val="single" w:color="000000" w:sz="4" w:space="0"/>
                  </w:tcBorders>
                  <w:noWrap w:val="0"/>
                  <w:vAlign w:val="center"/>
                </w:tcPr>
                <w:p w14:paraId="22E08DC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本项目用水量较少，不会突破水资源利用上限。</w:t>
                  </w:r>
                </w:p>
              </w:tc>
              <w:tc>
                <w:tcPr>
                  <w:tcW w:w="317" w:type="dxa"/>
                  <w:tcBorders>
                    <w:bottom w:val="single" w:color="000000" w:sz="4" w:space="0"/>
                  </w:tcBorders>
                  <w:noWrap w:val="0"/>
                  <w:vAlign w:val="center"/>
                </w:tcPr>
                <w:p w14:paraId="5C4E131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1CC46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4" w:hRule="atLeast"/>
                <w:jc w:val="center"/>
              </w:trPr>
              <w:tc>
                <w:tcPr>
                  <w:tcW w:w="371" w:type="dxa"/>
                  <w:vMerge w:val="continue"/>
                  <w:noWrap w:val="0"/>
                  <w:vAlign w:val="center"/>
                </w:tcPr>
                <w:p w14:paraId="34B48A4D">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83" w:type="dxa"/>
                  <w:tcBorders>
                    <w:top w:val="single" w:color="000000" w:sz="4" w:space="0"/>
                    <w:bottom w:val="single" w:color="000000" w:sz="4" w:space="0"/>
                    <w:right w:val="single" w:color="000000" w:sz="4" w:space="0"/>
                  </w:tcBorders>
                  <w:noWrap w:val="0"/>
                  <w:vAlign w:val="center"/>
                </w:tcPr>
                <w:p w14:paraId="557E4B9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土地资源利用上线</w:t>
                  </w:r>
                </w:p>
              </w:tc>
              <w:tc>
                <w:tcPr>
                  <w:tcW w:w="4117" w:type="dxa"/>
                  <w:tcBorders>
                    <w:top w:val="single" w:color="000000" w:sz="4" w:space="0"/>
                    <w:left w:val="single" w:color="000000" w:sz="4" w:space="0"/>
                    <w:bottom w:val="single" w:color="000000" w:sz="4" w:space="0"/>
                  </w:tcBorders>
                  <w:noWrap w:val="0"/>
                  <w:vAlign w:val="center"/>
                </w:tcPr>
                <w:p w14:paraId="1C2520D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按时完成耕地保有量、基本农田保护面积、建设用地总规模等土地资源利用上限控制指标；</w:t>
                  </w:r>
                </w:p>
              </w:tc>
              <w:tc>
                <w:tcPr>
                  <w:tcW w:w="3383" w:type="dxa"/>
                  <w:tcBorders>
                    <w:top w:val="single" w:color="000000" w:sz="4" w:space="0"/>
                    <w:bottom w:val="single" w:color="000000" w:sz="4" w:space="0"/>
                  </w:tcBorders>
                  <w:noWrap w:val="0"/>
                  <w:vAlign w:val="center"/>
                </w:tcPr>
                <w:p w14:paraId="401FB3A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eastAsia" w:cs="Times New Roman"/>
                      <w:b w:val="0"/>
                      <w:bCs w:val="0"/>
                      <w:color w:val="000000" w:themeColor="text1"/>
                      <w:kern w:val="0"/>
                      <w:sz w:val="21"/>
                      <w:szCs w:val="21"/>
                      <w:vertAlign w:val="baseline"/>
                      <w:lang w:val="en-US" w:eastAsia="zh-CN" w:bidi="ar"/>
                      <w14:textFill>
                        <w14:solidFill>
                          <w14:schemeClr w14:val="tx1"/>
                        </w14:solidFill>
                      </w14:textFill>
                    </w:rPr>
                    <w:t>本项</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目</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用地为</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租赁云南龙泉矿业开发有限公司采石场用地，不新增用地</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本项目</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不涉及</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耕地、永久</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基本农田，不会突破土地利用上限。</w:t>
                  </w:r>
                </w:p>
              </w:tc>
              <w:tc>
                <w:tcPr>
                  <w:tcW w:w="317" w:type="dxa"/>
                  <w:tcBorders>
                    <w:top w:val="single" w:color="000000" w:sz="4" w:space="0"/>
                    <w:bottom w:val="single" w:color="000000" w:sz="4" w:space="0"/>
                  </w:tcBorders>
                  <w:noWrap w:val="0"/>
                  <w:vAlign w:val="center"/>
                </w:tcPr>
                <w:p w14:paraId="75EDE1C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0067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7" w:hRule="atLeast"/>
                <w:jc w:val="center"/>
              </w:trPr>
              <w:tc>
                <w:tcPr>
                  <w:tcW w:w="371" w:type="dxa"/>
                  <w:vMerge w:val="continue"/>
                  <w:noWrap w:val="0"/>
                  <w:vAlign w:val="center"/>
                </w:tcPr>
                <w:p w14:paraId="2B3C7051">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83" w:type="dxa"/>
                  <w:tcBorders>
                    <w:top w:val="single" w:color="000000" w:sz="4" w:space="0"/>
                    <w:right w:val="single" w:color="000000" w:sz="4" w:space="0"/>
                  </w:tcBorders>
                  <w:noWrap w:val="0"/>
                  <w:vAlign w:val="center"/>
                </w:tcPr>
                <w:p w14:paraId="05B6EBA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能源利用上线</w:t>
                  </w:r>
                </w:p>
              </w:tc>
              <w:tc>
                <w:tcPr>
                  <w:tcW w:w="4117" w:type="dxa"/>
                  <w:tcBorders>
                    <w:top w:val="single" w:color="000000" w:sz="4" w:space="0"/>
                    <w:left w:val="single" w:color="000000" w:sz="4" w:space="0"/>
                  </w:tcBorders>
                  <w:noWrap w:val="0"/>
                  <w:vAlign w:val="center"/>
                </w:tcPr>
                <w:p w14:paraId="4A84B8D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按时完成单位GDP能耗下降率、能源消费总量等能源控制指标。</w:t>
                  </w:r>
                </w:p>
              </w:tc>
              <w:tc>
                <w:tcPr>
                  <w:tcW w:w="3383" w:type="dxa"/>
                  <w:tcBorders>
                    <w:top w:val="single" w:color="000000" w:sz="4" w:space="0"/>
                  </w:tcBorders>
                  <w:noWrap w:val="0"/>
                  <w:vAlign w:val="center"/>
                </w:tcPr>
                <w:p w14:paraId="29B3074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本项目能耗主要为电能，不属于高耗能企业。</w:t>
                  </w:r>
                </w:p>
              </w:tc>
              <w:tc>
                <w:tcPr>
                  <w:tcW w:w="317" w:type="dxa"/>
                  <w:tcBorders>
                    <w:top w:val="single" w:color="000000" w:sz="4" w:space="0"/>
                  </w:tcBorders>
                  <w:noWrap w:val="0"/>
                  <w:vAlign w:val="center"/>
                </w:tcPr>
                <w:p w14:paraId="152CC79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4FB0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1" w:hRule="atLeast"/>
                <w:jc w:val="center"/>
              </w:trPr>
              <w:tc>
                <w:tcPr>
                  <w:tcW w:w="371" w:type="dxa"/>
                  <w:vMerge w:val="restart"/>
                  <w:noWrap w:val="0"/>
                  <w:vAlign w:val="center"/>
                </w:tcPr>
                <w:p w14:paraId="68B378C4">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rPr>
                  </w:pPr>
                  <w:r>
                    <w:rPr>
                      <w:rFonts w:hint="eastAsia" w:cs="Times New Roman"/>
                      <w:b/>
                      <w:bCs/>
                      <w:color w:val="auto"/>
                      <w:kern w:val="0"/>
                      <w:sz w:val="21"/>
                      <w:szCs w:val="21"/>
                      <w:lang w:val="en-US" w:eastAsia="zh-CN" w:bidi="ar"/>
                    </w:rPr>
                    <w:t>昆明市</w:t>
                  </w:r>
                  <w:r>
                    <w:rPr>
                      <w:rFonts w:hint="default" w:ascii="Times New Roman" w:hAnsi="Times New Roman" w:eastAsia="宋体" w:cs="Times New Roman"/>
                      <w:b/>
                      <w:bCs/>
                      <w:color w:val="auto"/>
                      <w:kern w:val="0"/>
                      <w:sz w:val="21"/>
                      <w:szCs w:val="21"/>
                      <w:lang w:val="en-US" w:eastAsia="zh-CN" w:bidi="ar"/>
                    </w:rPr>
                    <w:t>生态</w:t>
                  </w:r>
                </w:p>
                <w:p w14:paraId="2DA21A0B">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
                    </w:rPr>
                    <w:t>环境</w:t>
                  </w:r>
                </w:p>
                <w:p w14:paraId="25D98127">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b/>
                      <w:bCs/>
                      <w:color w:val="auto"/>
                      <w:sz w:val="21"/>
                      <w:szCs w:val="21"/>
                    </w:rPr>
                  </w:pPr>
                  <w:r>
                    <w:rPr>
                      <w:rFonts w:hint="eastAsia" w:cs="Times New Roman"/>
                      <w:b/>
                      <w:bCs/>
                      <w:color w:val="auto"/>
                      <w:kern w:val="0"/>
                      <w:sz w:val="21"/>
                      <w:szCs w:val="21"/>
                      <w:lang w:val="en-US" w:eastAsia="zh-CN" w:bidi="ar"/>
                    </w:rPr>
                    <w:t>管控总体</w:t>
                  </w:r>
                  <w:r>
                    <w:rPr>
                      <w:rFonts w:hint="default" w:ascii="Times New Roman" w:hAnsi="Times New Roman" w:eastAsia="宋体" w:cs="Times New Roman"/>
                      <w:b/>
                      <w:bCs/>
                      <w:color w:val="auto"/>
                      <w:kern w:val="0"/>
                      <w:sz w:val="21"/>
                      <w:szCs w:val="21"/>
                      <w:lang w:val="en-US" w:eastAsia="zh-CN" w:bidi="ar"/>
                    </w:rPr>
                    <w:t>准入</w:t>
                  </w:r>
                </w:p>
                <w:p w14:paraId="37574380">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b/>
                      <w:bCs/>
                      <w:color w:val="auto"/>
                      <w:kern w:val="0"/>
                      <w:sz w:val="21"/>
                      <w:szCs w:val="21"/>
                      <w:lang w:val="en-US" w:eastAsia="zh-CN" w:bidi="ar"/>
                    </w:rPr>
                    <w:t>要求</w:t>
                  </w:r>
                </w:p>
              </w:tc>
              <w:tc>
                <w:tcPr>
                  <w:tcW w:w="483" w:type="dxa"/>
                  <w:tcBorders>
                    <w:bottom w:val="single" w:color="000000" w:sz="4" w:space="0"/>
                  </w:tcBorders>
                  <w:noWrap w:val="0"/>
                  <w:vAlign w:val="center"/>
                </w:tcPr>
                <w:p w14:paraId="61D2AEA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空间布局约束</w:t>
                  </w:r>
                </w:p>
              </w:tc>
              <w:tc>
                <w:tcPr>
                  <w:tcW w:w="4117" w:type="dxa"/>
                  <w:noWrap w:val="0"/>
                  <w:vAlign w:val="center"/>
                </w:tcPr>
                <w:p w14:paraId="1C96679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1.根据《昆明市国土空间总体规划（2021—2035年）》进行空间管控。</w:t>
                  </w:r>
                </w:p>
                <w:p w14:paraId="0E1341D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2.牛栏江流域内，严格按照《云南省牛栏江保护条例》相关要求对水环境进行分区管控。</w:t>
                  </w:r>
                </w:p>
                <w:p w14:paraId="34279B6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3.滇池流域内，严格按照《云南省滇池湖滨生态红线及湖泊生态黄</w:t>
                  </w:r>
                  <w:r>
                    <w:rPr>
                      <w:rFonts w:hint="eastAsia" w:ascii="宋体" w:hAnsi="宋体" w:eastAsia="宋体" w:cs="宋体"/>
                      <w:color w:val="auto"/>
                      <w:kern w:val="0"/>
                      <w:sz w:val="21"/>
                      <w:szCs w:val="21"/>
                      <w:lang w:val="en-US" w:eastAsia="zh-CN" w:bidi="ar"/>
                    </w:rPr>
                    <w:t>线“两线”划</w:t>
                  </w:r>
                  <w:r>
                    <w:rPr>
                      <w:rFonts w:hint="default" w:ascii="Times New Roman" w:hAnsi="Times New Roman" w:eastAsia="宋体" w:cs="Times New Roman"/>
                      <w:color w:val="auto"/>
                      <w:kern w:val="0"/>
                      <w:sz w:val="21"/>
                      <w:szCs w:val="21"/>
                      <w:lang w:val="en-US" w:eastAsia="zh-CN" w:bidi="ar"/>
                    </w:rPr>
                    <w:t>定方案》相关要求进行分区管控。</w:t>
                  </w:r>
                </w:p>
                <w:p w14:paraId="6D353F8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4.阳宗海流域内，严格按照《云南省阳宗海湖滨生态红线及湖泊生态黄</w:t>
                  </w:r>
                  <w:r>
                    <w:rPr>
                      <w:rFonts w:hint="eastAsia" w:ascii="宋体" w:hAnsi="宋体" w:eastAsia="宋体" w:cs="宋体"/>
                      <w:color w:val="auto"/>
                      <w:kern w:val="0"/>
                      <w:sz w:val="21"/>
                      <w:szCs w:val="21"/>
                      <w:lang w:val="en-US" w:eastAsia="zh-CN" w:bidi="ar"/>
                    </w:rPr>
                    <w:t>线“两线”划</w:t>
                  </w:r>
                  <w:r>
                    <w:rPr>
                      <w:rFonts w:hint="default" w:ascii="Times New Roman" w:hAnsi="Times New Roman" w:eastAsia="宋体" w:cs="Times New Roman"/>
                      <w:color w:val="auto"/>
                      <w:kern w:val="0"/>
                      <w:sz w:val="21"/>
                      <w:szCs w:val="21"/>
                      <w:lang w:val="en-US" w:eastAsia="zh-CN" w:bidi="ar"/>
                    </w:rPr>
                    <w:t>定方案》相关要求进行分区管控。</w:t>
                  </w:r>
                </w:p>
              </w:tc>
              <w:tc>
                <w:tcPr>
                  <w:tcW w:w="3383" w:type="dxa"/>
                  <w:noWrap w:val="0"/>
                  <w:vAlign w:val="center"/>
                </w:tcPr>
                <w:p w14:paraId="64197D8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kern w:val="0"/>
                      <w:sz w:val="21"/>
                      <w:szCs w:val="21"/>
                      <w:lang w:val="en-US" w:eastAsia="zh-CN" w:bidi="ar-SA"/>
                    </w:rPr>
                    <w:t>本项目租赁云南龙泉矿业开发有限公司采石场用地建设生产，经附件5可知，项目不占用生态红线范围，且已取得寻甸回族彝族自治县科学技术和工业信息化局出具的不经工业园区选址的批复（寻科工信</w:t>
                  </w:r>
                  <w:r>
                    <w:rPr>
                      <w:rFonts w:hint="default" w:ascii="Times New Roman" w:hAnsi="Times New Roman" w:eastAsia="宋体" w:cs="Times New Roman"/>
                      <w:kern w:val="0"/>
                      <w:sz w:val="21"/>
                      <w:szCs w:val="21"/>
                      <w:lang w:val="en-US" w:eastAsia="zh-CN" w:bidi="ar-SA"/>
                    </w:rPr>
                    <w:t>复〔2025〕</w:t>
                  </w:r>
                  <w:r>
                    <w:rPr>
                      <w:rFonts w:hint="eastAsia" w:ascii="Times New Roman" w:hAnsi="Times New Roman" w:eastAsia="宋体" w:cs="Times New Roman"/>
                      <w:kern w:val="0"/>
                      <w:sz w:val="21"/>
                      <w:szCs w:val="21"/>
                      <w:lang w:val="en-US" w:eastAsia="zh-CN" w:bidi="ar-SA"/>
                    </w:rPr>
                    <w:t>6号），根据前文分析，项目与《寻甸回族彝族自治县国土空间总体规划（2021-2035）》（草案公示稿）不冲突。项目位于牛栏江支流，</w:t>
                  </w:r>
                  <w:r>
                    <w:rPr>
                      <w:rFonts w:hint="default" w:ascii="Times New Roman" w:hAnsi="Times New Roman" w:eastAsia="宋体" w:cs="Times New Roman"/>
                      <w:kern w:val="0"/>
                      <w:sz w:val="21"/>
                      <w:szCs w:val="21"/>
                      <w:lang w:val="en-US" w:eastAsia="zh-CN" w:bidi="ar-SA"/>
                    </w:rPr>
                    <w:t>严格</w:t>
                  </w:r>
                  <w:r>
                    <w:rPr>
                      <w:rFonts w:hint="eastAsia" w:ascii="Times New Roman" w:hAnsi="Times New Roman" w:eastAsia="宋体" w:cs="Times New Roman"/>
                      <w:kern w:val="0"/>
                      <w:sz w:val="21"/>
                      <w:szCs w:val="21"/>
                      <w:lang w:val="en-US" w:eastAsia="zh-CN" w:bidi="ar-SA"/>
                    </w:rPr>
                    <w:t>遵照</w:t>
                  </w:r>
                  <w:r>
                    <w:rPr>
                      <w:rFonts w:hint="default" w:ascii="Times New Roman" w:hAnsi="Times New Roman" w:eastAsia="宋体" w:cs="Times New Roman"/>
                      <w:kern w:val="0"/>
                      <w:sz w:val="21"/>
                      <w:szCs w:val="21"/>
                      <w:lang w:val="en-US" w:eastAsia="zh-CN" w:bidi="ar-SA"/>
                    </w:rPr>
                    <w:t>《云南省牛栏</w:t>
                  </w:r>
                  <w:r>
                    <w:rPr>
                      <w:rFonts w:hint="default" w:ascii="Times New Roman" w:hAnsi="Times New Roman" w:eastAsia="宋体" w:cs="Times New Roman"/>
                      <w:color w:val="auto"/>
                      <w:kern w:val="0"/>
                      <w:sz w:val="21"/>
                      <w:szCs w:val="21"/>
                      <w:lang w:val="en-US" w:eastAsia="zh-CN" w:bidi="ar"/>
                    </w:rPr>
                    <w:t>江保护条例》相关要求</w:t>
                  </w:r>
                  <w:r>
                    <w:rPr>
                      <w:rFonts w:hint="eastAsia"/>
                      <w:color w:val="auto"/>
                      <w:sz w:val="21"/>
                      <w:szCs w:val="21"/>
                      <w:lang w:val="en-US" w:eastAsia="zh-CN"/>
                    </w:rPr>
                    <w:t>。</w:t>
                  </w:r>
                </w:p>
              </w:tc>
              <w:tc>
                <w:tcPr>
                  <w:tcW w:w="317" w:type="dxa"/>
                  <w:noWrap w:val="0"/>
                  <w:vAlign w:val="center"/>
                </w:tcPr>
                <w:p w14:paraId="7EB0B5B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5D07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6255EE54">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83" w:type="dxa"/>
                  <w:tcBorders>
                    <w:top w:val="single" w:color="000000" w:sz="4" w:space="0"/>
                    <w:bottom w:val="single" w:color="000000" w:sz="4" w:space="0"/>
                  </w:tcBorders>
                  <w:noWrap w:val="0"/>
                  <w:vAlign w:val="center"/>
                </w:tcPr>
                <w:p w14:paraId="71386CF5">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污染物排放管控</w:t>
                  </w:r>
                </w:p>
              </w:tc>
              <w:tc>
                <w:tcPr>
                  <w:tcW w:w="4117" w:type="dxa"/>
                  <w:noWrap w:val="0"/>
                  <w:vAlign w:val="center"/>
                </w:tcPr>
                <w:p w14:paraId="3708B8E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1.到2025 年，昆明市地表水国控断面达到或好于Ⅲ类水体比例应达到81.5%，45个省控断面达到或好于Ⅲ类水体比例应达到80%，劣V类水体全面消除，县级及以上集中式饮用水水源地水质达标率100%；滇池草海水质稳定达到IV类、外海水质达到IV类（COD≤40mg/L），阳宗海水质稳定达到Ⅲ类水标准，县级及以上集中式饮用水水源地水质达标率100%。化学需氧量重点工程减排量10243t，氨氮重点工程减排量1009t。</w:t>
                  </w:r>
                </w:p>
                <w:p w14:paraId="11D7AD4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2.到2025年，昆明市环境空气质量优良天数比例应达到99.1%，城市细颗粒物（PM2.5）平均浓度应达到24μg/m³；氮氧化物重点工程减排量2237t，挥发性有机物重点工程减排量1684t。</w:t>
                  </w:r>
                </w:p>
                <w:p w14:paraId="026A644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4D7090D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4.建立完善源头、过程和末端的VOCs全过程控制体系，实施VOCs排放总量控制。</w:t>
                  </w:r>
                </w:p>
                <w:p w14:paraId="0F14DDA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5.推进农业废弃物综合利用，2025年底前综合利用率达90%以上。</w:t>
                  </w:r>
                </w:p>
                <w:p w14:paraId="4D35D6E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236036E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6CE73A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0E119F3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9.推动昆明市磷石膏综合利用率2023年达到52%，2024年达到64%，2025年确保达到73%，力争达到75%；到2025年底，中心城区污泥无害化处置率达到95%以上，县城污泥无害化处置率达到90%以上。</w:t>
                  </w:r>
                </w:p>
              </w:tc>
              <w:tc>
                <w:tcPr>
                  <w:tcW w:w="3383" w:type="dxa"/>
                  <w:noWrap w:val="0"/>
                  <w:vAlign w:val="center"/>
                </w:tcPr>
                <w:p w14:paraId="41F4F8AF">
                  <w:pPr>
                    <w:pStyle w:val="5"/>
                    <w:keepNext w:val="0"/>
                    <w:keepLines w:val="0"/>
                    <w:pageBreakBefore w:val="0"/>
                    <w:widowControl w:val="0"/>
                    <w:kinsoku/>
                    <w:wordWrap/>
                    <w:overflowPunct/>
                    <w:topLinePunct w:val="0"/>
                    <w:autoSpaceDE/>
                    <w:autoSpaceDN/>
                    <w:bidi w:val="0"/>
                    <w:adjustRightInd w:val="0"/>
                    <w:snapToGrid w:val="0"/>
                    <w:spacing w:after="0" w:afterLines="0" w:line="360" w:lineRule="exact"/>
                    <w:textAlignment w:val="auto"/>
                    <w:rPr>
                      <w:rFonts w:hint="eastAsia"/>
                      <w:color w:val="0000FF"/>
                      <w:sz w:val="21"/>
                      <w:szCs w:val="21"/>
                    </w:rPr>
                  </w:pPr>
                  <w:r>
                    <w:rPr>
                      <w:rFonts w:hint="eastAsia"/>
                      <w:sz w:val="21"/>
                      <w:szCs w:val="21"/>
                      <w:lang w:val="en-US" w:eastAsia="zh-CN"/>
                    </w:rPr>
                    <w:t>1.</w:t>
                  </w:r>
                  <w:r>
                    <w:rPr>
                      <w:rFonts w:hint="eastAsia"/>
                      <w:sz w:val="21"/>
                      <w:szCs w:val="21"/>
                    </w:rPr>
                    <w:t>根据《202</w:t>
                  </w:r>
                  <w:r>
                    <w:rPr>
                      <w:rFonts w:hint="eastAsia"/>
                      <w:sz w:val="21"/>
                      <w:szCs w:val="21"/>
                      <w:lang w:val="en-US" w:eastAsia="zh-CN"/>
                    </w:rPr>
                    <w:t>4</w:t>
                  </w:r>
                  <w:r>
                    <w:rPr>
                      <w:rFonts w:hint="eastAsia"/>
                      <w:sz w:val="21"/>
                      <w:szCs w:val="21"/>
                    </w:rPr>
                    <w:t>年度昆明市生态环境状况公报》，项目所在区域周边地表水能满足GB3838-2002《地表水环境质量标准》III类标</w:t>
                  </w:r>
                  <w:r>
                    <w:rPr>
                      <w:rFonts w:hint="eastAsia" w:ascii="Times New Roman" w:hAnsi="Times New Roman" w:eastAsia="宋体" w:cs="Times New Roman"/>
                      <w:sz w:val="21"/>
                      <w:szCs w:val="21"/>
                    </w:rPr>
                    <w:t>准要求；</w:t>
                  </w:r>
                  <w:r>
                    <w:rPr>
                      <w:rFonts w:hint="eastAsia" w:cs="Times New Roman"/>
                      <w:color w:val="auto"/>
                      <w:kern w:val="0"/>
                      <w:sz w:val="21"/>
                      <w:szCs w:val="21"/>
                      <w:highlight w:val="none"/>
                      <w:lang w:val="en-US" w:eastAsia="zh-CN" w:bidi="ar"/>
                    </w:rPr>
                    <w:t>本项目产生废水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均不外排</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14:paraId="69718C2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cs="Times New Roman"/>
                      <w:b/>
                      <w:bCs/>
                      <w:color w:val="auto"/>
                      <w:kern w:val="0"/>
                      <w:sz w:val="21"/>
                      <w:szCs w:val="21"/>
                      <w:vertAlign w:val="baseline"/>
                      <w:lang w:val="en-US" w:eastAsia="zh-CN" w:bidi="ar"/>
                    </w:rPr>
                    <w:t>2.</w:t>
                  </w:r>
                  <w:r>
                    <w:rPr>
                      <w:rFonts w:hint="eastAsia"/>
                      <w:sz w:val="21"/>
                      <w:szCs w:val="21"/>
                    </w:rPr>
                    <w:t>根据《202</w:t>
                  </w:r>
                  <w:r>
                    <w:rPr>
                      <w:rFonts w:hint="eastAsia"/>
                      <w:sz w:val="21"/>
                      <w:szCs w:val="21"/>
                      <w:lang w:val="en-US" w:eastAsia="zh-CN"/>
                    </w:rPr>
                    <w:t>4</w:t>
                  </w:r>
                  <w:r>
                    <w:rPr>
                      <w:rFonts w:hint="eastAsia"/>
                      <w:sz w:val="21"/>
                      <w:szCs w:val="21"/>
                    </w:rPr>
                    <w:t>年度昆明市生态环境状况公报》，项目所在区域属于环境空气质量达标区，</w:t>
                  </w:r>
                  <w:r>
                    <w:rPr>
                      <w:rFonts w:hint="eastAsia"/>
                      <w:sz w:val="21"/>
                      <w:szCs w:val="21"/>
                      <w:lang w:val="en-US" w:eastAsia="zh-CN"/>
                    </w:rPr>
                    <w:t>项目产生废气污染物涉</w:t>
                  </w:r>
                  <w:r>
                    <w:rPr>
                      <w:rFonts w:hint="eastAsia" w:ascii="Times New Roman" w:hAnsi="Times New Roman" w:eastAsia="宋体" w:cs="Times New Roman"/>
                      <w:color w:val="auto"/>
                      <w:kern w:val="0"/>
                      <w:sz w:val="21"/>
                      <w:szCs w:val="21"/>
                      <w:lang w:val="en-US" w:eastAsia="zh-CN" w:bidi="ar"/>
                    </w:rPr>
                    <w:t>及颗粒物、氮氧化物、挥发性有机物，经过废气处理后达标排放，排放量较小，对环境影响较小；对全市主要污染物减排情况影响较小；</w:t>
                  </w:r>
                </w:p>
                <w:p w14:paraId="7C9A354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3.项目属于沥青混凝土生产，不属于钢铁企业，不涉及燃煤锅炉、燃气锅炉；</w:t>
                  </w:r>
                </w:p>
                <w:p w14:paraId="6E4ED1E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项目涉VOCs物料主要是原材料沥青、柴油及产品沥青混凝土，沥青在沥青储罐中密闭暂存，通过管道密闭输送，沥青混凝土生产后经罐车直接密闭装载运输，项目生产废气经管道收集经“活性炭吸附”装置处理后由1根15m排气筒（DA003）排放，项目实施全过程VOCs总量控制；</w:t>
                  </w:r>
                </w:p>
                <w:p w14:paraId="586A66E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5.项目不涉及农业废弃物；</w:t>
                  </w:r>
                </w:p>
                <w:p w14:paraId="6BCF3BA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6.项目不在滇池流域；</w:t>
                  </w:r>
                </w:p>
                <w:p w14:paraId="7D6DD95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7.项目不在阳宗海流域；</w:t>
                  </w:r>
                </w:p>
                <w:p w14:paraId="01F7099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lang w:val="en-US" w:eastAsia="zh-CN"/>
                    </w:rPr>
                  </w:pPr>
                  <w:r>
                    <w:rPr>
                      <w:rFonts w:hint="eastAsia" w:ascii="Times New Roman" w:hAnsi="Times New Roman" w:eastAsia="宋体" w:cs="Times New Roman"/>
                      <w:color w:val="auto"/>
                      <w:kern w:val="0"/>
                      <w:sz w:val="21"/>
                      <w:szCs w:val="21"/>
                      <w:lang w:val="en-US" w:eastAsia="zh-CN" w:bidi="ar"/>
                    </w:rPr>
                    <w:t>8~9.项目不涉及磷石膏。</w:t>
                  </w:r>
                </w:p>
              </w:tc>
              <w:tc>
                <w:tcPr>
                  <w:tcW w:w="317" w:type="dxa"/>
                  <w:noWrap w:val="0"/>
                  <w:vAlign w:val="center"/>
                </w:tcPr>
                <w:p w14:paraId="721D369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3D0C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71" w:type="dxa"/>
                  <w:vMerge w:val="continue"/>
                  <w:noWrap w:val="0"/>
                  <w:vAlign w:val="center"/>
                </w:tcPr>
                <w:p w14:paraId="53BCA3F6">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83" w:type="dxa"/>
                  <w:tcBorders>
                    <w:top w:val="single" w:color="000000" w:sz="4" w:space="0"/>
                    <w:bottom w:val="single" w:color="auto" w:sz="4" w:space="0"/>
                  </w:tcBorders>
                  <w:noWrap w:val="0"/>
                  <w:vAlign w:val="center"/>
                </w:tcPr>
                <w:p w14:paraId="506841F4">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环境风险防控</w:t>
                  </w:r>
                </w:p>
              </w:tc>
              <w:tc>
                <w:tcPr>
                  <w:tcW w:w="4117" w:type="dxa"/>
                  <w:noWrap w:val="0"/>
                  <w:vAlign w:val="center"/>
                </w:tcPr>
                <w:p w14:paraId="0E3A9660">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加大放射性物质、电磁辐射、危险废物、医疗废物、尾矿库渣场、危险化学品、重金属等风险要素防控力度，全过程监控风险要素产生、使用、储存、运输、处理处置，实现智能化预警与报警，有效降低各类环境风险。</w:t>
                  </w:r>
                </w:p>
                <w:p w14:paraId="7C6C242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2.针对持久性有机污染物、内分泌干扰物等新污染物，制定实施新污染物治理行动方案，开展新污染物筛查与评估，建立清单，开展化学物质生产使用信息调查，实施调查监测和环境风险评估。</w:t>
                  </w:r>
                </w:p>
                <w:p w14:paraId="42701EC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4054C40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4.开</w:t>
                  </w:r>
                  <w:r>
                    <w:rPr>
                      <w:rFonts w:hint="eastAsia" w:ascii="宋体" w:hAnsi="宋体" w:eastAsia="宋体" w:cs="宋体"/>
                      <w:color w:val="auto"/>
                      <w:kern w:val="0"/>
                      <w:sz w:val="21"/>
                      <w:szCs w:val="21"/>
                      <w:lang w:val="en-US" w:eastAsia="zh-CN" w:bidi="ar"/>
                    </w:rPr>
                    <w:t>展“千吨万人”</w:t>
                  </w:r>
                  <w:r>
                    <w:rPr>
                      <w:rFonts w:hint="default" w:ascii="Times New Roman" w:hAnsi="Times New Roman" w:eastAsia="宋体" w:cs="Times New Roman"/>
                      <w:color w:val="auto"/>
                      <w:kern w:val="0"/>
                      <w:sz w:val="21"/>
                      <w:szCs w:val="21"/>
                      <w:lang w:val="en-US" w:eastAsia="zh-CN" w:bidi="ar"/>
                    </w:rPr>
                    <w:t>农村饮用水水源保护区环境风险排查整治，加强农村水源水质监测。</w:t>
                  </w:r>
                </w:p>
                <w:p w14:paraId="5A95826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3D30208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6.严格新（改、扩）建尾矿库环境准入，健全尾矿库环境监管清单，加强尾矿库分类分级环境监管。严格落实《云南省尾矿库专项整治工作实施方案》。</w:t>
                  </w:r>
                </w:p>
              </w:tc>
              <w:tc>
                <w:tcPr>
                  <w:tcW w:w="3383" w:type="dxa"/>
                  <w:noWrap w:val="0"/>
                  <w:vAlign w:val="center"/>
                </w:tcPr>
                <w:p w14:paraId="0ED74D68">
                  <w:pPr>
                    <w:pStyle w:val="5"/>
                    <w:keepNext w:val="0"/>
                    <w:keepLines w:val="0"/>
                    <w:pageBreakBefore w:val="0"/>
                    <w:widowControl w:val="0"/>
                    <w:kinsoku/>
                    <w:wordWrap/>
                    <w:overflowPunct/>
                    <w:topLinePunct w:val="0"/>
                    <w:autoSpaceDE/>
                    <w:autoSpaceDN/>
                    <w:bidi w:val="0"/>
                    <w:adjustRightInd w:val="0"/>
                    <w:snapToGrid w:val="0"/>
                    <w:spacing w:after="0" w:afterLines="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1.项目主要风险物质有</w:t>
                  </w:r>
                  <w:r>
                    <w:rPr>
                      <w:rFonts w:hint="eastAsia" w:cs="Times New Roman"/>
                      <w:color w:val="auto"/>
                      <w:kern w:val="0"/>
                      <w:sz w:val="21"/>
                      <w:szCs w:val="21"/>
                      <w:lang w:val="en-US" w:eastAsia="zh-CN" w:bidi="ar"/>
                    </w:rPr>
                    <w:t>柴油</w:t>
                  </w:r>
                  <w:r>
                    <w:rPr>
                      <w:rFonts w:hint="eastAsia" w:ascii="Times New Roman" w:hAnsi="Times New Roman" w:eastAsia="宋体" w:cs="Times New Roman"/>
                      <w:color w:val="auto"/>
                      <w:kern w:val="0"/>
                      <w:sz w:val="21"/>
                      <w:szCs w:val="21"/>
                      <w:lang w:val="en-US" w:eastAsia="zh-CN" w:bidi="ar"/>
                    </w:rPr>
                    <w:t>、导热油、沥青及废机油等，项目针对风险物质建立从暂存、运输、处置等全过程管理体系，建立风险预警、报警机制，降低环境风险；</w:t>
                  </w:r>
                </w:p>
                <w:p w14:paraId="1373AD8D">
                  <w:pPr>
                    <w:pStyle w:val="5"/>
                    <w:keepNext w:val="0"/>
                    <w:keepLines w:val="0"/>
                    <w:pageBreakBefore w:val="0"/>
                    <w:widowControl w:val="0"/>
                    <w:kinsoku/>
                    <w:wordWrap/>
                    <w:overflowPunct/>
                    <w:topLinePunct w:val="0"/>
                    <w:autoSpaceDE/>
                    <w:autoSpaceDN/>
                    <w:bidi w:val="0"/>
                    <w:adjustRightInd w:val="0"/>
                    <w:snapToGrid w:val="0"/>
                    <w:spacing w:after="0" w:afterLines="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2.项目污染物主要有</w:t>
                  </w:r>
                  <w:r>
                    <w:rPr>
                      <w:rFonts w:hint="eastAsia" w:ascii="Times New Roman" w:hAnsi="Times New Roman" w:eastAsia="宋体" w:cs="Times New Roman"/>
                      <w:i w:val="0"/>
                      <w:iCs/>
                      <w:color w:val="auto"/>
                      <w:kern w:val="0"/>
                      <w:sz w:val="21"/>
                      <w:szCs w:val="21"/>
                      <w:lang w:val="en-US" w:eastAsia="zh-CN" w:bidi="ar"/>
                    </w:rPr>
                    <w:t>苯并[a]芘，沥青烟、非甲烷总烃、氮氧化物、颗粒物等</w:t>
                  </w:r>
                  <w:r>
                    <w:rPr>
                      <w:rFonts w:hint="eastAsia" w:ascii="Times New Roman" w:hAnsi="Times New Roman" w:eastAsia="宋体" w:cs="Times New Roman"/>
                      <w:color w:val="auto"/>
                      <w:kern w:val="0"/>
                      <w:sz w:val="21"/>
                      <w:szCs w:val="21"/>
                      <w:lang w:val="en-US" w:eastAsia="zh-CN" w:bidi="ar"/>
                    </w:rPr>
                    <w:t>；</w:t>
                  </w:r>
                </w:p>
                <w:p w14:paraId="497D1262">
                  <w:pPr>
                    <w:pStyle w:val="5"/>
                    <w:keepNext w:val="0"/>
                    <w:keepLines w:val="0"/>
                    <w:pageBreakBefore w:val="0"/>
                    <w:widowControl w:val="0"/>
                    <w:kinsoku/>
                    <w:wordWrap/>
                    <w:overflowPunct/>
                    <w:topLinePunct w:val="0"/>
                    <w:autoSpaceDE/>
                    <w:autoSpaceDN/>
                    <w:bidi w:val="0"/>
                    <w:adjustRightInd w:val="0"/>
                    <w:snapToGrid w:val="0"/>
                    <w:spacing w:after="0" w:afterLines="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3.本次评价提出建设单位在项目建成后进行应急预案编制及实施工作，建立完善的环境应急管理体系；</w:t>
                  </w:r>
                </w:p>
                <w:p w14:paraId="7C739F56">
                  <w:pPr>
                    <w:pStyle w:val="5"/>
                    <w:keepNext w:val="0"/>
                    <w:keepLines w:val="0"/>
                    <w:pageBreakBefore w:val="0"/>
                    <w:widowControl w:val="0"/>
                    <w:kinsoku/>
                    <w:wordWrap/>
                    <w:overflowPunct/>
                    <w:topLinePunct w:val="0"/>
                    <w:autoSpaceDE/>
                    <w:autoSpaceDN/>
                    <w:bidi w:val="0"/>
                    <w:adjustRightInd w:val="0"/>
                    <w:snapToGrid w:val="0"/>
                    <w:spacing w:after="0" w:afterLines="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4.项目不涉及“千吨万人”农村饮用水水源保护区。</w:t>
                  </w:r>
                </w:p>
                <w:p w14:paraId="62CF3E86">
                  <w:pPr>
                    <w:pStyle w:val="6"/>
                    <w:keepNext w:val="0"/>
                    <w:keepLines w:val="0"/>
                    <w:pageBreakBefore w:val="0"/>
                    <w:widowControl/>
                    <w:kinsoku/>
                    <w:wordWrap w:val="0"/>
                    <w:overflowPunct/>
                    <w:topLinePunct w:val="0"/>
                    <w:autoSpaceDE/>
                    <w:autoSpaceDN/>
                    <w:bidi w:val="0"/>
                    <w:adjustRightInd/>
                    <w:snapToGrid/>
                    <w:spacing w:before="0" w:after="0" w:line="360" w:lineRule="exact"/>
                    <w:ind w:left="0" w:right="0"/>
                    <w:jc w:val="both"/>
                    <w:textAlignment w:val="auto"/>
                    <w:rPr>
                      <w:rFonts w:hint="eastAsia" w:ascii="Times New Roman" w:hAnsi="Times New Roman" w:eastAsia="宋体" w:cs="Times New Roman"/>
                      <w:i w:val="0"/>
                      <w:iCs/>
                      <w:color w:val="auto"/>
                      <w:kern w:val="0"/>
                      <w:sz w:val="21"/>
                      <w:szCs w:val="21"/>
                      <w:lang w:val="en-US" w:eastAsia="zh-CN" w:bidi="ar"/>
                    </w:rPr>
                  </w:pPr>
                  <w:r>
                    <w:rPr>
                      <w:rFonts w:hint="eastAsia" w:ascii="Times New Roman" w:hAnsi="Times New Roman" w:eastAsia="宋体" w:cs="Times New Roman"/>
                      <w:i w:val="0"/>
                      <w:iCs/>
                      <w:color w:val="auto"/>
                      <w:kern w:val="0"/>
                      <w:sz w:val="21"/>
                      <w:szCs w:val="21"/>
                      <w:lang w:val="en-US" w:eastAsia="zh-CN" w:bidi="ar"/>
                    </w:rPr>
                    <w:t>5.项目无生产废水产生；项目办公依托采石场生活办公区，产生的生活废水亦依托其相关处理设施处理后用于项目区洒水降尘；项目区初期雨水依托采石场露天采场下游东侧150m</w:t>
                  </w:r>
                  <w:r>
                    <w:rPr>
                      <w:rFonts w:hint="eastAsia" w:ascii="Times New Roman" w:hAnsi="Times New Roman" w:eastAsia="宋体" w:cs="Times New Roman"/>
                      <w:i w:val="0"/>
                      <w:iCs/>
                      <w:color w:val="auto"/>
                      <w:kern w:val="0"/>
                      <w:sz w:val="21"/>
                      <w:szCs w:val="21"/>
                      <w:vertAlign w:val="superscript"/>
                      <w:lang w:val="en-US" w:eastAsia="zh-CN" w:bidi="ar"/>
                    </w:rPr>
                    <w:t>3</w:t>
                  </w:r>
                  <w:r>
                    <w:rPr>
                      <w:rFonts w:hint="eastAsia" w:ascii="Times New Roman" w:hAnsi="Times New Roman" w:eastAsia="宋体" w:cs="Times New Roman"/>
                      <w:i w:val="0"/>
                      <w:iCs/>
                      <w:color w:val="auto"/>
                      <w:kern w:val="0"/>
                      <w:sz w:val="21"/>
                      <w:szCs w:val="21"/>
                      <w:lang w:val="en-US" w:eastAsia="zh-CN" w:bidi="ar"/>
                    </w:rPr>
                    <w:t>沉砂池收集沉淀后回用于项目区洒水降尘，不外排；</w:t>
                  </w:r>
                </w:p>
                <w:p w14:paraId="4F94231D">
                  <w:pPr>
                    <w:keepNext w:val="0"/>
                    <w:keepLines w:val="0"/>
                    <w:pageBreakBefore w:val="0"/>
                    <w:kinsoku/>
                    <w:overflowPunct/>
                    <w:topLinePunct w:val="0"/>
                    <w:autoSpaceDE/>
                    <w:autoSpaceDN/>
                    <w:bidi w:val="0"/>
                    <w:spacing w:line="360" w:lineRule="exact"/>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6.项目不涉及尾矿库。</w:t>
                  </w:r>
                </w:p>
                <w:p w14:paraId="7ABA6F98">
                  <w:pPr>
                    <w:pStyle w:val="6"/>
                    <w:keepNext w:val="0"/>
                    <w:keepLines w:val="0"/>
                    <w:pageBreakBefore w:val="0"/>
                    <w:kinsoku/>
                    <w:overflowPunct/>
                    <w:topLinePunct w:val="0"/>
                    <w:autoSpaceDE/>
                    <w:autoSpaceDN/>
                    <w:bidi w:val="0"/>
                    <w:spacing w:before="0" w:after="0" w:line="360" w:lineRule="exact"/>
                    <w:ind w:left="0" w:right="0"/>
                    <w:jc w:val="both"/>
                    <w:textAlignment w:val="auto"/>
                    <w:rPr>
                      <w:rFonts w:hint="eastAsia" w:ascii="Times New Roman" w:hAnsi="Times New Roman" w:eastAsia="宋体" w:cs="Times New Roman"/>
                      <w:color w:val="auto"/>
                      <w:kern w:val="0"/>
                      <w:sz w:val="21"/>
                      <w:szCs w:val="21"/>
                      <w:lang w:val="en-US" w:eastAsia="zh-CN" w:bidi="ar"/>
                    </w:rPr>
                  </w:pPr>
                </w:p>
                <w:p w14:paraId="30FB8746">
                  <w:pPr>
                    <w:pStyle w:val="6"/>
                    <w:keepNext w:val="0"/>
                    <w:keepLines w:val="0"/>
                    <w:pageBreakBefore w:val="0"/>
                    <w:kinsoku/>
                    <w:overflowPunct/>
                    <w:topLinePunct w:val="0"/>
                    <w:autoSpaceDE/>
                    <w:autoSpaceDN/>
                    <w:bidi w:val="0"/>
                    <w:spacing w:before="0" w:after="0" w:line="360" w:lineRule="exact"/>
                    <w:ind w:left="0" w:right="0"/>
                    <w:jc w:val="both"/>
                    <w:textAlignment w:val="auto"/>
                    <w:rPr>
                      <w:rFonts w:hint="default" w:ascii="Times New Roman" w:hAnsi="Times New Roman" w:eastAsia="宋体" w:cs="Times New Roman"/>
                      <w:color w:val="auto"/>
                      <w:kern w:val="0"/>
                      <w:sz w:val="21"/>
                      <w:szCs w:val="21"/>
                      <w:lang w:val="en-US" w:eastAsia="zh-CN" w:bidi="ar"/>
                    </w:rPr>
                  </w:pPr>
                </w:p>
                <w:p w14:paraId="26D0C334">
                  <w:pPr>
                    <w:keepNext w:val="0"/>
                    <w:keepLines w:val="0"/>
                    <w:pageBreakBefore w:val="0"/>
                    <w:widowControl/>
                    <w:suppressLineNumbers w:val="0"/>
                    <w:kinsoku/>
                    <w:wordWrap/>
                    <w:overflowPunct/>
                    <w:topLinePunct w:val="0"/>
                    <w:autoSpaceDE/>
                    <w:autoSpaceDN/>
                    <w:bidi w:val="0"/>
                    <w:adjustRightInd/>
                    <w:snapToGrid/>
                    <w:spacing w:line="360" w:lineRule="exact"/>
                    <w:ind w:left="0" w:right="0" w:firstLine="0" w:firstLineChars="0"/>
                    <w:jc w:val="both"/>
                    <w:textAlignment w:val="auto"/>
                    <w:rPr>
                      <w:rFonts w:hint="default" w:ascii="Times New Roman" w:hAnsi="Times New Roman" w:eastAsia="宋体" w:cs="Times New Roman"/>
                      <w:color w:val="auto"/>
                      <w:kern w:val="0"/>
                      <w:sz w:val="21"/>
                      <w:szCs w:val="21"/>
                      <w:lang w:val="en-US" w:eastAsia="zh-CN" w:bidi="ar"/>
                    </w:rPr>
                  </w:pPr>
                </w:p>
              </w:tc>
              <w:tc>
                <w:tcPr>
                  <w:tcW w:w="317" w:type="dxa"/>
                  <w:noWrap w:val="0"/>
                  <w:vAlign w:val="center"/>
                </w:tcPr>
                <w:p w14:paraId="6B8FA53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330A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jc w:val="center"/>
              </w:trPr>
              <w:tc>
                <w:tcPr>
                  <w:tcW w:w="371" w:type="dxa"/>
                  <w:vMerge w:val="continue"/>
                  <w:noWrap w:val="0"/>
                  <w:vAlign w:val="center"/>
                </w:tcPr>
                <w:p w14:paraId="6AF497CA">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83" w:type="dxa"/>
                  <w:tcBorders>
                    <w:top w:val="single" w:color="auto" w:sz="4" w:space="0"/>
                    <w:bottom w:val="single" w:color="000000" w:sz="4" w:space="0"/>
                  </w:tcBorders>
                  <w:noWrap w:val="0"/>
                  <w:vAlign w:val="center"/>
                </w:tcPr>
                <w:p w14:paraId="2B0F0BC7">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资源开发利用效率</w:t>
                  </w:r>
                </w:p>
              </w:tc>
              <w:tc>
                <w:tcPr>
                  <w:tcW w:w="4117" w:type="dxa"/>
                  <w:shd w:val="clear" w:color="auto" w:fill="auto"/>
                  <w:noWrap w:val="0"/>
                  <w:vAlign w:val="center"/>
                </w:tcPr>
                <w:p w14:paraId="44F1D075">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1.到2025年，基本建成与经济社会高质量发展和生态文明建设要求相适应、与由全面建成小康社会向基本实现现代化迈进起步期相协同的水安全保障体系。</w:t>
                  </w:r>
                </w:p>
                <w:p w14:paraId="6C53108A">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2.节水型生产和生活方式初步建立，用水效率和效益显著提高，全社会节水意识明显增强，新时代节水型社会基本建成。全市用水总量控制在35.48亿m</w:t>
                  </w:r>
                  <w:r>
                    <w:rPr>
                      <w:rFonts w:hint="eastAsia"/>
                      <w:sz w:val="21"/>
                      <w:szCs w:val="21"/>
                      <w:vertAlign w:val="superscript"/>
                    </w:rPr>
                    <w:t>3</w:t>
                  </w:r>
                  <w:r>
                    <w:rPr>
                      <w:rFonts w:hint="eastAsia"/>
                      <w:sz w:val="21"/>
                      <w:szCs w:val="21"/>
                    </w:rPr>
                    <w:t>以内，万元GDP用水量较2020年下降10%，万元工业增加值用水量较2020年下降10%，农田灌溉水有效利用系数提高到0.55以上。</w:t>
                  </w:r>
                </w:p>
                <w:p w14:paraId="2CFE69B6">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3.万元工业增加值用水量≤30（立方米/万元）。</w:t>
                  </w:r>
                </w:p>
                <w:p w14:paraId="5701E2A7">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4.2025年底前，全市单位地区生产总值能源消耗较2020年下降14%，能源消费总量得到合理控制。</w:t>
                  </w:r>
                </w:p>
                <w:p w14:paraId="531A5431">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5.单位GDP能源消耗累计下降23.6%，不低于省级下达目标。</w:t>
                  </w:r>
                </w:p>
                <w:p w14:paraId="1F86912A">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6.对照国家有关高耗能行业重点领域能效标杆水平，实施钢铁、有色金属、冶炼等17个高耗能行业节能降碳改造升级，加快提升重点行业、企业能效水平。</w:t>
                  </w:r>
                </w:p>
                <w:p w14:paraId="7F4862DF">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7.加强节能监察和探索用能预算管理，实施电机、变压器等重点用能设备能效提升三年行动，推广先进节能技术。</w:t>
                  </w:r>
                </w:p>
                <w:p w14:paraId="46A95D87">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8.到2025年，钢铁行业全面完成超低排放改造。</w:t>
                  </w:r>
                </w:p>
                <w:p w14:paraId="79FA964F">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9.加快推进有色、化工、印染、烟草等行业清洁生产和工业废水资源化利用。</w:t>
                  </w:r>
                </w:p>
                <w:p w14:paraId="19DBD3BD">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10.到2025年，全市新建大型及以上数据中心绿色低碳等级达到4A以上，电源使用效率（PUE）达到1.3以下，逐步组织电源使用效率超过1.5的数据中心进行节能降碳改造。</w:t>
                  </w:r>
                </w:p>
                <w:p w14:paraId="60B33946">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11.“十四五”期间，全市规模以上工业单位增加值能耗下降14.5%，万元工业增加值用水量下降12%。</w:t>
                  </w:r>
                </w:p>
                <w:p w14:paraId="4F4C8A11">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12.到2025年，通过实施节能降碳提升工程，钢铁、电解铝、水泥、平板玻璃、炼油、乙烯、合成氨、电石等重点行业产能和数据中心达到能效标杆水平的比例超过30%。</w:t>
                  </w:r>
                </w:p>
                <w:p w14:paraId="58E3DD9D">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13.公共机构单位建筑面积碳排放量比2020年下降7%。</w:t>
                  </w:r>
                </w:p>
                <w:p w14:paraId="1BB049EA">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14.非化石能源消费占一次能源消费比重达到40%以上，完成省级下达目标。</w:t>
                  </w:r>
                </w:p>
                <w:p w14:paraId="4851626D">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15.单位GDP二氧化碳排放累计下降23%，不低于省级下达目标。</w:t>
                  </w:r>
                </w:p>
                <w:p w14:paraId="2A43310B">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16.严把新上项目的碳排放关，严格环境影响评价审批，加强固定资产投资项目节能审查，推动新建“两高一低”项目能效水平应提尽提。</w:t>
                  </w:r>
                </w:p>
                <w:p w14:paraId="63CB676B">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26946D53">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sz w:val="21"/>
                      <w:szCs w:val="21"/>
                    </w:rPr>
                  </w:pPr>
                  <w:r>
                    <w:rPr>
                      <w:rFonts w:hint="eastAsia"/>
                      <w:sz w:val="21"/>
                      <w:szCs w:val="21"/>
                    </w:rPr>
                    <w:t>18.加快淘汰落后和低端低效产能退出。</w:t>
                  </w:r>
                </w:p>
                <w:p w14:paraId="49548BFF">
                  <w:pPr>
                    <w:pStyle w:val="5"/>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textAlignment w:val="auto"/>
                    <w:rPr>
                      <w:rFonts w:hint="default" w:ascii="Times New Roman" w:hAnsi="Times New Roman" w:eastAsia="宋体" w:cs="Times New Roman"/>
                      <w:kern w:val="0"/>
                      <w:sz w:val="21"/>
                      <w:szCs w:val="21"/>
                      <w:lang w:val="en-US" w:eastAsia="zh-CN" w:bidi="ar-SA"/>
                    </w:rPr>
                  </w:pPr>
                  <w:r>
                    <w:rPr>
                      <w:rFonts w:hint="eastAsia"/>
                      <w:sz w:val="21"/>
                      <w:szCs w:val="21"/>
                    </w:rPr>
                    <w:t>19.指导金融机构加强“两高一低”项目贷前审核。</w:t>
                  </w:r>
                </w:p>
              </w:tc>
              <w:tc>
                <w:tcPr>
                  <w:tcW w:w="3383" w:type="dxa"/>
                  <w:noWrap w:val="0"/>
                  <w:vAlign w:val="center"/>
                </w:tcPr>
                <w:p w14:paraId="03C00E8E">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1.项目用水主要为生活用水，项目用水量较小，废水不外排，对水安全保障体系影响不大；</w:t>
                  </w:r>
                </w:p>
                <w:p w14:paraId="5AA68200">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2.项目在建设和运行过程中加强人员管理，树立人员节约用水意识，项目不涉及农业灌溉用水；</w:t>
                  </w:r>
                </w:p>
                <w:p w14:paraId="678C2DCF">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3.项目万元工业增加值用水量小于30</w:t>
                  </w:r>
                  <w:r>
                    <w:rPr>
                      <w:rFonts w:hint="eastAsia" w:ascii="Times New Roman" w:hAnsi="Times New Roman" w:eastAsia="宋体" w:cs="Times New Roman"/>
                      <w:sz w:val="21"/>
                      <w:szCs w:val="21"/>
                    </w:rPr>
                    <w:t>立方米/万元</w:t>
                  </w:r>
                  <w:r>
                    <w:rPr>
                      <w:rFonts w:hint="eastAsia" w:ascii="Times New Roman" w:hAnsi="Times New Roman" w:eastAsia="宋体" w:cs="Times New Roman"/>
                      <w:sz w:val="21"/>
                      <w:szCs w:val="21"/>
                      <w:lang w:eastAsia="zh-CN"/>
                    </w:rPr>
                    <w:t>；</w:t>
                  </w:r>
                </w:p>
                <w:p w14:paraId="176CABFB">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4.项目能源主要使用电能、</w:t>
                  </w:r>
                  <w:r>
                    <w:rPr>
                      <w:rFonts w:hint="eastAsia" w:cs="Times New Roman"/>
                      <w:color w:val="auto"/>
                      <w:kern w:val="0"/>
                      <w:sz w:val="21"/>
                      <w:szCs w:val="21"/>
                      <w:lang w:val="en-US" w:eastAsia="zh-CN" w:bidi="ar"/>
                    </w:rPr>
                    <w:t>柴</w:t>
                  </w:r>
                  <w:r>
                    <w:rPr>
                      <w:rFonts w:hint="eastAsia" w:cs="Times New Roman"/>
                      <w:sz w:val="21"/>
                      <w:szCs w:val="21"/>
                      <w:lang w:val="en-US" w:eastAsia="zh-CN"/>
                    </w:rPr>
                    <w:t>油、导热油</w:t>
                  </w:r>
                  <w:r>
                    <w:rPr>
                      <w:rFonts w:hint="eastAsia" w:ascii="Times New Roman" w:hAnsi="Times New Roman" w:eastAsia="宋体" w:cs="Times New Roman"/>
                      <w:sz w:val="21"/>
                      <w:szCs w:val="21"/>
                      <w:lang w:val="en-US" w:eastAsia="zh-CN"/>
                    </w:rPr>
                    <w:t>，使用量较小，不会突破能源利用上限上线；</w:t>
                  </w:r>
                </w:p>
                <w:p w14:paraId="70565477">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5、11.项目主要使用电能、</w:t>
                  </w:r>
                  <w:r>
                    <w:rPr>
                      <w:rFonts w:hint="eastAsia" w:cs="Times New Roman"/>
                      <w:color w:val="auto"/>
                      <w:kern w:val="0"/>
                      <w:sz w:val="21"/>
                      <w:szCs w:val="21"/>
                      <w:lang w:val="en-US" w:eastAsia="zh-CN" w:bidi="ar"/>
                    </w:rPr>
                    <w:t>柴</w:t>
                  </w:r>
                  <w:r>
                    <w:rPr>
                      <w:rFonts w:hint="eastAsia" w:cs="Times New Roman"/>
                      <w:sz w:val="21"/>
                      <w:szCs w:val="21"/>
                      <w:lang w:val="en-US" w:eastAsia="zh-CN"/>
                    </w:rPr>
                    <w:t>油</w:t>
                  </w:r>
                  <w:r>
                    <w:rPr>
                      <w:rFonts w:hint="eastAsia" w:ascii="Times New Roman" w:hAnsi="Times New Roman" w:eastAsia="宋体" w:cs="Times New Roman"/>
                      <w:sz w:val="21"/>
                      <w:szCs w:val="21"/>
                      <w:lang w:val="en-US" w:eastAsia="zh-CN"/>
                    </w:rPr>
                    <w:t>，能源使用量较小，不会突破能源利用上限要求；</w:t>
                  </w:r>
                </w:p>
                <w:p w14:paraId="5CCA6999">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6.项目不属于高耗能行业；</w:t>
                  </w:r>
                </w:p>
                <w:p w14:paraId="16EA3232">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7.项目在市场外购合格、满足国家能效标准要求的生产设备；</w:t>
                  </w:r>
                </w:p>
                <w:p w14:paraId="481328CF">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8~9.项目不属于钢铁、</w:t>
                  </w:r>
                  <w:r>
                    <w:rPr>
                      <w:rFonts w:hint="eastAsia" w:ascii="Times New Roman" w:hAnsi="Times New Roman" w:eastAsia="宋体" w:cs="Times New Roman"/>
                      <w:sz w:val="21"/>
                      <w:szCs w:val="21"/>
                    </w:rPr>
                    <w:t>有色、化工、印染、烟草等</w:t>
                  </w:r>
                  <w:r>
                    <w:rPr>
                      <w:rFonts w:hint="eastAsia" w:ascii="Times New Roman" w:hAnsi="Times New Roman" w:eastAsia="宋体" w:cs="Times New Roman"/>
                      <w:sz w:val="21"/>
                      <w:szCs w:val="21"/>
                      <w:lang w:val="en-US" w:eastAsia="zh-CN"/>
                    </w:rPr>
                    <w:t>行业；</w:t>
                  </w:r>
                </w:p>
                <w:p w14:paraId="28532856">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10.项目不属于数据中心；</w:t>
                  </w:r>
                </w:p>
                <w:p w14:paraId="2F0C00A1">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2.项目不属于</w:t>
                  </w:r>
                  <w:r>
                    <w:rPr>
                      <w:rFonts w:hint="eastAsia" w:ascii="Times New Roman" w:hAnsi="Times New Roman" w:eastAsia="宋体" w:cs="Times New Roman"/>
                      <w:sz w:val="21"/>
                      <w:szCs w:val="21"/>
                    </w:rPr>
                    <w:t>钢铁、电解铝、水泥、平板玻璃、炼油、乙烯、合成氨、电石等重点行业</w:t>
                  </w:r>
                </w:p>
                <w:p w14:paraId="02ECF3D5">
                  <w:pPr>
                    <w:pStyle w:val="5"/>
                    <w:keepNext w:val="0"/>
                    <w:keepLines w:val="0"/>
                    <w:pageBreakBefore w:val="0"/>
                    <w:widowControl w:val="0"/>
                    <w:kinsoku/>
                    <w:wordWrap/>
                    <w:overflowPunct/>
                    <w:topLinePunct w:val="0"/>
                    <w:autoSpaceDE/>
                    <w:autoSpaceDN/>
                    <w:bidi w:val="0"/>
                    <w:adjustRightInd w:val="0"/>
                    <w:snapToGrid w:val="0"/>
                    <w:spacing w:after="0" w:line="360" w:lineRule="exact"/>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sz w:val="21"/>
                      <w:szCs w:val="21"/>
                      <w:lang w:val="en-US" w:eastAsia="zh-CN"/>
                    </w:rPr>
                    <w:t>13~19.</w:t>
                  </w:r>
                  <w:r>
                    <w:rPr>
                      <w:rFonts w:hint="eastAsia" w:ascii="Times New Roman" w:hAnsi="Times New Roman" w:eastAsia="宋体" w:cs="Times New Roman"/>
                      <w:sz w:val="21"/>
                      <w:szCs w:val="21"/>
                    </w:rPr>
                    <w:t>项目为沥青混凝土搅拌站建设项目，不属于两高项目，项目用水量较小，且废水不外排，原辅材料消耗合理，不会突破能源利用上线。</w:t>
                  </w:r>
                </w:p>
              </w:tc>
              <w:tc>
                <w:tcPr>
                  <w:tcW w:w="317" w:type="dxa"/>
                  <w:noWrap w:val="0"/>
                  <w:vAlign w:val="center"/>
                </w:tcPr>
                <w:p w14:paraId="79E64D4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符合</w:t>
                  </w:r>
                </w:p>
              </w:tc>
            </w:tr>
            <w:tr w14:paraId="2F6FE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371" w:type="dxa"/>
                  <w:vMerge w:val="restart"/>
                  <w:noWrap w:val="0"/>
                  <w:vAlign w:val="center"/>
                </w:tcPr>
                <w:p w14:paraId="716C2E40">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寻甸回族彝族自治县矿产资源重点管控单元</w:t>
                  </w:r>
                </w:p>
              </w:tc>
              <w:tc>
                <w:tcPr>
                  <w:tcW w:w="483" w:type="dxa"/>
                  <w:tcBorders>
                    <w:top w:val="single" w:color="000000" w:sz="4" w:space="0"/>
                    <w:bottom w:val="single" w:color="000000" w:sz="4" w:space="0"/>
                  </w:tcBorders>
                  <w:noWrap w:val="0"/>
                  <w:vAlign w:val="center"/>
                </w:tcPr>
                <w:p w14:paraId="627AF1F6">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空间布局约束</w:t>
                  </w:r>
                </w:p>
              </w:tc>
              <w:tc>
                <w:tcPr>
                  <w:tcW w:w="4117" w:type="dxa"/>
                  <w:noWrap w:val="0"/>
                  <w:vAlign w:val="center"/>
                </w:tcPr>
                <w:p w14:paraId="55F3184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落实《云南省矿产资源总体规划》禁止开采区规定，禁止开采区内不得新设采矿权。</w:t>
                  </w:r>
                </w:p>
                <w:p w14:paraId="6EAB4B1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1.对于规划区与饮用水水源保护区重叠区域不新设采矿权，原有矿权逐步有序退出，排污口不得设置在饮用水水源保护区内。饮用水水源二级保护区执行绿色勘查相关要求。</w:t>
                  </w:r>
                </w:p>
                <w:p w14:paraId="2D64BB3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2.禁止在长江干流岸线三公里范围内和重要支流岸线一公里范围内新建、改建、扩建尾矿库；</w:t>
                  </w:r>
                </w:p>
                <w:p w14:paraId="07A4851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3.不再新建露天磷矿山，严格总磷排放管控要求，控制总磷排放总量，涉及磷矿开采企业应对排污口和周边环境进行总磷监测，依法公开监测信息；</w:t>
                  </w:r>
                </w:p>
                <w:p w14:paraId="38F60CF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4.继续实施长江经济带废弃矿山生态修复工作。</w:t>
                  </w:r>
                </w:p>
                <w:p w14:paraId="2460498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5.矿山开采地面设施禁止占用永久基本农田。</w:t>
                  </w:r>
                </w:p>
                <w:p w14:paraId="77763D25">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6.矿山企业应当按照</w:t>
                  </w:r>
                  <w:r>
                    <w:rPr>
                      <w:rFonts w:hint="eastAsia" w:ascii="宋体" w:hAnsi="宋体" w:eastAsia="宋体" w:cs="宋体"/>
                      <w:color w:val="auto"/>
                      <w:kern w:val="0"/>
                      <w:sz w:val="21"/>
                      <w:szCs w:val="21"/>
                      <w:lang w:val="en-US" w:eastAsia="zh-CN" w:bidi="ar"/>
                    </w:rPr>
                    <w:t>“谁开发、谁保护、谁破坏、谁治理”的</w:t>
                  </w:r>
                  <w:r>
                    <w:rPr>
                      <w:rFonts w:hint="default" w:ascii="Times New Roman" w:hAnsi="Times New Roman" w:eastAsia="宋体" w:cs="Times New Roman"/>
                      <w:color w:val="auto"/>
                      <w:kern w:val="0"/>
                      <w:sz w:val="21"/>
                      <w:szCs w:val="21"/>
                      <w:lang w:val="en-US" w:eastAsia="zh-CN" w:bidi="ar"/>
                    </w:rPr>
                    <w:t>原则，结合矿山生产实际，及时组织开展矿山地质环境恢复治理和土。</w:t>
                  </w:r>
                </w:p>
                <w:p w14:paraId="73F4DDC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7.地复垦相关工作，切实履行矿山生态修复义务。加快推进历史遗留矿山生态修复工作。</w:t>
                  </w:r>
                </w:p>
              </w:tc>
              <w:tc>
                <w:tcPr>
                  <w:tcW w:w="3383" w:type="dxa"/>
                  <w:noWrap w:val="0"/>
                  <w:vAlign w:val="center"/>
                </w:tcPr>
                <w:p w14:paraId="6D663A5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本项目位于昆明市寻甸县仁德街道道院社区大发古村石头山采石场内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为租赁云南龙泉矿业开发有限公司采石场用地，建设沥青搅拌站，不涉及采矿，经了解，云南龙泉矿业开发有限公司采石场取得相关采矿手续。</w:t>
                  </w:r>
                </w:p>
                <w:p w14:paraId="18C3C2A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1.项目区域不涉及</w:t>
                  </w:r>
                  <w:r>
                    <w:rPr>
                      <w:rFonts w:hint="default" w:ascii="Times New Roman" w:hAnsi="Times New Roman" w:eastAsia="宋体" w:cs="Times New Roman"/>
                      <w:color w:val="auto"/>
                      <w:kern w:val="0"/>
                      <w:sz w:val="21"/>
                      <w:szCs w:val="21"/>
                      <w:lang w:val="en-US" w:eastAsia="zh-CN" w:bidi="ar"/>
                    </w:rPr>
                    <w:t>饮用水水源保护区</w:t>
                  </w:r>
                  <w:r>
                    <w:rPr>
                      <w:rFonts w:hint="eastAsia" w:ascii="Times New Roman" w:hAnsi="Times New Roman" w:eastAsia="宋体" w:cs="Times New Roman"/>
                      <w:color w:val="auto"/>
                      <w:kern w:val="0"/>
                      <w:sz w:val="21"/>
                      <w:szCs w:val="21"/>
                      <w:lang w:val="en-US" w:eastAsia="zh-CN" w:bidi="ar"/>
                    </w:rPr>
                    <w:t>；</w:t>
                  </w:r>
                </w:p>
                <w:p w14:paraId="3E66006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2.本项目不涉及</w:t>
                  </w:r>
                  <w:r>
                    <w:rPr>
                      <w:rFonts w:hint="default" w:ascii="Times New Roman" w:hAnsi="Times New Roman" w:eastAsia="宋体" w:cs="Times New Roman"/>
                      <w:color w:val="auto"/>
                      <w:kern w:val="0"/>
                      <w:sz w:val="21"/>
                      <w:szCs w:val="21"/>
                      <w:lang w:val="en-US" w:eastAsia="zh-CN" w:bidi="ar"/>
                    </w:rPr>
                    <w:t>尾矿库</w:t>
                  </w:r>
                  <w:r>
                    <w:rPr>
                      <w:rFonts w:hint="eastAsia" w:ascii="Times New Roman" w:hAnsi="Times New Roman" w:eastAsia="宋体" w:cs="Times New Roman"/>
                      <w:color w:val="auto"/>
                      <w:kern w:val="0"/>
                      <w:sz w:val="21"/>
                      <w:szCs w:val="21"/>
                      <w:lang w:val="en-US" w:eastAsia="zh-CN" w:bidi="ar"/>
                    </w:rPr>
                    <w:t>；</w:t>
                  </w:r>
                </w:p>
                <w:p w14:paraId="535BA9EE">
                  <w:pPr>
                    <w:pStyle w:val="5"/>
                    <w:keepNext w:val="0"/>
                    <w:keepLines w:val="0"/>
                    <w:pageBreakBefore w:val="0"/>
                    <w:kinsoku/>
                    <w:overflowPunct/>
                    <w:topLinePunct w:val="0"/>
                    <w:autoSpaceDE/>
                    <w:autoSpaceDN/>
                    <w:bidi w:val="0"/>
                    <w:adjustRightInd/>
                    <w:snapToGrid/>
                    <w:spacing w:after="0" w:afterLines="0" w:line="360" w:lineRule="exact"/>
                    <w:ind w:right="0"/>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3.本项目不</w:t>
                  </w:r>
                  <w:r>
                    <w:rPr>
                      <w:rFonts w:hint="default" w:ascii="Times New Roman" w:hAnsi="Times New Roman" w:eastAsia="宋体" w:cs="Times New Roman"/>
                      <w:color w:val="auto"/>
                      <w:kern w:val="0"/>
                      <w:sz w:val="21"/>
                      <w:szCs w:val="21"/>
                      <w:lang w:val="en-US" w:eastAsia="zh-CN" w:bidi="ar"/>
                    </w:rPr>
                    <w:t>新建露天磷矿山</w:t>
                  </w:r>
                  <w:r>
                    <w:rPr>
                      <w:rFonts w:hint="eastAsia" w:ascii="Times New Roman" w:hAnsi="Times New Roman" w:eastAsia="宋体" w:cs="Times New Roman"/>
                      <w:color w:val="auto"/>
                      <w:kern w:val="0"/>
                      <w:sz w:val="21"/>
                      <w:szCs w:val="21"/>
                      <w:lang w:val="en-US" w:eastAsia="zh-CN" w:bidi="ar"/>
                    </w:rPr>
                    <w:t>；</w:t>
                  </w:r>
                </w:p>
                <w:p w14:paraId="4F6D4A85">
                  <w:pPr>
                    <w:pStyle w:val="5"/>
                    <w:keepNext w:val="0"/>
                    <w:keepLines w:val="0"/>
                    <w:pageBreakBefore w:val="0"/>
                    <w:kinsoku/>
                    <w:overflowPunct/>
                    <w:topLinePunct w:val="0"/>
                    <w:autoSpaceDE/>
                    <w:autoSpaceDN/>
                    <w:bidi w:val="0"/>
                    <w:adjustRightInd/>
                    <w:snapToGrid/>
                    <w:spacing w:after="0" w:afterLines="0" w:line="360" w:lineRule="exact"/>
                    <w:ind w:right="0"/>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i w:val="0"/>
                      <w:color w:val="auto"/>
                      <w:kern w:val="0"/>
                      <w:sz w:val="21"/>
                      <w:szCs w:val="21"/>
                      <w:lang w:val="en-US" w:eastAsia="zh-CN" w:bidi="ar"/>
                    </w:rPr>
                    <w:t>4.</w:t>
                  </w:r>
                  <w:r>
                    <w:rPr>
                      <w:rFonts w:hint="eastAsia" w:ascii="Times New Roman" w:hAnsi="Times New Roman" w:eastAsia="宋体" w:cs="Times New Roman"/>
                      <w:color w:val="auto"/>
                      <w:kern w:val="0"/>
                      <w:sz w:val="21"/>
                      <w:szCs w:val="21"/>
                      <w:lang w:val="en-US" w:eastAsia="zh-CN" w:bidi="ar"/>
                    </w:rPr>
                    <w:t>本项目不涉及</w:t>
                  </w:r>
                  <w:r>
                    <w:rPr>
                      <w:rFonts w:hint="default" w:ascii="Times New Roman" w:hAnsi="Times New Roman" w:eastAsia="宋体" w:cs="Times New Roman"/>
                      <w:color w:val="auto"/>
                      <w:kern w:val="0"/>
                      <w:sz w:val="21"/>
                      <w:szCs w:val="21"/>
                      <w:lang w:val="en-US" w:eastAsia="zh-CN" w:bidi="ar"/>
                    </w:rPr>
                    <w:t>废弃矿山</w:t>
                  </w:r>
                  <w:r>
                    <w:rPr>
                      <w:rFonts w:hint="eastAsia" w:ascii="Times New Roman" w:hAnsi="Times New Roman" w:eastAsia="宋体" w:cs="Times New Roman"/>
                      <w:color w:val="auto"/>
                      <w:kern w:val="0"/>
                      <w:sz w:val="21"/>
                      <w:szCs w:val="21"/>
                      <w:lang w:val="en-US" w:eastAsia="zh-CN" w:bidi="ar"/>
                    </w:rPr>
                    <w:t>；</w:t>
                  </w:r>
                </w:p>
                <w:p w14:paraId="3552B375">
                  <w:pPr>
                    <w:pStyle w:val="6"/>
                    <w:keepNext w:val="0"/>
                    <w:keepLines w:val="0"/>
                    <w:pageBreakBefore w:val="0"/>
                    <w:kinsoku/>
                    <w:overflowPunct/>
                    <w:topLinePunct w:val="0"/>
                    <w:autoSpaceDE/>
                    <w:autoSpaceDN/>
                    <w:bidi w:val="0"/>
                    <w:adjustRightInd/>
                    <w:snapToGrid/>
                    <w:spacing w:before="0" w:after="0" w:line="360" w:lineRule="exact"/>
                    <w:ind w:left="0" w:leftChars="0" w:right="0" w:firstLine="0" w:firstLineChars="0"/>
                    <w:jc w:val="both"/>
                    <w:textAlignment w:val="auto"/>
                    <w:rPr>
                      <w:rFonts w:hint="eastAsia" w:ascii="Times New Roman" w:hAnsi="Times New Roman" w:eastAsia="宋体" w:cs="Times New Roman"/>
                      <w:i w:val="0"/>
                      <w:iCs/>
                      <w:color w:val="auto"/>
                      <w:kern w:val="0"/>
                      <w:sz w:val="21"/>
                      <w:szCs w:val="21"/>
                      <w:lang w:val="en-US" w:eastAsia="zh-CN" w:bidi="ar"/>
                    </w:rPr>
                  </w:pPr>
                  <w:r>
                    <w:rPr>
                      <w:rFonts w:hint="eastAsia" w:ascii="Times New Roman" w:hAnsi="Times New Roman" w:eastAsia="宋体" w:cs="Times New Roman"/>
                      <w:i w:val="0"/>
                      <w:iCs/>
                      <w:color w:val="auto"/>
                      <w:kern w:val="0"/>
                      <w:sz w:val="21"/>
                      <w:szCs w:val="21"/>
                      <w:lang w:val="en-US" w:eastAsia="zh-CN" w:bidi="ar"/>
                    </w:rPr>
                    <w:t>5.本项目不占用永久基本农田；</w:t>
                  </w:r>
                </w:p>
                <w:p w14:paraId="0D0AD7A3">
                  <w:pPr>
                    <w:keepNext w:val="0"/>
                    <w:keepLines w:val="0"/>
                    <w:pageBreakBefore w:val="0"/>
                    <w:kinsoku/>
                    <w:overflowPunct/>
                    <w:topLinePunct w:val="0"/>
                    <w:autoSpaceDE/>
                    <w:autoSpaceDN/>
                    <w:bidi w:val="0"/>
                    <w:adjustRightInd/>
                    <w:snapToGrid/>
                    <w:spacing w:line="360" w:lineRule="exact"/>
                    <w:ind w:left="0" w:leftChars="0" w:right="0" w:firstLine="0" w:firstLineChars="0"/>
                    <w:textAlignment w:val="auto"/>
                    <w:rPr>
                      <w:rFonts w:hint="default"/>
                      <w:lang w:val="en-US" w:eastAsia="zh-CN"/>
                    </w:rPr>
                  </w:pPr>
                  <w:r>
                    <w:rPr>
                      <w:rFonts w:hint="eastAsia" w:ascii="Times New Roman" w:hAnsi="Times New Roman" w:eastAsia="宋体" w:cs="Times New Roman"/>
                      <w:color w:val="auto"/>
                      <w:kern w:val="0"/>
                      <w:sz w:val="21"/>
                      <w:szCs w:val="21"/>
                      <w:lang w:val="en-US" w:eastAsia="zh-CN" w:bidi="ar"/>
                    </w:rPr>
                    <w:t>6、7.本项目不属于</w:t>
                  </w:r>
                  <w:r>
                    <w:rPr>
                      <w:rFonts w:hint="eastAsia" w:cs="Times New Roman"/>
                      <w:b w:val="0"/>
                      <w:bCs w:val="0"/>
                      <w:color w:val="auto"/>
                      <w:kern w:val="0"/>
                      <w:sz w:val="21"/>
                      <w:szCs w:val="21"/>
                      <w:vertAlign w:val="baseline"/>
                      <w:lang w:val="en-US" w:eastAsia="zh-CN" w:bidi="ar"/>
                    </w:rPr>
                    <w:t>工矿</w:t>
                  </w:r>
                  <w:r>
                    <w:rPr>
                      <w:rFonts w:hint="default" w:ascii="Times New Roman" w:hAnsi="Times New Roman" w:eastAsia="宋体" w:cs="Times New Roman"/>
                      <w:color w:val="auto"/>
                      <w:kern w:val="0"/>
                      <w:sz w:val="21"/>
                      <w:szCs w:val="21"/>
                      <w:lang w:val="en-US" w:eastAsia="zh-CN" w:bidi="ar"/>
                    </w:rPr>
                    <w:t>企业</w:t>
                  </w:r>
                  <w:r>
                    <w:rPr>
                      <w:rFonts w:hint="eastAsia" w:ascii="Times New Roman" w:hAnsi="Times New Roman" w:eastAsia="宋体" w:cs="Times New Roman"/>
                      <w:color w:val="auto"/>
                      <w:kern w:val="0"/>
                      <w:sz w:val="21"/>
                      <w:szCs w:val="21"/>
                      <w:lang w:val="en-US" w:eastAsia="zh-CN" w:bidi="ar"/>
                    </w:rPr>
                    <w:t>。</w:t>
                  </w:r>
                </w:p>
              </w:tc>
              <w:tc>
                <w:tcPr>
                  <w:tcW w:w="317" w:type="dxa"/>
                  <w:noWrap w:val="0"/>
                  <w:vAlign w:val="center"/>
                </w:tcPr>
                <w:p w14:paraId="2BF76C1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符合</w:t>
                  </w:r>
                </w:p>
              </w:tc>
            </w:tr>
            <w:tr w14:paraId="461D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371" w:type="dxa"/>
                  <w:vMerge w:val="continue"/>
                  <w:noWrap w:val="0"/>
                  <w:vAlign w:val="center"/>
                </w:tcPr>
                <w:p w14:paraId="62D9FCB1">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83" w:type="dxa"/>
                  <w:tcBorders>
                    <w:top w:val="single" w:color="000000" w:sz="4" w:space="0"/>
                    <w:bottom w:val="single" w:color="000000" w:sz="4" w:space="0"/>
                  </w:tcBorders>
                  <w:noWrap w:val="0"/>
                  <w:vAlign w:val="center"/>
                </w:tcPr>
                <w:p w14:paraId="0959AABB">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污染物排放管控</w:t>
                  </w:r>
                </w:p>
              </w:tc>
              <w:tc>
                <w:tcPr>
                  <w:tcW w:w="4117" w:type="dxa"/>
                  <w:noWrap w:val="0"/>
                  <w:vAlign w:val="center"/>
                </w:tcPr>
                <w:p w14:paraId="0A7685E3">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1.贯</w:t>
                  </w:r>
                  <w:r>
                    <w:rPr>
                      <w:rFonts w:hint="eastAsia" w:ascii="宋体" w:hAnsi="宋体" w:eastAsia="宋体" w:cs="宋体"/>
                      <w:color w:val="auto"/>
                      <w:kern w:val="0"/>
                      <w:sz w:val="21"/>
                      <w:szCs w:val="21"/>
                      <w:lang w:val="en-US" w:eastAsia="zh-CN" w:bidi="ar"/>
                    </w:rPr>
                    <w:t>彻“边开采、边治理、边恢复”的原则，及时治理恢复矿</w:t>
                  </w:r>
                  <w:r>
                    <w:rPr>
                      <w:rFonts w:hint="default" w:ascii="Times New Roman" w:hAnsi="Times New Roman" w:eastAsia="宋体" w:cs="Times New Roman"/>
                      <w:color w:val="auto"/>
                      <w:kern w:val="0"/>
                      <w:sz w:val="21"/>
                      <w:szCs w:val="21"/>
                      <w:lang w:val="en-US" w:eastAsia="zh-CN" w:bidi="ar"/>
                    </w:rPr>
                    <w:t>山地质环境，复垦矿山占用土地和损毁土地。</w:t>
                  </w:r>
                </w:p>
                <w:p w14:paraId="0DBBB66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2.实</w:t>
                  </w:r>
                  <w:r>
                    <w:rPr>
                      <w:rFonts w:hint="eastAsia" w:ascii="宋体" w:hAnsi="宋体" w:eastAsia="宋体" w:cs="宋体"/>
                      <w:color w:val="auto"/>
                      <w:kern w:val="0"/>
                      <w:sz w:val="21"/>
                      <w:szCs w:val="21"/>
                      <w:lang w:val="en-US" w:eastAsia="zh-CN" w:bidi="ar"/>
                    </w:rPr>
                    <w:t>施“矿山复绿”行</w:t>
                  </w:r>
                  <w:r>
                    <w:rPr>
                      <w:rFonts w:hint="default" w:ascii="Times New Roman" w:hAnsi="Times New Roman" w:eastAsia="宋体" w:cs="Times New Roman"/>
                      <w:color w:val="auto"/>
                      <w:kern w:val="0"/>
                      <w:sz w:val="21"/>
                      <w:szCs w:val="21"/>
                      <w:lang w:val="en-US" w:eastAsia="zh-CN" w:bidi="ar"/>
                    </w:rPr>
                    <w:t>动。重点加强历史遗留矿山矿区土地复垦，实施矿山地质环境治理恢复及矿区土地复垦工程。</w:t>
                  </w:r>
                </w:p>
                <w:p w14:paraId="4E91AAC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3.加强尾矿、废石等资源的再利用与资源综合利用，对尾矿库、废石堆通过平整、覆土、种植等措施开展复垦还绿，严防重金属污染。</w:t>
                  </w:r>
                </w:p>
                <w:p w14:paraId="74BDF067">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w:t>
                  </w:r>
                  <w:r>
                    <w:rPr>
                      <w:rFonts w:hint="eastAsia" w:ascii="宋体" w:hAnsi="宋体" w:eastAsia="宋体" w:cs="宋体"/>
                      <w:color w:val="auto"/>
                      <w:kern w:val="0"/>
                      <w:sz w:val="21"/>
                      <w:szCs w:val="21"/>
                      <w:lang w:val="en-US" w:eastAsia="zh-CN" w:bidi="ar"/>
                    </w:rPr>
                    <w:t>.矿山企业应当按照“谁开发、谁保护、谁破坏、谁治理”的原则。</w:t>
                  </w:r>
                </w:p>
                <w:p w14:paraId="772D784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5.进一步</w:t>
                  </w:r>
                  <w:r>
                    <w:rPr>
                      <w:rFonts w:hint="eastAsia" w:ascii="宋体" w:hAnsi="宋体" w:eastAsia="宋体" w:cs="宋体"/>
                      <w:color w:val="auto"/>
                      <w:kern w:val="0"/>
                      <w:sz w:val="21"/>
                      <w:szCs w:val="21"/>
                      <w:lang w:val="en-US" w:eastAsia="zh-CN" w:bidi="ar"/>
                    </w:rPr>
                    <w:t>加强重金属污染</w:t>
                  </w:r>
                  <w:r>
                    <w:rPr>
                      <w:rFonts w:hint="default" w:ascii="Times New Roman" w:hAnsi="Times New Roman" w:eastAsia="宋体" w:cs="Times New Roman"/>
                      <w:color w:val="auto"/>
                      <w:kern w:val="0"/>
                      <w:sz w:val="21"/>
                      <w:szCs w:val="21"/>
                      <w:lang w:val="en-US" w:eastAsia="zh-CN" w:bidi="ar"/>
                    </w:rPr>
                    <w:t>防控，严格实行重点行业重点污染物总量控制指标，减少重金属排放。</w:t>
                  </w:r>
                </w:p>
              </w:tc>
              <w:tc>
                <w:tcPr>
                  <w:tcW w:w="3383" w:type="dxa"/>
                  <w:noWrap w:val="0"/>
                  <w:vAlign w:val="center"/>
                </w:tcPr>
                <w:p w14:paraId="23636F3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本项目区域属于</w:t>
                  </w:r>
                  <w:r>
                    <w:rPr>
                      <w:rFonts w:hint="eastAsia" w:ascii="Times New Roman" w:hAnsi="Times New Roman" w:eastAsia="宋体" w:cs="Times New Roman"/>
                      <w:color w:val="auto"/>
                      <w:kern w:val="0"/>
                      <w:sz w:val="21"/>
                      <w:szCs w:val="21"/>
                      <w:lang w:val="en-US" w:eastAsia="zh-CN" w:bidi="ar"/>
                    </w:rPr>
                    <w:t>租赁云南龙泉矿业开发有限公司采石场用地内，但</w:t>
                  </w:r>
                  <w:r>
                    <w:rPr>
                      <w:rFonts w:hint="eastAsia" w:cs="Times New Roman"/>
                      <w:b w:val="0"/>
                      <w:bCs w:val="0"/>
                      <w:color w:val="auto"/>
                      <w:kern w:val="0"/>
                      <w:sz w:val="21"/>
                      <w:szCs w:val="21"/>
                      <w:vertAlign w:val="baseline"/>
                      <w:lang w:val="en-US" w:eastAsia="zh-CN" w:bidi="ar"/>
                    </w:rPr>
                    <w:t>不属于工矿企业，不涉及相关污染排放。</w:t>
                  </w:r>
                </w:p>
              </w:tc>
              <w:tc>
                <w:tcPr>
                  <w:tcW w:w="317" w:type="dxa"/>
                  <w:noWrap w:val="0"/>
                  <w:vAlign w:val="center"/>
                </w:tcPr>
                <w:p w14:paraId="1316EAF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符合</w:t>
                  </w:r>
                </w:p>
              </w:tc>
            </w:tr>
            <w:tr w14:paraId="7DF0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71" w:type="dxa"/>
                  <w:vMerge w:val="continue"/>
                  <w:noWrap w:val="0"/>
                  <w:vAlign w:val="center"/>
                </w:tcPr>
                <w:p w14:paraId="012816C0">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83" w:type="dxa"/>
                  <w:tcBorders>
                    <w:top w:val="single" w:color="000000" w:sz="4" w:space="0"/>
                    <w:bottom w:val="single" w:color="000000" w:sz="4" w:space="0"/>
                  </w:tcBorders>
                  <w:noWrap w:val="0"/>
                  <w:vAlign w:val="center"/>
                </w:tcPr>
                <w:p w14:paraId="2FD62AF8">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环境风险防控</w:t>
                  </w:r>
                </w:p>
              </w:tc>
              <w:tc>
                <w:tcPr>
                  <w:tcW w:w="4117" w:type="dxa"/>
                  <w:noWrap w:val="0"/>
                  <w:vAlign w:val="center"/>
                </w:tcPr>
                <w:p w14:paraId="386C1605">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1.产生、利用或处置含重金属的固体废物（含危险废物）的企业在贮存、转移、利用、处置固体废物（含危险废物）过程中，应配套防扬散、防流失、防渗漏及其他防止污染环境的措施。</w:t>
                  </w:r>
                </w:p>
                <w:p w14:paraId="66AD8948">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2.各工矿企业应当结合风险源状况明确环境风险的防范、减缓措施。构</w:t>
                  </w:r>
                  <w:r>
                    <w:rPr>
                      <w:rFonts w:hint="eastAsia" w:ascii="宋体" w:hAnsi="宋体" w:eastAsia="宋体" w:cs="宋体"/>
                      <w:color w:val="auto"/>
                      <w:kern w:val="0"/>
                      <w:sz w:val="21"/>
                      <w:szCs w:val="21"/>
                      <w:lang w:val="en-US" w:eastAsia="zh-CN" w:bidi="ar"/>
                    </w:rPr>
                    <w:t>建“单</w:t>
                  </w:r>
                  <w:r>
                    <w:rPr>
                      <w:rFonts w:hint="default" w:ascii="Times New Roman" w:hAnsi="Times New Roman" w:eastAsia="宋体" w:cs="Times New Roman"/>
                      <w:color w:val="auto"/>
                      <w:kern w:val="0"/>
                      <w:sz w:val="21"/>
                      <w:szCs w:val="21"/>
                      <w:lang w:val="en-US" w:eastAsia="zh-CN" w:bidi="ar"/>
                    </w:rPr>
                    <w:t>元—厂区—园区/区</w:t>
                  </w:r>
                  <w:r>
                    <w:rPr>
                      <w:rFonts w:hint="eastAsia" w:ascii="宋体" w:hAnsi="宋体" w:eastAsia="宋体" w:cs="宋体"/>
                      <w:color w:val="auto"/>
                      <w:kern w:val="0"/>
                      <w:sz w:val="21"/>
                      <w:szCs w:val="21"/>
                      <w:lang w:val="en-US" w:eastAsia="zh-CN" w:bidi="ar"/>
                    </w:rPr>
                    <w:t>域”的</w:t>
                  </w:r>
                  <w:r>
                    <w:rPr>
                      <w:rFonts w:hint="default" w:ascii="Times New Roman" w:hAnsi="Times New Roman" w:eastAsia="宋体" w:cs="Times New Roman"/>
                      <w:color w:val="auto"/>
                      <w:kern w:val="0"/>
                      <w:sz w:val="21"/>
                      <w:szCs w:val="21"/>
                      <w:lang w:val="en-US" w:eastAsia="zh-CN" w:bidi="ar"/>
                    </w:rPr>
                    <w:t>环境风险防控体系，设置事故废水收集和应急储存设施。加强地下水环境的监控、预警。编制企事业单位突发环境事件应急预案。金属矿山开采过程中需对人群健康风险进行识别，采取有效措施预防由矿山开发利用带来的疾病。</w:t>
                  </w:r>
                </w:p>
              </w:tc>
              <w:tc>
                <w:tcPr>
                  <w:tcW w:w="3383" w:type="dxa"/>
                  <w:noWrap w:val="0"/>
                  <w:vAlign w:val="center"/>
                </w:tcPr>
                <w:p w14:paraId="18D2455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1.项目危险废物主要</w:t>
                  </w:r>
                  <w:r>
                    <w:rPr>
                      <w:rFonts w:hint="eastAsia" w:ascii="Times New Roman" w:hAnsi="Times New Roman" w:eastAsia="宋体" w:cs="Times New Roman"/>
                      <w:color w:val="auto"/>
                      <w:kern w:val="0"/>
                      <w:sz w:val="21"/>
                      <w:szCs w:val="21"/>
                      <w:highlight w:val="none"/>
                      <w:lang w:val="en-US" w:eastAsia="zh-CN" w:bidi="ar"/>
                    </w:rPr>
                    <w:t>有</w:t>
                  </w:r>
                  <w:r>
                    <w:rPr>
                      <w:rFonts w:hint="eastAsia" w:cs="Times New Roman"/>
                      <w:color w:val="auto"/>
                      <w:kern w:val="0"/>
                      <w:sz w:val="21"/>
                      <w:szCs w:val="21"/>
                      <w:lang w:val="en-US" w:eastAsia="zh-CN" w:bidi="ar"/>
                    </w:rPr>
                    <w:t>柴</w:t>
                  </w:r>
                  <w:r>
                    <w:rPr>
                      <w:rFonts w:hint="eastAsia" w:cs="Times New Roman"/>
                      <w:color w:val="auto"/>
                      <w:kern w:val="0"/>
                      <w:sz w:val="21"/>
                      <w:szCs w:val="21"/>
                      <w:highlight w:val="none"/>
                      <w:lang w:val="en-US" w:eastAsia="zh-CN" w:bidi="ar"/>
                    </w:rPr>
                    <w:t>油</w:t>
                  </w:r>
                  <w:r>
                    <w:rPr>
                      <w:rFonts w:hint="eastAsia" w:ascii="Times New Roman" w:hAnsi="Times New Roman" w:eastAsia="宋体" w:cs="Times New Roman"/>
                      <w:color w:val="auto"/>
                      <w:kern w:val="0"/>
                      <w:sz w:val="21"/>
                      <w:szCs w:val="21"/>
                      <w:lang w:val="en-US" w:eastAsia="zh-CN" w:bidi="ar"/>
                    </w:rPr>
                    <w:t>、沥青</w:t>
                  </w:r>
                  <w:r>
                    <w:rPr>
                      <w:rFonts w:hint="eastAsia" w:cs="Times New Roman"/>
                      <w:color w:val="auto"/>
                      <w:kern w:val="0"/>
                      <w:sz w:val="21"/>
                      <w:szCs w:val="21"/>
                      <w:lang w:val="en-US" w:eastAsia="zh-CN" w:bidi="ar"/>
                    </w:rPr>
                    <w:t>、导热油</w:t>
                  </w:r>
                  <w:r>
                    <w:rPr>
                      <w:rFonts w:hint="eastAsia" w:ascii="Times New Roman" w:hAnsi="Times New Roman" w:eastAsia="宋体" w:cs="Times New Roman"/>
                      <w:color w:val="auto"/>
                      <w:kern w:val="0"/>
                      <w:sz w:val="21"/>
                      <w:szCs w:val="21"/>
                      <w:lang w:val="en-US" w:eastAsia="zh-CN" w:bidi="ar"/>
                    </w:rPr>
                    <w:t>及废机油等，项目针对</w:t>
                  </w:r>
                  <w:r>
                    <w:rPr>
                      <w:rFonts w:hint="default" w:ascii="Times New Roman" w:hAnsi="Times New Roman" w:eastAsia="宋体" w:cs="Times New Roman"/>
                      <w:color w:val="auto"/>
                      <w:kern w:val="0"/>
                      <w:sz w:val="21"/>
                      <w:szCs w:val="21"/>
                      <w:lang w:val="en-US" w:eastAsia="zh-CN" w:bidi="ar"/>
                    </w:rPr>
                    <w:t>贮存、转移、利用、处置</w:t>
                  </w:r>
                  <w:r>
                    <w:rPr>
                      <w:rFonts w:hint="eastAsia" w:ascii="Times New Roman" w:hAnsi="Times New Roman" w:eastAsia="宋体" w:cs="Times New Roman"/>
                      <w:color w:val="auto"/>
                      <w:kern w:val="0"/>
                      <w:sz w:val="21"/>
                      <w:szCs w:val="21"/>
                      <w:lang w:val="en-US" w:eastAsia="zh-CN" w:bidi="ar"/>
                    </w:rPr>
                    <w:t>危险废物</w:t>
                  </w:r>
                  <w:r>
                    <w:rPr>
                      <w:rFonts w:hint="default" w:ascii="Times New Roman" w:hAnsi="Times New Roman" w:eastAsia="宋体" w:cs="Times New Roman"/>
                      <w:color w:val="auto"/>
                      <w:kern w:val="0"/>
                      <w:sz w:val="21"/>
                      <w:szCs w:val="21"/>
                      <w:lang w:val="en-US" w:eastAsia="zh-CN" w:bidi="ar"/>
                    </w:rPr>
                    <w:t>过程中，配套防扬散、防流失、防渗漏及其他防止污染环境的措施</w:t>
                  </w:r>
                  <w:r>
                    <w:rPr>
                      <w:rFonts w:hint="eastAsia" w:ascii="Times New Roman" w:hAnsi="Times New Roman" w:eastAsia="宋体" w:cs="Times New Roman"/>
                      <w:color w:val="auto"/>
                      <w:kern w:val="0"/>
                      <w:sz w:val="21"/>
                      <w:szCs w:val="21"/>
                      <w:lang w:val="en-US" w:eastAsia="zh-CN" w:bidi="ar"/>
                    </w:rPr>
                    <w:t>；</w:t>
                  </w:r>
                </w:p>
                <w:p w14:paraId="4D039D7D">
                  <w:pPr>
                    <w:pStyle w:val="5"/>
                    <w:rPr>
                      <w:rFonts w:hint="default"/>
                      <w:lang w:val="en-US" w:eastAsia="zh-CN"/>
                    </w:rPr>
                  </w:pPr>
                  <w:r>
                    <w:rPr>
                      <w:rFonts w:hint="eastAsia" w:ascii="Times New Roman" w:hAnsi="Times New Roman" w:eastAsia="宋体" w:cs="Times New Roman"/>
                      <w:color w:val="auto"/>
                      <w:kern w:val="0"/>
                      <w:sz w:val="21"/>
                      <w:szCs w:val="21"/>
                      <w:lang w:val="en-US" w:eastAsia="zh-CN" w:bidi="ar"/>
                    </w:rPr>
                    <w:t>2.本项目</w:t>
                  </w:r>
                  <w:r>
                    <w:rPr>
                      <w:rFonts w:hint="eastAsia" w:cs="Times New Roman"/>
                      <w:b w:val="0"/>
                      <w:bCs w:val="0"/>
                      <w:color w:val="auto"/>
                      <w:kern w:val="0"/>
                      <w:sz w:val="21"/>
                      <w:szCs w:val="21"/>
                      <w:vertAlign w:val="baseline"/>
                      <w:lang w:val="en-US" w:eastAsia="zh-CN" w:bidi="ar"/>
                    </w:rPr>
                    <w:t>不属于工矿企业。</w:t>
                  </w:r>
                </w:p>
              </w:tc>
              <w:tc>
                <w:tcPr>
                  <w:tcW w:w="317" w:type="dxa"/>
                  <w:noWrap w:val="0"/>
                  <w:vAlign w:val="center"/>
                </w:tcPr>
                <w:p w14:paraId="554E437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符合</w:t>
                  </w:r>
                </w:p>
              </w:tc>
            </w:tr>
            <w:tr w14:paraId="1A69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371" w:type="dxa"/>
                  <w:vMerge w:val="continue"/>
                  <w:noWrap w:val="0"/>
                  <w:vAlign w:val="center"/>
                </w:tcPr>
                <w:p w14:paraId="1B42A578">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p>
              </w:tc>
              <w:tc>
                <w:tcPr>
                  <w:tcW w:w="483" w:type="dxa"/>
                  <w:tcBorders>
                    <w:top w:val="single" w:color="000000" w:sz="4" w:space="0"/>
                    <w:bottom w:val="single" w:color="000000" w:sz="4" w:space="0"/>
                  </w:tcBorders>
                  <w:noWrap w:val="0"/>
                  <w:vAlign w:val="center"/>
                </w:tcPr>
                <w:p w14:paraId="2B13AF7D">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资源开发效率要求</w:t>
                  </w:r>
                </w:p>
              </w:tc>
              <w:tc>
                <w:tcPr>
                  <w:tcW w:w="4117" w:type="dxa"/>
                  <w:noWrap w:val="0"/>
                  <w:vAlign w:val="center"/>
                </w:tcPr>
                <w:p w14:paraId="3D6235C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1.积极推进矿产资源开发规模化、集约化，落实云南省关于煤矿转型升级、非煤矿山转型升级、煤炭行业化解过剩产能有关要求。</w:t>
                  </w:r>
                </w:p>
                <w:p w14:paraId="592A766A">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2.对原有大中型矿业进行技术改造，淘汰污染严重、资源利用率低的落后设备与工艺。加强绿色勘查开采新技术、新方法和新工艺研发与推广。构建绿色勘查开采新模式，因地制宜推广充填开采、保水开采、减沉开采等技术方法，推广区域矿山建矿模式和边开采边复垦边归还采矿用地模式，推广节能减排绿色采选冶技术。 </w:t>
                  </w:r>
                </w:p>
                <w:p w14:paraId="4A081D66">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3.应从源头减少废水产生，实施清污分流，应充分利用矿井水、循环利用选矿水。</w:t>
                  </w:r>
                </w:p>
              </w:tc>
              <w:tc>
                <w:tcPr>
                  <w:tcW w:w="3383" w:type="dxa"/>
                  <w:noWrap w:val="0"/>
                  <w:vAlign w:val="center"/>
                </w:tcPr>
                <w:p w14:paraId="432BA5A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w:t>
                  </w:r>
                  <w:r>
                    <w:rPr>
                      <w:rFonts w:hint="eastAsia" w:cs="Times New Roman"/>
                      <w:b w:val="0"/>
                      <w:bCs w:val="0"/>
                      <w:color w:val="auto"/>
                      <w:kern w:val="0"/>
                      <w:sz w:val="21"/>
                      <w:szCs w:val="21"/>
                      <w:vertAlign w:val="baseline"/>
                      <w:lang w:val="en-US" w:eastAsia="zh-CN" w:bidi="ar"/>
                    </w:rPr>
                    <w:t>不属于工矿企业，不涉及</w:t>
                  </w:r>
                  <w:r>
                    <w:rPr>
                      <w:rFonts w:hint="default" w:ascii="Times New Roman" w:hAnsi="Times New Roman" w:eastAsia="宋体" w:cs="Times New Roman"/>
                      <w:color w:val="auto"/>
                      <w:kern w:val="0"/>
                      <w:sz w:val="21"/>
                      <w:szCs w:val="21"/>
                      <w:lang w:val="en-US" w:eastAsia="zh-CN" w:bidi="ar"/>
                    </w:rPr>
                    <w:t>矿产资源开发</w:t>
                  </w:r>
                  <w:r>
                    <w:rPr>
                      <w:rFonts w:hint="eastAsia" w:ascii="Times New Roman" w:hAnsi="Times New Roman" w:eastAsia="宋体" w:cs="Times New Roman"/>
                      <w:color w:val="auto"/>
                      <w:kern w:val="0"/>
                      <w:sz w:val="21"/>
                      <w:szCs w:val="21"/>
                      <w:lang w:val="en-US" w:eastAsia="zh-CN" w:bidi="ar"/>
                    </w:rPr>
                    <w:t>利用。</w:t>
                  </w:r>
                </w:p>
                <w:p w14:paraId="27F86B15">
                  <w:pPr>
                    <w:pStyle w:val="5"/>
                    <w:rPr>
                      <w:rFonts w:hint="default"/>
                      <w:lang w:val="en-US" w:eastAsia="zh-CN"/>
                    </w:rPr>
                  </w:pPr>
                </w:p>
              </w:tc>
              <w:tc>
                <w:tcPr>
                  <w:tcW w:w="317" w:type="dxa"/>
                  <w:noWrap w:val="0"/>
                  <w:vAlign w:val="center"/>
                </w:tcPr>
                <w:p w14:paraId="2A2C565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符合</w:t>
                  </w:r>
                </w:p>
              </w:tc>
            </w:tr>
          </w:tbl>
          <w:p w14:paraId="5EAC147D">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，本项目符合《昆明市生态环境分区管控动态更新方案（</w:t>
            </w:r>
            <w:r>
              <w:rPr>
                <w:rFonts w:hint="eastAsia" w:cs="Times New Roman"/>
                <w:color w:val="auto"/>
                <w:kern w:val="0"/>
                <w:sz w:val="24"/>
                <w:szCs w:val="24"/>
                <w:lang w:val="en-US" w:eastAsia="zh-CN" w:bidi="ar"/>
              </w:rPr>
              <w:t>2023年</w:t>
            </w:r>
            <w:r>
              <w:rPr>
                <w:rFonts w:hint="default" w:ascii="Times New Roman" w:hAnsi="Times New Roman" w:eastAsia="宋体" w:cs="Times New Roman"/>
                <w:color w:val="auto"/>
                <w:kern w:val="0"/>
                <w:sz w:val="24"/>
                <w:szCs w:val="24"/>
                <w:lang w:val="en-US" w:eastAsia="zh-CN" w:bidi="ar"/>
              </w:rPr>
              <w:t>）》相关要求。</w:t>
            </w:r>
          </w:p>
          <w:p w14:paraId="5EBDA52D">
            <w:pPr>
              <w:keepNext w:val="0"/>
              <w:keepLines w:val="0"/>
              <w:widowControl/>
              <w:numPr>
                <w:ilvl w:val="0"/>
                <w:numId w:val="0"/>
              </w:numPr>
              <w:suppressLineNumbers w:val="0"/>
              <w:jc w:val="left"/>
              <w:rPr>
                <w:highlight w:val="none"/>
              </w:rPr>
            </w:pPr>
            <w:r>
              <w:rPr>
                <w:rFonts w:hint="eastAsia" w:ascii="Times New Roman" w:hAnsi="Times New Roman" w:eastAsia="宋体" w:cs="Times New Roman"/>
                <w:b/>
                <w:bCs/>
                <w:kern w:val="2"/>
                <w:sz w:val="24"/>
                <w:szCs w:val="24"/>
                <w:highlight w:val="none"/>
                <w:lang w:val="en-US" w:eastAsia="zh-CN" w:bidi="ar-SA"/>
              </w:rPr>
              <w:t>三、</w:t>
            </w:r>
            <w:r>
              <w:rPr>
                <w:rFonts w:hint="eastAsia"/>
                <w:b/>
                <w:bCs/>
                <w:highlight w:val="none"/>
                <w:lang w:val="en-US" w:eastAsia="zh-CN"/>
              </w:rPr>
              <w:t>与</w:t>
            </w:r>
            <w:r>
              <w:rPr>
                <w:rFonts w:hint="default" w:ascii="Times New Roman" w:hAnsi="Times New Roman" w:eastAsia="宋体" w:cs="Times New Roman"/>
                <w:b/>
                <w:bCs/>
                <w:color w:val="auto"/>
                <w:kern w:val="0"/>
                <w:sz w:val="24"/>
                <w:szCs w:val="24"/>
                <w:highlight w:val="none"/>
                <w:lang w:val="en-US" w:eastAsia="zh-CN" w:bidi="ar"/>
              </w:rPr>
              <w:t>《长江经济带发展负面清单指南（试行，2022年版）》</w:t>
            </w:r>
            <w:r>
              <w:rPr>
                <w:rFonts w:hint="eastAsia"/>
                <w:b/>
                <w:bCs/>
                <w:highlight w:val="none"/>
                <w:lang w:val="en-US" w:eastAsia="zh-CN"/>
              </w:rPr>
              <w:t>符合性分析</w:t>
            </w:r>
          </w:p>
          <w:p w14:paraId="1BE4CF1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000000" w:themeColor="text1"/>
                <w:sz w:val="24"/>
                <w:lang w:bidi="ar"/>
                <w14:textFill>
                  <w14:solidFill>
                    <w14:schemeClr w14:val="tx1"/>
                  </w14:solidFill>
                </w14:textFill>
              </w:rPr>
            </w:pPr>
            <w:r>
              <w:rPr>
                <w:rFonts w:hint="eastAsia" w:ascii="Times New Roman" w:hAnsi="Times New Roman" w:eastAsia="宋体" w:cs="Times New Roman"/>
                <w:color w:val="000000" w:themeColor="text1"/>
                <w:sz w:val="24"/>
                <w:lang w:val="en-US" w:eastAsia="zh-CN" w:bidi="ar"/>
                <w14:textFill>
                  <w14:solidFill>
                    <w14:schemeClr w14:val="tx1"/>
                  </w14:solidFill>
                </w14:textFill>
              </w:rPr>
              <w:t>本项目与</w:t>
            </w:r>
            <w:r>
              <w:rPr>
                <w:rFonts w:hint="eastAsia" w:ascii="Times New Roman" w:hAnsi="Times New Roman" w:eastAsia="宋体" w:cs="Times New Roman"/>
                <w:color w:val="000000" w:themeColor="text1"/>
                <w:sz w:val="24"/>
                <w:lang w:bidi="ar"/>
                <w14:textFill>
                  <w14:solidFill>
                    <w14:schemeClr w14:val="tx1"/>
                  </w14:solidFill>
                </w14:textFill>
              </w:rPr>
              <w:t>《长江经济带发展负面清单指南（试行，2022年版）》</w:t>
            </w:r>
            <w:r>
              <w:rPr>
                <w:rFonts w:hint="eastAsia" w:ascii="Times New Roman" w:hAnsi="Times New Roman" w:eastAsia="宋体" w:cs="Times New Roman"/>
                <w:color w:val="000000" w:themeColor="text1"/>
                <w:sz w:val="24"/>
                <w:lang w:val="en-US" w:eastAsia="zh-CN" w:bidi="ar"/>
                <w14:textFill>
                  <w14:solidFill>
                    <w14:schemeClr w14:val="tx1"/>
                  </w14:solidFill>
                </w14:textFill>
              </w:rPr>
              <w:t>符合性分析详见下表1-</w:t>
            </w:r>
            <w:r>
              <w:rPr>
                <w:rFonts w:hint="eastAsia" w:cs="Times New Roman"/>
                <w:color w:val="000000" w:themeColor="text1"/>
                <w:sz w:val="24"/>
                <w:lang w:val="en-US" w:eastAsia="zh-CN" w:bidi="ar"/>
                <w14:textFill>
                  <w14:solidFill>
                    <w14:schemeClr w14:val="tx1"/>
                  </w14:solidFill>
                </w14:textFill>
              </w:rPr>
              <w:t>3</w:t>
            </w:r>
            <w:r>
              <w:rPr>
                <w:rFonts w:hint="eastAsia" w:ascii="Times New Roman" w:hAnsi="Times New Roman" w:eastAsia="宋体" w:cs="Times New Roman"/>
                <w:color w:val="000000" w:themeColor="text1"/>
                <w:sz w:val="24"/>
                <w:lang w:val="en-US" w:eastAsia="zh-CN" w:bidi="ar"/>
                <w14:textFill>
                  <w14:solidFill>
                    <w14:schemeClr w14:val="tx1"/>
                  </w14:solidFill>
                </w14:textFill>
              </w:rPr>
              <w:t>。</w:t>
            </w:r>
          </w:p>
          <w:p w14:paraId="6073DB5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3</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与《长江经济带发展负面清单指南（试行，2022年版）》相符性分析</w:t>
            </w:r>
          </w:p>
          <w:tbl>
            <w:tblPr>
              <w:tblStyle w:val="16"/>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1"/>
              <w:gridCol w:w="3607"/>
              <w:gridCol w:w="671"/>
            </w:tblGrid>
            <w:tr w14:paraId="6FC8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481" w:type="dxa"/>
                  <w:vAlign w:val="center"/>
                </w:tcPr>
                <w:p w14:paraId="316F96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bidi="ar"/>
                      <w14:textFill>
                        <w14:solidFill>
                          <w14:schemeClr w14:val="tx1"/>
                        </w14:solidFill>
                      </w14:textFill>
                    </w:rPr>
                  </w:pPr>
                  <w:r>
                    <w:rPr>
                      <w:rFonts w:hint="eastAsia" w:cs="Times New Roman"/>
                      <w:b/>
                      <w:bCs/>
                      <w:color w:val="000000" w:themeColor="text1"/>
                      <w:sz w:val="21"/>
                      <w:szCs w:val="21"/>
                      <w:vertAlign w:val="baseline"/>
                      <w:lang w:eastAsia="zh-CN" w:bidi="ar"/>
                      <w14:textFill>
                        <w14:solidFill>
                          <w14:schemeClr w14:val="tx1"/>
                        </w14:solidFill>
                      </w14:textFill>
                    </w:rPr>
                    <w:t>《</w:t>
                  </w:r>
                  <w:r>
                    <w:rPr>
                      <w:rFonts w:hint="eastAsia" w:cs="Times New Roman"/>
                      <w:b/>
                      <w:bCs/>
                      <w:color w:val="000000" w:themeColor="text1"/>
                      <w:sz w:val="21"/>
                      <w:szCs w:val="21"/>
                      <w:vertAlign w:val="baseline"/>
                      <w:lang w:val="en-US" w:eastAsia="zh-CN" w:bidi="ar"/>
                      <w14:textFill>
                        <w14:solidFill>
                          <w14:schemeClr w14:val="tx1"/>
                        </w14:solidFill>
                      </w14:textFill>
                    </w:rPr>
                    <w:t>指南</w:t>
                  </w:r>
                  <w:r>
                    <w:rPr>
                      <w:rFonts w:hint="eastAsia" w:cs="Times New Roman"/>
                      <w:b/>
                      <w:bCs/>
                      <w:color w:val="000000" w:themeColor="text1"/>
                      <w:sz w:val="21"/>
                      <w:szCs w:val="21"/>
                      <w:vertAlign w:val="baseline"/>
                      <w:lang w:eastAsia="zh-CN" w:bidi="ar"/>
                      <w14:textFill>
                        <w14:solidFill>
                          <w14:schemeClr w14:val="tx1"/>
                        </w14:solidFill>
                      </w14:textFill>
                    </w:rPr>
                    <w:t>》</w:t>
                  </w:r>
                  <w:r>
                    <w:rPr>
                      <w:rFonts w:hint="eastAsia" w:cs="Times New Roman"/>
                      <w:b/>
                      <w:bCs/>
                      <w:color w:val="000000" w:themeColor="text1"/>
                      <w:sz w:val="21"/>
                      <w:szCs w:val="21"/>
                      <w:vertAlign w:val="baseline"/>
                      <w:lang w:val="en-US" w:eastAsia="zh-CN" w:bidi="ar"/>
                      <w14:textFill>
                        <w14:solidFill>
                          <w14:schemeClr w14:val="tx1"/>
                        </w14:solidFill>
                      </w14:textFill>
                    </w:rPr>
                    <w:t>要求</w:t>
                  </w:r>
                </w:p>
              </w:tc>
              <w:tc>
                <w:tcPr>
                  <w:tcW w:w="3607" w:type="dxa"/>
                  <w:vAlign w:val="center"/>
                </w:tcPr>
                <w:p w14:paraId="6C7684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vertAlign w:val="baseline"/>
                      <w:lang w:val="en-US" w:eastAsia="zh-CN" w:bidi="ar"/>
                      <w14:textFill>
                        <w14:solidFill>
                          <w14:schemeClr w14:val="tx1"/>
                        </w14:solidFill>
                      </w14:textFill>
                    </w:rPr>
                  </w:pPr>
                  <w:r>
                    <w:rPr>
                      <w:rFonts w:hint="eastAsia" w:cs="Times New Roman"/>
                      <w:b/>
                      <w:bCs/>
                      <w:color w:val="000000" w:themeColor="text1"/>
                      <w:sz w:val="21"/>
                      <w:szCs w:val="21"/>
                      <w:vertAlign w:val="baseline"/>
                      <w:lang w:val="en-US" w:eastAsia="zh-CN" w:bidi="ar"/>
                      <w14:textFill>
                        <w14:solidFill>
                          <w14:schemeClr w14:val="tx1"/>
                        </w14:solidFill>
                      </w14:textFill>
                    </w:rPr>
                    <w:t>本项目情况</w:t>
                  </w:r>
                </w:p>
              </w:tc>
              <w:tc>
                <w:tcPr>
                  <w:tcW w:w="671" w:type="dxa"/>
                  <w:vAlign w:val="center"/>
                </w:tcPr>
                <w:p w14:paraId="75E320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themeColor="text1"/>
                      <w:sz w:val="21"/>
                      <w:szCs w:val="21"/>
                      <w:vertAlign w:val="baseline"/>
                      <w:lang w:val="en-US" w:eastAsia="zh-CN" w:bidi="ar"/>
                      <w14:textFill>
                        <w14:solidFill>
                          <w14:schemeClr w14:val="tx1"/>
                        </w14:solidFill>
                      </w14:textFill>
                    </w:rPr>
                  </w:pPr>
                  <w:r>
                    <w:rPr>
                      <w:rFonts w:hint="eastAsia" w:cs="Times New Roman"/>
                      <w:b/>
                      <w:bCs/>
                      <w:color w:val="000000" w:themeColor="text1"/>
                      <w:sz w:val="21"/>
                      <w:szCs w:val="21"/>
                      <w:vertAlign w:val="baseline"/>
                      <w:lang w:val="en-US" w:eastAsia="zh-CN" w:bidi="ar"/>
                      <w14:textFill>
                        <w14:solidFill>
                          <w14:schemeClr w14:val="tx1"/>
                        </w14:solidFill>
                      </w14:textFill>
                    </w:rPr>
                    <w:t>符合性</w:t>
                  </w:r>
                </w:p>
              </w:tc>
            </w:tr>
            <w:tr w14:paraId="444B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4481" w:type="dxa"/>
                  <w:vAlign w:val="center"/>
                </w:tcPr>
                <w:p w14:paraId="7859B6A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一</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禁止建设不符合全国和省级港口布局规划以及港口总体规划的码头项目，禁止建设不符合《长江</w:t>
                  </w:r>
                  <w:r>
                    <w:rPr>
                      <w:rFonts w:hint="eastAsia" w:cs="Times New Roman"/>
                      <w:color w:val="000000" w:themeColor="text1"/>
                      <w:sz w:val="21"/>
                      <w:szCs w:val="21"/>
                      <w:vertAlign w:val="baseline"/>
                      <w:lang w:val="en-US" w:eastAsia="zh-CN" w:bidi="ar"/>
                      <w14:textFill>
                        <w14:solidFill>
                          <w14:schemeClr w14:val="tx1"/>
                        </w14:solidFill>
                      </w14:textFill>
                    </w:rPr>
                    <w:t>干</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线过江通道布局规划》的过长江通道项目。</w:t>
                  </w:r>
                </w:p>
              </w:tc>
              <w:tc>
                <w:tcPr>
                  <w:tcW w:w="3607" w:type="dxa"/>
                  <w:vAlign w:val="center"/>
                </w:tcPr>
                <w:p w14:paraId="722D620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沥青混凝土生产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，不属于码头或过江项目</w:t>
                  </w:r>
                  <w:r>
                    <w:rPr>
                      <w:rFonts w:hint="eastAsia" w:cs="Times New Roman"/>
                      <w:color w:val="000000" w:themeColor="text1"/>
                      <w:sz w:val="21"/>
                      <w:szCs w:val="21"/>
                      <w:vertAlign w:val="baseline"/>
                      <w:lang w:eastAsia="zh-CN" w:bidi="ar"/>
                      <w14:textFill>
                        <w14:solidFill>
                          <w14:schemeClr w14:val="tx1"/>
                        </w14:solidFill>
                      </w14:textFill>
                    </w:rPr>
                    <w:t>。</w:t>
                  </w:r>
                </w:p>
              </w:tc>
              <w:tc>
                <w:tcPr>
                  <w:tcW w:w="671" w:type="dxa"/>
                  <w:vAlign w:val="center"/>
                </w:tcPr>
                <w:p w14:paraId="56BCE4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2628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4481" w:type="dxa"/>
                  <w:vAlign w:val="center"/>
                </w:tcPr>
                <w:p w14:paraId="2AF8D88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二</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3607" w:type="dxa"/>
                  <w:vAlign w:val="center"/>
                </w:tcPr>
                <w:p w14:paraId="3241E69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ascii="Times New Roman" w:hAnsi="Times New Roman" w:eastAsia="宋体" w:cs="Times New Roman"/>
                      <w:color w:val="auto"/>
                      <w:kern w:val="0"/>
                      <w:sz w:val="21"/>
                      <w:szCs w:val="21"/>
                      <w:lang w:val="en-US" w:eastAsia="zh-CN" w:bidi="ar"/>
                    </w:rPr>
                    <w:t>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自然保护区</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风景名胜区。</w:t>
                  </w:r>
                </w:p>
              </w:tc>
              <w:tc>
                <w:tcPr>
                  <w:tcW w:w="671" w:type="dxa"/>
                  <w:vAlign w:val="center"/>
                </w:tcPr>
                <w:p w14:paraId="58EA19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1BE4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1" w:type="dxa"/>
                  <w:vAlign w:val="center"/>
                </w:tcPr>
                <w:p w14:paraId="35829CD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三</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cs="Times New Roman"/>
                      <w:color w:val="000000" w:themeColor="text1"/>
                      <w:sz w:val="21"/>
                      <w:szCs w:val="21"/>
                      <w:vertAlign w:val="baseline"/>
                      <w:lang w:eastAsia="zh-CN" w:bidi="ar"/>
                      <w14:textFill>
                        <w14:solidFill>
                          <w14:schemeClr w14:val="tx1"/>
                        </w14:solidFill>
                      </w14:textFill>
                    </w:rPr>
                    <w:t>。</w:t>
                  </w:r>
                </w:p>
              </w:tc>
              <w:tc>
                <w:tcPr>
                  <w:tcW w:w="3607" w:type="dxa"/>
                  <w:vAlign w:val="center"/>
                </w:tcPr>
                <w:p w14:paraId="6CF1EDE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ascii="Times New Roman" w:hAnsi="Times New Roman" w:eastAsia="宋体" w:cs="Times New Roman"/>
                      <w:color w:val="auto"/>
                      <w:kern w:val="0"/>
                      <w:sz w:val="21"/>
                      <w:szCs w:val="21"/>
                      <w:lang w:val="en-US" w:eastAsia="zh-CN" w:bidi="ar"/>
                    </w:rPr>
                    <w:t>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饮用水水源一级</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二级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保护区的岸线和河段范围</w:t>
                  </w:r>
                  <w:r>
                    <w:rPr>
                      <w:rFonts w:hint="eastAsia" w:cs="Times New Roman"/>
                      <w:color w:val="000000" w:themeColor="text1"/>
                      <w:sz w:val="21"/>
                      <w:szCs w:val="21"/>
                      <w:vertAlign w:val="baseline"/>
                      <w:lang w:eastAsia="zh-CN" w:bidi="ar"/>
                      <w14:textFill>
                        <w14:solidFill>
                          <w14:schemeClr w14:val="tx1"/>
                        </w14:solidFill>
                      </w14:textFill>
                    </w:rPr>
                    <w:t>。</w:t>
                  </w:r>
                </w:p>
              </w:tc>
              <w:tc>
                <w:tcPr>
                  <w:tcW w:w="671" w:type="dxa"/>
                  <w:vAlign w:val="center"/>
                </w:tcPr>
                <w:p w14:paraId="664854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7ED2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4481" w:type="dxa"/>
                  <w:vAlign w:val="center"/>
                </w:tcPr>
                <w:p w14:paraId="7284FFE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四</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3607" w:type="dxa"/>
                  <w:vAlign w:val="center"/>
                </w:tcPr>
                <w:p w14:paraId="0791F37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ascii="Times New Roman" w:hAnsi="Times New Roman" w:eastAsia="宋体" w:cs="Times New Roman"/>
                      <w:color w:val="auto"/>
                      <w:kern w:val="0"/>
                      <w:sz w:val="21"/>
                      <w:szCs w:val="21"/>
                      <w:lang w:val="en-US" w:eastAsia="zh-CN" w:bidi="ar"/>
                    </w:rPr>
                    <w:t>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水产种质资源保护区</w:t>
                  </w:r>
                  <w:r>
                    <w:rPr>
                      <w:rFonts w:hint="eastAsia" w:cs="Times New Roman"/>
                      <w:color w:val="000000" w:themeColor="text1"/>
                      <w:sz w:val="21"/>
                      <w:szCs w:val="21"/>
                      <w:vertAlign w:val="baseline"/>
                      <w:lang w:eastAsia="zh-CN" w:bidi="ar"/>
                      <w14:textFill>
                        <w14:solidFill>
                          <w14:schemeClr w14:val="tx1"/>
                        </w14:solidFill>
                      </w14:textFill>
                    </w:rPr>
                    <w:t>。</w:t>
                  </w:r>
                </w:p>
              </w:tc>
              <w:tc>
                <w:tcPr>
                  <w:tcW w:w="671" w:type="dxa"/>
                  <w:vAlign w:val="center"/>
                </w:tcPr>
                <w:p w14:paraId="2BEBB8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2CCF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4481" w:type="dxa"/>
                  <w:vAlign w:val="center"/>
                </w:tcPr>
                <w:p w14:paraId="50288D9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五</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3607" w:type="dxa"/>
                  <w:vAlign w:val="center"/>
                </w:tcPr>
                <w:p w14:paraId="60F776A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ascii="Times New Roman" w:hAnsi="Times New Roman" w:eastAsia="宋体" w:cs="Times New Roman"/>
                      <w:color w:val="auto"/>
                      <w:kern w:val="0"/>
                      <w:sz w:val="21"/>
                      <w:szCs w:val="21"/>
                      <w:lang w:val="en-US" w:eastAsia="zh-CN" w:bidi="ar"/>
                    </w:rPr>
                    <w:t>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长江流域河湖岸线</w:t>
                  </w:r>
                  <w:r>
                    <w:rPr>
                      <w:rFonts w:hint="eastAsia" w:cs="Times New Roman"/>
                      <w:color w:val="000000" w:themeColor="text1"/>
                      <w:sz w:val="21"/>
                      <w:szCs w:val="21"/>
                      <w:vertAlign w:val="baseline"/>
                      <w:lang w:eastAsia="zh-CN" w:bidi="ar"/>
                      <w14:textFill>
                        <w14:solidFill>
                          <w14:schemeClr w14:val="tx1"/>
                        </w14:solidFill>
                      </w14:textFill>
                    </w:rPr>
                    <w:t>。</w:t>
                  </w:r>
                </w:p>
              </w:tc>
              <w:tc>
                <w:tcPr>
                  <w:tcW w:w="671" w:type="dxa"/>
                  <w:vAlign w:val="center"/>
                </w:tcPr>
                <w:p w14:paraId="68DB01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4962E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481" w:type="dxa"/>
                  <w:vAlign w:val="center"/>
                </w:tcPr>
                <w:p w14:paraId="5707C04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六</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禁止未经许可在长江干支流及湖泊新设、改设或扩大排污口。</w:t>
                  </w:r>
                </w:p>
              </w:tc>
              <w:tc>
                <w:tcPr>
                  <w:tcW w:w="3607" w:type="dxa"/>
                  <w:vAlign w:val="center"/>
                </w:tcPr>
                <w:p w14:paraId="336939E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000000" w:themeColor="text1"/>
                      <w:sz w:val="21"/>
                      <w:szCs w:val="21"/>
                      <w:vertAlign w:val="baseline"/>
                      <w:lang w:val="en-US" w:eastAsia="zh-CN"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本项目不设排污口。</w:t>
                  </w:r>
                </w:p>
              </w:tc>
              <w:tc>
                <w:tcPr>
                  <w:tcW w:w="671" w:type="dxa"/>
                  <w:vAlign w:val="center"/>
                </w:tcPr>
                <w:p w14:paraId="6F863E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6CA5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481" w:type="dxa"/>
                  <w:vAlign w:val="center"/>
                </w:tcPr>
                <w:p w14:paraId="0507FD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七</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禁止在“一江一口两湖七河”和332个水生生物保护区开展生产性捕捞。</w:t>
                  </w:r>
                </w:p>
              </w:tc>
              <w:tc>
                <w:tcPr>
                  <w:tcW w:w="3607" w:type="dxa"/>
                  <w:vAlign w:val="center"/>
                </w:tcPr>
                <w:p w14:paraId="138514A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沥青混凝土生产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生产性捕捞</w:t>
                  </w:r>
                  <w:r>
                    <w:rPr>
                      <w:rFonts w:hint="eastAsia" w:cs="Times New Roman"/>
                      <w:color w:val="000000" w:themeColor="text1"/>
                      <w:sz w:val="21"/>
                      <w:szCs w:val="21"/>
                      <w:vertAlign w:val="baseline"/>
                      <w:lang w:eastAsia="zh-CN" w:bidi="ar"/>
                      <w14:textFill>
                        <w14:solidFill>
                          <w14:schemeClr w14:val="tx1"/>
                        </w14:solidFill>
                      </w14:textFill>
                    </w:rPr>
                    <w:t>。</w:t>
                  </w:r>
                </w:p>
              </w:tc>
              <w:tc>
                <w:tcPr>
                  <w:tcW w:w="671" w:type="dxa"/>
                  <w:vAlign w:val="center"/>
                </w:tcPr>
                <w:p w14:paraId="67CB60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1B34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4481" w:type="dxa"/>
                  <w:vAlign w:val="center"/>
                </w:tcPr>
                <w:p w14:paraId="7817A09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八</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长江千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3607" w:type="dxa"/>
                  <w:vAlign w:val="center"/>
                </w:tcPr>
                <w:p w14:paraId="70B1151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沥青混凝土生产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不属于</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化工园区和化工项目</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尾矿库、冶炼渣库和磷石膏库</w:t>
                  </w:r>
                  <w:r>
                    <w:rPr>
                      <w:rFonts w:hint="eastAsia" w:cs="Times New Roman"/>
                      <w:color w:val="000000" w:themeColor="text1"/>
                      <w:sz w:val="21"/>
                      <w:szCs w:val="21"/>
                      <w:vertAlign w:val="baseline"/>
                      <w:lang w:eastAsia="zh-CN" w:bidi="ar"/>
                      <w14:textFill>
                        <w14:solidFill>
                          <w14:schemeClr w14:val="tx1"/>
                        </w14:solidFill>
                      </w14:textFill>
                    </w:rPr>
                    <w:t>。</w:t>
                  </w:r>
                </w:p>
              </w:tc>
              <w:tc>
                <w:tcPr>
                  <w:tcW w:w="671" w:type="dxa"/>
                  <w:vAlign w:val="center"/>
                </w:tcPr>
                <w:p w14:paraId="6925DB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236A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4481" w:type="dxa"/>
                  <w:vAlign w:val="center"/>
                </w:tcPr>
                <w:p w14:paraId="43FBFBE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十</w:t>
                  </w:r>
                  <w:r>
                    <w:rPr>
                      <w:rFonts w:hint="eastAsia" w:cs="Times New Roman"/>
                      <w:color w:val="000000" w:themeColor="text1"/>
                      <w:sz w:val="21"/>
                      <w:szCs w:val="21"/>
                      <w:vertAlign w:val="baseli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禁止在合规园区外新建、扩建钢铁、石化、化工、焦化、建材、有色、制浆造纸等高污染项目。</w:t>
                  </w:r>
                </w:p>
              </w:tc>
              <w:tc>
                <w:tcPr>
                  <w:tcW w:w="3607" w:type="dxa"/>
                  <w:vAlign w:val="center"/>
                </w:tcPr>
                <w:p w14:paraId="1BDD996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eastAsia="zh-CN"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沥青混凝土生产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钢铁、石化、化工、焦化、建材、有色、制浆造纸等高污染项目</w:t>
                  </w:r>
                  <w:r>
                    <w:rPr>
                      <w:rFonts w:hint="eastAsia" w:cs="Times New Roman"/>
                      <w:color w:val="000000" w:themeColor="text1"/>
                      <w:sz w:val="21"/>
                      <w:szCs w:val="21"/>
                      <w:vertAlign w:val="baseline"/>
                      <w:lang w:eastAsia="zh-CN" w:bidi="ar"/>
                      <w14:textFill>
                        <w14:solidFill>
                          <w14:schemeClr w14:val="tx1"/>
                        </w14:solidFill>
                      </w14:textFill>
                    </w:rPr>
                    <w:t>。</w:t>
                  </w:r>
                </w:p>
              </w:tc>
              <w:tc>
                <w:tcPr>
                  <w:tcW w:w="671" w:type="dxa"/>
                  <w:shd w:val="clear" w:color="auto" w:fill="auto"/>
                  <w:vAlign w:val="center"/>
                </w:tcPr>
                <w:p w14:paraId="523391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r w14:paraId="38BF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4481" w:type="dxa"/>
                  <w:vAlign w:val="center"/>
                </w:tcPr>
                <w:p w14:paraId="45631A3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default" w:cs="Times New Roman"/>
                      <w:color w:val="000000" w:themeColor="text1"/>
                      <w:sz w:val="21"/>
                      <w:szCs w:val="21"/>
                      <w:vertAlign w:val="baseline"/>
                      <w:lang w:val="en-US" w:eastAsia="zh-CN" w:bidi="ar"/>
                      <w14:textFill>
                        <w14:solidFill>
                          <w14:schemeClr w14:val="tx1"/>
                        </w14:solidFill>
                      </w14:textFill>
                    </w:rPr>
                  </w:pPr>
                  <w:r>
                    <w:rPr>
                      <w:rFonts w:hint="eastAsia" w:cs="Times New Roman"/>
                      <w:color w:val="000000" w:themeColor="text1"/>
                      <w:sz w:val="21"/>
                      <w:szCs w:val="21"/>
                      <w:vertAlign w:val="baseline"/>
                      <w:lang w:eastAsia="zh-CN"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十一</w:t>
                  </w:r>
                  <w:r>
                    <w:rPr>
                      <w:rFonts w:hint="eastAsia" w:cs="Times New Roman"/>
                      <w:color w:val="000000" w:themeColor="text1"/>
                      <w:sz w:val="21"/>
                      <w:szCs w:val="21"/>
                      <w:vertAlign w:val="baseline"/>
                      <w:lang w:eastAsia="zh-CN" w:bidi="ar"/>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w:t>
                  </w:r>
                  <w:r>
                    <w:rPr>
                      <w:rFonts w:hint="eastAsia" w:cs="Times New Roman"/>
                      <w:color w:val="000000" w:themeColor="text1"/>
                      <w:sz w:val="21"/>
                      <w:szCs w:val="21"/>
                      <w:vertAlign w:val="baseline"/>
                      <w:lang w:val="en-US" w:eastAsia="zh-CN" w:bidi="ar"/>
                      <w14:textFill>
                        <w14:solidFill>
                          <w14:schemeClr w14:val="tx1"/>
                        </w14:solidFill>
                      </w14:textFill>
                    </w:rPr>
                    <w:t>目。</w:t>
                  </w:r>
                </w:p>
              </w:tc>
              <w:tc>
                <w:tcPr>
                  <w:tcW w:w="3607" w:type="dxa"/>
                  <w:vAlign w:val="center"/>
                </w:tcPr>
                <w:p w14:paraId="2373120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沥青混凝土生产</w:t>
                  </w:r>
                  <w:r>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t>，</w:t>
                  </w:r>
                  <w:r>
                    <w:rPr>
                      <w:rFonts w:hint="eastAsia" w:cs="Times New Roman"/>
                      <w:color w:val="000000" w:themeColor="text1"/>
                      <w:sz w:val="21"/>
                      <w:szCs w:val="21"/>
                      <w:vertAlign w:val="baseline"/>
                      <w:lang w:val="en-US" w:eastAsia="zh-CN" w:bidi="ar"/>
                      <w14:textFill>
                        <w14:solidFill>
                          <w14:schemeClr w14:val="tx1"/>
                        </w14:solidFill>
                      </w14:textFill>
                    </w:rPr>
                    <w:t>不涉及</w:t>
                  </w:r>
                  <w:r>
                    <w:rPr>
                      <w:rFonts w:hint="eastAsia" w:cs="Times New Roman"/>
                      <w:color w:val="000000" w:themeColor="text1"/>
                      <w:sz w:val="21"/>
                      <w:szCs w:val="21"/>
                      <w:vertAlign w:val="baseline"/>
                      <w:lang w:eastAsia="zh-CN" w:bidi="ar"/>
                      <w14:textFill>
                        <w14:solidFill>
                          <w14:schemeClr w14:val="tx1"/>
                        </w14:solidFill>
                      </w14:textFill>
                    </w:rPr>
                    <w:t>落后产能、高耗能高排放项</w:t>
                  </w:r>
                  <w:r>
                    <w:rPr>
                      <w:rFonts w:hint="eastAsia" w:cs="Times New Roman"/>
                      <w:color w:val="000000" w:themeColor="text1"/>
                      <w:sz w:val="21"/>
                      <w:szCs w:val="21"/>
                      <w:vertAlign w:val="baseline"/>
                      <w:lang w:val="en-US" w:eastAsia="zh-CN" w:bidi="ar"/>
                      <w14:textFill>
                        <w14:solidFill>
                          <w14:schemeClr w14:val="tx1"/>
                        </w14:solidFill>
                      </w14:textFill>
                    </w:rPr>
                    <w:t>目。</w:t>
                  </w:r>
                </w:p>
              </w:tc>
              <w:tc>
                <w:tcPr>
                  <w:tcW w:w="671" w:type="dxa"/>
                  <w:vAlign w:val="center"/>
                </w:tcPr>
                <w:p w14:paraId="469E18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sz w:val="21"/>
                      <w:szCs w:val="21"/>
                      <w:vertAlign w:val="baseline"/>
                      <w:lang w:bidi="ar"/>
                      <w14:textFill>
                        <w14:solidFill>
                          <w14:schemeClr w14:val="tx1"/>
                        </w14:solidFill>
                      </w14:textFill>
                    </w:rPr>
                  </w:pPr>
                  <w:r>
                    <w:rPr>
                      <w:rFonts w:hint="eastAsia" w:cs="Times New Roman"/>
                      <w:color w:val="000000" w:themeColor="text1"/>
                      <w:sz w:val="21"/>
                      <w:szCs w:val="21"/>
                      <w:vertAlign w:val="baseline"/>
                      <w:lang w:val="en-US" w:eastAsia="zh-CN" w:bidi="ar"/>
                      <w14:textFill>
                        <w14:solidFill>
                          <w14:schemeClr w14:val="tx1"/>
                        </w14:solidFill>
                      </w14:textFill>
                    </w:rPr>
                    <w:t>符合</w:t>
                  </w:r>
                </w:p>
              </w:tc>
            </w:tr>
          </w:tbl>
          <w:p w14:paraId="411A133F">
            <w:pPr>
              <w:keepNext w:val="0"/>
              <w:keepLines w:val="0"/>
              <w:pageBreakBefore w:val="0"/>
              <w:widowControl w:val="0"/>
              <w:kinsoku/>
              <w:wordWrap/>
              <w:overflowPunct/>
              <w:topLinePunct w:val="0"/>
              <w:autoSpaceDE/>
              <w:autoSpaceDN/>
              <w:bidi w:val="0"/>
              <w:adjustRightInd/>
              <w:snapToGrid/>
              <w:spacing w:before="157" w:beforeLines="50"/>
              <w:ind w:left="0" w:leftChars="0" w:firstLine="480" w:firstLineChars="200"/>
              <w:textAlignment w:val="auto"/>
              <w:rPr>
                <w:rFonts w:hint="eastAsia"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，本项目与《长江经济带发展负面清单指南（试行，2022年版）》的内容相符合。</w:t>
            </w:r>
          </w:p>
          <w:p w14:paraId="52C5C49D">
            <w:pPr>
              <w:keepNext w:val="0"/>
              <w:keepLines w:val="0"/>
              <w:widowControl/>
              <w:numPr>
                <w:ilvl w:val="0"/>
                <w:numId w:val="0"/>
              </w:numPr>
              <w:suppressLineNumbers w:val="0"/>
              <w:jc w:val="left"/>
              <w:rPr>
                <w:highlight w:val="none"/>
              </w:rPr>
            </w:pPr>
            <w:r>
              <w:rPr>
                <w:rFonts w:hint="eastAsia" w:cs="Times New Roman"/>
                <w:b/>
                <w:bCs/>
                <w:kern w:val="2"/>
                <w:sz w:val="24"/>
                <w:szCs w:val="24"/>
                <w:highlight w:val="none"/>
                <w:lang w:val="en-US" w:eastAsia="zh-CN" w:bidi="ar-SA"/>
              </w:rPr>
              <w:t>四</w:t>
            </w:r>
            <w:r>
              <w:rPr>
                <w:rFonts w:hint="eastAsia" w:ascii="Times New Roman" w:hAnsi="Times New Roman" w:eastAsia="宋体" w:cs="Times New Roman"/>
                <w:b/>
                <w:bCs/>
                <w:kern w:val="2"/>
                <w:sz w:val="24"/>
                <w:szCs w:val="24"/>
                <w:highlight w:val="none"/>
                <w:lang w:val="en-US" w:eastAsia="zh-CN" w:bidi="ar-SA"/>
              </w:rPr>
              <w:t>、</w:t>
            </w:r>
            <w:r>
              <w:rPr>
                <w:rFonts w:hint="eastAsia"/>
                <w:b/>
                <w:bCs/>
                <w:highlight w:val="none"/>
                <w:lang w:val="en-US" w:eastAsia="zh-CN"/>
              </w:rPr>
              <w:t>与</w:t>
            </w:r>
            <w:r>
              <w:rPr>
                <w:rFonts w:hint="default" w:ascii="Times New Roman" w:hAnsi="Times New Roman" w:eastAsia="宋体" w:cs="Times New Roman"/>
                <w:b/>
                <w:bCs/>
                <w:color w:val="auto"/>
                <w:kern w:val="0"/>
                <w:sz w:val="24"/>
                <w:szCs w:val="24"/>
                <w:highlight w:val="none"/>
                <w:lang w:val="en-US" w:eastAsia="zh-CN" w:bidi="ar"/>
              </w:rPr>
              <w:t>《云南省长江经济带发展负面清单指南实施细则（试行》</w:t>
            </w:r>
            <w:r>
              <w:rPr>
                <w:rFonts w:hint="eastAsia"/>
                <w:b/>
                <w:bCs/>
                <w:highlight w:val="none"/>
                <w:lang w:val="en-US" w:eastAsia="zh-CN"/>
              </w:rPr>
              <w:t>符合性分析</w:t>
            </w:r>
          </w:p>
          <w:p w14:paraId="3AE06BD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000000" w:themeColor="text1"/>
                <w:sz w:val="24"/>
                <w:lang w:bidi="ar"/>
                <w14:textFill>
                  <w14:solidFill>
                    <w14:schemeClr w14:val="tx1"/>
                  </w14:solidFill>
                </w14:textFill>
              </w:rPr>
            </w:pPr>
            <w:r>
              <w:rPr>
                <w:rFonts w:hint="eastAsia" w:ascii="Times New Roman" w:hAnsi="Times New Roman" w:eastAsia="宋体" w:cs="Times New Roman"/>
                <w:color w:val="000000" w:themeColor="text1"/>
                <w:sz w:val="24"/>
                <w:lang w:val="en-US" w:eastAsia="zh-CN" w:bidi="ar"/>
                <w14:textFill>
                  <w14:solidFill>
                    <w14:schemeClr w14:val="tx1"/>
                  </w14:solidFill>
                </w14:textFill>
              </w:rPr>
              <w:t>本项目与</w:t>
            </w:r>
            <w:r>
              <w:rPr>
                <w:rFonts w:hint="eastAsia" w:ascii="Times New Roman" w:hAnsi="Times New Roman" w:eastAsia="宋体" w:cs="Times New Roman"/>
                <w:color w:val="000000" w:themeColor="text1"/>
                <w:sz w:val="24"/>
                <w:lang w:bidi="ar"/>
                <w14:textFill>
                  <w14:solidFill>
                    <w14:schemeClr w14:val="tx1"/>
                  </w14:solidFill>
                </w14:textFill>
              </w:rPr>
              <w:t>《云南省长江经济带发展负面清单指南实施细则（试行）》</w:t>
            </w:r>
            <w:r>
              <w:rPr>
                <w:rFonts w:hint="eastAsia" w:ascii="Times New Roman" w:hAnsi="Times New Roman" w:eastAsia="宋体" w:cs="Times New Roman"/>
                <w:color w:val="000000" w:themeColor="text1"/>
                <w:sz w:val="24"/>
                <w:lang w:val="en-US" w:eastAsia="zh-CN" w:bidi="ar"/>
                <w14:textFill>
                  <w14:solidFill>
                    <w14:schemeClr w14:val="tx1"/>
                  </w14:solidFill>
                </w14:textFill>
              </w:rPr>
              <w:t>符合性分析详见下表1-</w:t>
            </w:r>
            <w:r>
              <w:rPr>
                <w:rFonts w:hint="eastAsia" w:cs="Times New Roman"/>
                <w:color w:val="000000" w:themeColor="text1"/>
                <w:sz w:val="24"/>
                <w:lang w:val="en-US" w:eastAsia="zh-CN" w:bidi="ar"/>
                <w14:textFill>
                  <w14:solidFill>
                    <w14:schemeClr w14:val="tx1"/>
                  </w14:solidFill>
                </w14:textFill>
              </w:rPr>
              <w:t>4</w:t>
            </w:r>
            <w:r>
              <w:rPr>
                <w:rFonts w:hint="eastAsia" w:ascii="Times New Roman" w:hAnsi="Times New Roman" w:eastAsia="宋体" w:cs="Times New Roman"/>
                <w:color w:val="000000" w:themeColor="text1"/>
                <w:sz w:val="24"/>
                <w:lang w:val="en-US" w:eastAsia="zh-CN" w:bidi="ar"/>
                <w14:textFill>
                  <w14:solidFill>
                    <w14:schemeClr w14:val="tx1"/>
                  </w14:solidFill>
                </w14:textFill>
              </w:rPr>
              <w:t>。</w:t>
            </w:r>
          </w:p>
          <w:p w14:paraId="6BAE475E">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4</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与《云南省长江经济带发展负面清单指南实施细则（试行）》相符性分析</w:t>
            </w:r>
          </w:p>
          <w:tbl>
            <w:tblPr>
              <w:tblStyle w:val="16"/>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2"/>
              <w:gridCol w:w="3257"/>
              <w:gridCol w:w="539"/>
            </w:tblGrid>
            <w:tr w14:paraId="3952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22" w:type="dxa"/>
                  <w:noWrap w:val="0"/>
                  <w:vAlign w:val="center"/>
                </w:tcPr>
                <w:p w14:paraId="66DD707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实施细则</w:t>
                  </w:r>
                  <w:r>
                    <w:rPr>
                      <w:rFonts w:hint="default" w:ascii="Times New Roman" w:hAnsi="Times New Roman" w:eastAsia="宋体" w:cs="Times New Roman"/>
                      <w:b/>
                      <w:bCs/>
                      <w:color w:val="auto"/>
                      <w:sz w:val="21"/>
                      <w:szCs w:val="21"/>
                    </w:rPr>
                    <w:t>》要求</w:t>
                  </w:r>
                </w:p>
              </w:tc>
              <w:tc>
                <w:tcPr>
                  <w:tcW w:w="3257" w:type="dxa"/>
                  <w:noWrap w:val="0"/>
                  <w:vAlign w:val="center"/>
                </w:tcPr>
                <w:p w14:paraId="105EA47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539" w:type="dxa"/>
                  <w:noWrap w:val="0"/>
                  <w:vAlign w:val="center"/>
                </w:tcPr>
                <w:p w14:paraId="481E421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4E98C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722" w:type="dxa"/>
                  <w:noWrap w:val="0"/>
                  <w:vAlign w:val="center"/>
                </w:tcPr>
                <w:p w14:paraId="7AF8AA1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新建、改建和扩建不符合《全国内河航道与港口布局规划》等全国港口规划和《昭通市港口码头岸线规划（金沙江段2019年一2035年）》，《景洪港总体规划（2019-2035年）》等州（市）级以上港口布局规划以及港口总体规划的码头项目。</w:t>
                  </w:r>
                </w:p>
              </w:tc>
              <w:tc>
                <w:tcPr>
                  <w:tcW w:w="3257" w:type="dxa"/>
                  <w:noWrap w:val="0"/>
                  <w:vAlign w:val="center"/>
                </w:tcPr>
                <w:p w14:paraId="235CA94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沥青混凝土生产</w:t>
                  </w:r>
                  <w:r>
                    <w:rPr>
                      <w:rFonts w:hint="default" w:ascii="Times New Roman" w:hAnsi="Times New Roman" w:eastAsia="宋体" w:cs="Times New Roman"/>
                      <w:b w:val="0"/>
                      <w:bCs w:val="0"/>
                      <w:color w:val="auto"/>
                      <w:kern w:val="0"/>
                      <w:sz w:val="21"/>
                      <w:szCs w:val="21"/>
                      <w:vertAlign w:val="baseline"/>
                      <w:lang w:val="en-US" w:eastAsia="zh-CN" w:bidi="ar"/>
                    </w:rPr>
                    <w:t>，不属于</w:t>
                  </w:r>
                  <w:r>
                    <w:rPr>
                      <w:rFonts w:hint="default" w:ascii="Times New Roman" w:hAnsi="Times New Roman" w:eastAsia="宋体" w:cs="Times New Roman"/>
                      <w:color w:val="auto"/>
                      <w:kern w:val="0"/>
                      <w:sz w:val="21"/>
                      <w:szCs w:val="21"/>
                      <w:lang w:val="en-US" w:eastAsia="zh-CN" w:bidi="ar"/>
                    </w:rPr>
                    <w:t>港口布局规划以及港口总体规划的码头项目。</w:t>
                  </w:r>
                </w:p>
              </w:tc>
              <w:tc>
                <w:tcPr>
                  <w:tcW w:w="539" w:type="dxa"/>
                  <w:noWrap w:val="0"/>
                  <w:vAlign w:val="center"/>
                </w:tcPr>
                <w:p w14:paraId="7D78BA3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400C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4722" w:type="dxa"/>
                  <w:noWrap w:val="0"/>
                  <w:vAlign w:val="center"/>
                </w:tcPr>
                <w:p w14:paraId="0A1E3CB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3257" w:type="dxa"/>
                  <w:noWrap w:val="0"/>
                  <w:vAlign w:val="center"/>
                </w:tcPr>
                <w:p w14:paraId="0FE484E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ascii="Times New Roman" w:hAnsi="Times New Roman" w:eastAsia="宋体" w:cs="Times New Roman"/>
                      <w:color w:val="auto"/>
                      <w:kern w:val="0"/>
                      <w:sz w:val="21"/>
                      <w:szCs w:val="21"/>
                      <w:lang w:val="en-US" w:eastAsia="zh-CN" w:bidi="ar"/>
                    </w:rPr>
                    <w:t>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sz w:val="21"/>
                      <w:szCs w:val="21"/>
                      <w:lang w:val="en-US" w:eastAsia="zh-CN"/>
                    </w:rPr>
                    <w:t>用地不涉及</w:t>
                  </w:r>
                  <w:r>
                    <w:rPr>
                      <w:rFonts w:hint="default" w:ascii="Times New Roman" w:hAnsi="Times New Roman" w:eastAsia="宋体" w:cs="Times New Roman"/>
                      <w:color w:val="auto"/>
                      <w:kern w:val="0"/>
                      <w:sz w:val="21"/>
                      <w:szCs w:val="21"/>
                      <w:lang w:val="en-US" w:eastAsia="zh-CN" w:bidi="ar"/>
                    </w:rPr>
                    <w:t>自然保护区核心区、缓冲区的岸线和河段范围。</w:t>
                  </w:r>
                </w:p>
              </w:tc>
              <w:tc>
                <w:tcPr>
                  <w:tcW w:w="539" w:type="dxa"/>
                  <w:noWrap w:val="0"/>
                  <w:vAlign w:val="center"/>
                </w:tcPr>
                <w:p w14:paraId="0D339B1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3935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22" w:type="dxa"/>
                  <w:noWrap w:val="0"/>
                  <w:vAlign w:val="center"/>
                </w:tcPr>
                <w:p w14:paraId="76B1F35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3257" w:type="dxa"/>
                  <w:noWrap w:val="0"/>
                  <w:vAlign w:val="center"/>
                </w:tcPr>
                <w:p w14:paraId="68A2CBC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ascii="Times New Roman" w:hAnsi="Times New Roman" w:eastAsia="宋体" w:cs="Times New Roman"/>
                      <w:color w:val="auto"/>
                      <w:kern w:val="0"/>
                      <w:sz w:val="21"/>
                      <w:szCs w:val="21"/>
                      <w:lang w:val="en-US" w:eastAsia="zh-CN" w:bidi="ar"/>
                    </w:rPr>
                    <w:t>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sz w:val="21"/>
                      <w:szCs w:val="21"/>
                      <w:lang w:val="en-US" w:eastAsia="zh-CN"/>
                    </w:rPr>
                    <w:t>用地不涉及</w:t>
                  </w:r>
                  <w:r>
                    <w:rPr>
                      <w:rFonts w:hint="default" w:ascii="Times New Roman" w:hAnsi="Times New Roman" w:eastAsia="宋体" w:cs="Times New Roman"/>
                      <w:color w:val="auto"/>
                      <w:kern w:val="0"/>
                      <w:sz w:val="21"/>
                      <w:szCs w:val="21"/>
                      <w:lang w:val="en-US" w:eastAsia="zh-CN" w:bidi="ar"/>
                    </w:rPr>
                    <w:t>风景名胜区核心景区的岸线和河段范围。</w:t>
                  </w:r>
                </w:p>
              </w:tc>
              <w:tc>
                <w:tcPr>
                  <w:tcW w:w="539" w:type="dxa"/>
                  <w:noWrap w:val="0"/>
                  <w:vAlign w:val="center"/>
                </w:tcPr>
                <w:p w14:paraId="7CF6E37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77B5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722" w:type="dxa"/>
                  <w:noWrap w:val="0"/>
                  <w:vAlign w:val="center"/>
                </w:tcPr>
                <w:p w14:paraId="07DDB99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3257" w:type="dxa"/>
                  <w:noWrap w:val="0"/>
                  <w:vAlign w:val="center"/>
                </w:tcPr>
                <w:p w14:paraId="339A072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ascii="Times New Roman" w:hAnsi="Times New Roman" w:eastAsia="宋体" w:cs="Times New Roman"/>
                      <w:color w:val="auto"/>
                      <w:kern w:val="0"/>
                      <w:sz w:val="21"/>
                      <w:szCs w:val="21"/>
                      <w:lang w:val="en-US" w:eastAsia="zh-CN" w:bidi="ar"/>
                    </w:rPr>
                    <w:t>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，用地不涉及饮用水水源一级、二级保护区的岸线和河段范围。</w:t>
                  </w:r>
                </w:p>
              </w:tc>
              <w:tc>
                <w:tcPr>
                  <w:tcW w:w="539" w:type="dxa"/>
                  <w:noWrap w:val="0"/>
                  <w:vAlign w:val="center"/>
                </w:tcPr>
                <w:p w14:paraId="6C1251A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119A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722" w:type="dxa"/>
                  <w:noWrap w:val="0"/>
                  <w:vAlign w:val="center"/>
                </w:tcPr>
                <w:p w14:paraId="21C2821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3257" w:type="dxa"/>
                  <w:noWrap w:val="0"/>
                  <w:vAlign w:val="center"/>
                </w:tcPr>
                <w:p w14:paraId="5FE3A64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本项目不涉及水产种质资源保护区的岸线或河段范围</w:t>
                  </w:r>
                  <w:r>
                    <w:rPr>
                      <w:rFonts w:hint="eastAsia" w:cs="Times New Roman"/>
                      <w:b w:val="0"/>
                      <w:bCs w:val="0"/>
                      <w:color w:val="auto"/>
                      <w:kern w:val="0"/>
                      <w:sz w:val="21"/>
                      <w:szCs w:val="21"/>
                      <w:vertAlign w:val="baseline"/>
                      <w:lang w:val="en-US" w:eastAsia="zh-CN" w:bidi="ar"/>
                    </w:rPr>
                    <w:t>，</w:t>
                  </w:r>
                  <w:r>
                    <w:rPr>
                      <w:rFonts w:hint="default" w:ascii="Times New Roman" w:hAnsi="Times New Roman" w:eastAsia="宋体" w:cs="Times New Roman"/>
                      <w:b w:val="0"/>
                      <w:bCs w:val="0"/>
                      <w:color w:val="auto"/>
                      <w:kern w:val="0"/>
                      <w:sz w:val="21"/>
                      <w:szCs w:val="21"/>
                      <w:vertAlign w:val="baseline"/>
                      <w:lang w:val="en-US" w:eastAsia="zh-CN" w:bidi="ar"/>
                    </w:rPr>
                    <w:t>不涉及国家湿地公园的土地。</w:t>
                  </w:r>
                </w:p>
              </w:tc>
              <w:tc>
                <w:tcPr>
                  <w:tcW w:w="539" w:type="dxa"/>
                  <w:noWrap w:val="0"/>
                  <w:vAlign w:val="center"/>
                </w:tcPr>
                <w:p w14:paraId="379154A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0A3E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4722" w:type="dxa"/>
                  <w:noWrap w:val="0"/>
                  <w:vAlign w:val="center"/>
                </w:tcPr>
                <w:p w14:paraId="2DF2C59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3257" w:type="dxa"/>
                  <w:noWrap w:val="0"/>
                  <w:vAlign w:val="center"/>
                </w:tcPr>
                <w:p w14:paraId="24CEA1C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本项目位于</w:t>
                  </w:r>
                  <w:r>
                    <w:rPr>
                      <w:rFonts w:hint="eastAsia" w:ascii="Times New Roman" w:hAnsi="Times New Roman" w:eastAsia="宋体" w:cs="Times New Roman"/>
                      <w:color w:val="auto"/>
                      <w:kern w:val="0"/>
                      <w:sz w:val="21"/>
                      <w:szCs w:val="21"/>
                      <w:lang w:val="en-US" w:eastAsia="zh-CN" w:bidi="ar"/>
                    </w:rPr>
                    <w:t>昆明市寻甸县仁德街道道院社区大发古村石头山采石场内</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sz w:val="21"/>
                      <w:szCs w:val="21"/>
                      <w:lang w:val="en-US" w:eastAsia="zh-CN"/>
                    </w:rPr>
                    <w:t>用地不涉及</w:t>
                  </w:r>
                  <w:r>
                    <w:rPr>
                      <w:rFonts w:hint="default" w:ascii="Times New Roman" w:hAnsi="Times New Roman" w:eastAsia="宋体" w:cs="Times New Roman"/>
                      <w:color w:val="auto"/>
                      <w:kern w:val="0"/>
                      <w:sz w:val="21"/>
                      <w:szCs w:val="21"/>
                      <w:lang w:val="en-US" w:eastAsia="zh-CN" w:bidi="ar"/>
                    </w:rPr>
                    <w:t>利用、占用长江流域河湖岸线，同时不涉及占用金沙江干流、九大高原湖泊保护区、保留区。</w:t>
                  </w:r>
                </w:p>
              </w:tc>
              <w:tc>
                <w:tcPr>
                  <w:tcW w:w="539" w:type="dxa"/>
                  <w:noWrap w:val="0"/>
                  <w:vAlign w:val="center"/>
                </w:tcPr>
                <w:p w14:paraId="3660A1C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1CE4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4722" w:type="dxa"/>
                  <w:noWrap w:val="0"/>
                  <w:vAlign w:val="center"/>
                </w:tcPr>
                <w:p w14:paraId="4C4F929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3257" w:type="dxa"/>
                  <w:noWrap w:val="0"/>
                  <w:vAlign w:val="center"/>
                </w:tcPr>
                <w:p w14:paraId="53A407E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沥青混凝土生产</w:t>
                  </w:r>
                  <w:r>
                    <w:rPr>
                      <w:rFonts w:hint="default"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eastAsia="宋体" w:cs="Times New Roman"/>
                      <w:color w:val="auto"/>
                      <w:sz w:val="21"/>
                      <w:szCs w:val="21"/>
                      <w:lang w:val="en-US" w:eastAsia="zh-CN"/>
                    </w:rPr>
                    <w:t>不属于过江基础设施项目，不涉及新设、改设或扩大排污口。</w:t>
                  </w:r>
                </w:p>
              </w:tc>
              <w:tc>
                <w:tcPr>
                  <w:tcW w:w="539" w:type="dxa"/>
                  <w:noWrap w:val="0"/>
                  <w:vAlign w:val="center"/>
                </w:tcPr>
                <w:p w14:paraId="5655148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366C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722" w:type="dxa"/>
                  <w:noWrap w:val="0"/>
                  <w:vAlign w:val="center"/>
                </w:tcPr>
                <w:p w14:paraId="57798C2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禁止在金沙江干流、长江一级支流、水生生物保护区和长江流域禁捕水域开展天然渔业资源生产性捕捞。</w:t>
                  </w:r>
                </w:p>
              </w:tc>
              <w:tc>
                <w:tcPr>
                  <w:tcW w:w="3257" w:type="dxa"/>
                  <w:noWrap w:val="0"/>
                  <w:vAlign w:val="center"/>
                </w:tcPr>
                <w:p w14:paraId="5A9903E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本项目不涉及天然渔业资源生产性捕捞。</w:t>
                  </w:r>
                </w:p>
              </w:tc>
              <w:tc>
                <w:tcPr>
                  <w:tcW w:w="539" w:type="dxa"/>
                  <w:noWrap w:val="0"/>
                  <w:vAlign w:val="center"/>
                </w:tcPr>
                <w:p w14:paraId="4337526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02F3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722" w:type="dxa"/>
                  <w:noWrap w:val="0"/>
                  <w:vAlign w:val="center"/>
                </w:tcPr>
                <w:p w14:paraId="69782BC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3257" w:type="dxa"/>
                  <w:noWrap w:val="0"/>
                  <w:vAlign w:val="center"/>
                </w:tcPr>
                <w:p w14:paraId="19C2622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沥青混凝土生产</w:t>
                  </w:r>
                  <w:r>
                    <w:rPr>
                      <w:rFonts w:hint="default" w:ascii="Times New Roman" w:hAnsi="Times New Roman" w:eastAsia="宋体" w:cs="Times New Roman"/>
                      <w:b w:val="0"/>
                      <w:bCs w:val="0"/>
                      <w:color w:val="auto"/>
                      <w:kern w:val="0"/>
                      <w:sz w:val="21"/>
                      <w:szCs w:val="21"/>
                      <w:vertAlign w:val="baseline"/>
                      <w:lang w:val="en-US" w:eastAsia="zh-CN" w:bidi="ar"/>
                    </w:rPr>
                    <w:t>，</w:t>
                  </w:r>
                  <w:r>
                    <w:rPr>
                      <w:rFonts w:hint="default" w:ascii="Times New Roman" w:hAnsi="Times New Roman" w:eastAsia="宋体" w:cs="Times New Roman"/>
                      <w:color w:val="auto"/>
                      <w:kern w:val="0"/>
                      <w:sz w:val="21"/>
                      <w:szCs w:val="21"/>
                      <w:lang w:val="en-US" w:eastAsia="zh-CN" w:bidi="ar"/>
                    </w:rPr>
                    <w:t>不属于化工、尾矿库、冶炼渣库和磷石膏库等项目。</w:t>
                  </w:r>
                </w:p>
              </w:tc>
              <w:tc>
                <w:tcPr>
                  <w:tcW w:w="539" w:type="dxa"/>
                  <w:noWrap w:val="0"/>
                  <w:vAlign w:val="center"/>
                </w:tcPr>
                <w:p w14:paraId="08F53C4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40C1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4722" w:type="dxa"/>
                  <w:noWrap w:val="0"/>
                  <w:vAlign w:val="center"/>
                </w:tcPr>
                <w:p w14:paraId="22DB7A2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禁止在合规园区外新建、扩建钢铁、石化、化工、焦化、建材、有色、制浆造纸行业中的高污染项目。</w:t>
                  </w:r>
                </w:p>
              </w:tc>
              <w:tc>
                <w:tcPr>
                  <w:tcW w:w="3257" w:type="dxa"/>
                  <w:noWrap w:val="0"/>
                  <w:vAlign w:val="center"/>
                </w:tcPr>
                <w:p w14:paraId="24E5CA9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eastAsia" w:ascii="Times New Roman" w:hAnsi="Times New Roman" w:eastAsia="宋体" w:cs="Times New Roman"/>
                      <w:color w:val="auto"/>
                      <w:kern w:val="0"/>
                      <w:sz w:val="21"/>
                      <w:szCs w:val="21"/>
                      <w:lang w:val="en-US" w:eastAsia="zh-CN" w:bidi="ar"/>
                    </w:rPr>
                    <w:t>本项目不属于</w:t>
                  </w:r>
                  <w:r>
                    <w:rPr>
                      <w:rFonts w:hint="default" w:ascii="Times New Roman" w:hAnsi="Times New Roman" w:eastAsia="宋体" w:cs="Times New Roman"/>
                      <w:color w:val="auto"/>
                      <w:kern w:val="0"/>
                      <w:sz w:val="21"/>
                      <w:szCs w:val="21"/>
                      <w:lang w:val="en-US" w:eastAsia="zh-CN" w:bidi="ar"/>
                    </w:rPr>
                    <w:t>钢铁、石化、化工、焦化、建材、有色、制浆造纸行业中的高污染项目。</w:t>
                  </w:r>
                </w:p>
              </w:tc>
              <w:tc>
                <w:tcPr>
                  <w:tcW w:w="539" w:type="dxa"/>
                  <w:noWrap w:val="0"/>
                  <w:vAlign w:val="center"/>
                </w:tcPr>
                <w:p w14:paraId="2652C32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370D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4" w:hRule="atLeast"/>
                <w:jc w:val="center"/>
              </w:trPr>
              <w:tc>
                <w:tcPr>
                  <w:tcW w:w="4722" w:type="dxa"/>
                  <w:noWrap w:val="0"/>
                  <w:vAlign w:val="center"/>
                </w:tcPr>
                <w:p w14:paraId="11E7905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color w:val="auto"/>
                      <w:kern w:val="0"/>
                      <w:sz w:val="21"/>
                      <w:szCs w:val="21"/>
                      <w:lang w:val="en-US" w:eastAsia="zh-CN"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3257" w:type="dxa"/>
                  <w:noWrap w:val="0"/>
                  <w:vAlign w:val="center"/>
                </w:tcPr>
                <w:p w14:paraId="76F793E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auto"/>
                      <w:kern w:val="0"/>
                      <w:sz w:val="24"/>
                      <w:szCs w:val="24"/>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本项目为</w:t>
                  </w:r>
                  <w:r>
                    <w:rPr>
                      <w:rFonts w:hint="eastAsia" w:cs="Times New Roman"/>
                      <w:b w:val="0"/>
                      <w:bCs w:val="0"/>
                      <w:color w:val="auto"/>
                      <w:kern w:val="0"/>
                      <w:sz w:val="21"/>
                      <w:szCs w:val="21"/>
                      <w:vertAlign w:val="baseline"/>
                      <w:lang w:val="en-US" w:eastAsia="zh-CN" w:bidi="ar"/>
                    </w:rPr>
                    <w:t>沥青混凝土生产</w:t>
                  </w:r>
                  <w:r>
                    <w:rPr>
                      <w:rFonts w:hint="default" w:ascii="Times New Roman" w:hAnsi="Times New Roman" w:eastAsia="宋体" w:cs="Times New Roman"/>
                      <w:b w:val="0"/>
                      <w:bCs w:val="0"/>
                      <w:color w:val="auto"/>
                      <w:kern w:val="0"/>
                      <w:sz w:val="21"/>
                      <w:szCs w:val="21"/>
                      <w:vertAlign w:val="baseline"/>
                      <w:lang w:val="en-US" w:eastAsia="zh-CN" w:bidi="ar"/>
                    </w:rPr>
                    <w:t>，不属于</w:t>
                  </w:r>
                  <w:r>
                    <w:rPr>
                      <w:rFonts w:hint="default" w:ascii="Times New Roman" w:hAnsi="Times New Roman" w:eastAsia="宋体" w:cs="Times New Roman"/>
                      <w:color w:val="auto"/>
                      <w:kern w:val="0"/>
                      <w:sz w:val="21"/>
                      <w:szCs w:val="21"/>
                      <w:lang w:val="en-US" w:eastAsia="zh-CN" w:bidi="ar"/>
                    </w:rPr>
                    <w:t>石化、现代煤化工等产业布局规划的项目，同时不属于危险化学品生产项目。</w:t>
                  </w:r>
                </w:p>
              </w:tc>
              <w:tc>
                <w:tcPr>
                  <w:tcW w:w="539" w:type="dxa"/>
                  <w:noWrap w:val="0"/>
                  <w:vAlign w:val="center"/>
                </w:tcPr>
                <w:p w14:paraId="3149194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bl>
          <w:p w14:paraId="0E7CD20B">
            <w:pPr>
              <w:keepNext w:val="0"/>
              <w:keepLines w:val="0"/>
              <w:pageBreakBefore w:val="0"/>
              <w:widowControl/>
              <w:suppressLineNumbers w:val="0"/>
              <w:kinsoku/>
              <w:wordWrap/>
              <w:overflowPunct/>
              <w:topLinePunct w:val="0"/>
              <w:autoSpaceDE/>
              <w:autoSpaceDN/>
              <w:bidi w:val="0"/>
              <w:adjustRightInd/>
              <w:snapToGrid/>
              <w:spacing w:before="157" w:beforeLines="50"/>
              <w:jc w:val="left"/>
              <w:textAlignment w:val="auto"/>
              <w:rPr>
                <w:rFonts w:hint="eastAsia"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，本项目与《云南省长江经济带发展负面清单指南实施细则</w:t>
            </w:r>
            <w:r>
              <w:rPr>
                <w:rFonts w:hint="eastAsia" w:ascii="Times New Roman" w:hAnsi="Times New Roman" w:eastAsia="宋体" w:cs="Times New Roman"/>
                <w:color w:val="000000" w:themeColor="text1"/>
                <w:sz w:val="24"/>
                <w:lang w:bidi="ar"/>
                <w14:textFill>
                  <w14:solidFill>
                    <w14:schemeClr w14:val="tx1"/>
                  </w14:solidFill>
                </w14:textFill>
              </w:rPr>
              <w:t>（试行，2022年版）</w:t>
            </w:r>
            <w:r>
              <w:rPr>
                <w:rFonts w:hint="default" w:ascii="Times New Roman" w:hAnsi="Times New Roman" w:eastAsia="宋体" w:cs="Times New Roman"/>
                <w:color w:val="auto"/>
                <w:kern w:val="0"/>
                <w:sz w:val="24"/>
                <w:szCs w:val="24"/>
                <w:lang w:val="en-US" w:eastAsia="zh-CN" w:bidi="ar"/>
              </w:rPr>
              <w:t>》规定的内容相符合。</w:t>
            </w:r>
          </w:p>
          <w:p w14:paraId="0FB0FC54">
            <w:pPr>
              <w:keepNext w:val="0"/>
              <w:keepLines w:val="0"/>
              <w:widowControl/>
              <w:numPr>
                <w:ilvl w:val="0"/>
                <w:numId w:val="0"/>
              </w:numPr>
              <w:suppressLineNumbers w:val="0"/>
              <w:jc w:val="left"/>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五</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与《云南省空气质量持续改善行动实施方案》（云政发〔2024〕14号）</w:t>
            </w:r>
            <w:r>
              <w:rPr>
                <w:rFonts w:hint="eastAsia" w:ascii="Times New Roman" w:hAnsi="Times New Roman" w:eastAsia="宋体" w:cs="Times New Roman"/>
                <w:b/>
                <w:bCs/>
                <w:color w:val="auto"/>
                <w:kern w:val="0"/>
                <w:sz w:val="24"/>
                <w:szCs w:val="24"/>
                <w:lang w:val="en-US" w:eastAsia="zh-CN" w:bidi="ar"/>
              </w:rPr>
              <w:t>相符性</w:t>
            </w:r>
            <w:r>
              <w:rPr>
                <w:rFonts w:hint="default" w:ascii="Times New Roman" w:hAnsi="Times New Roman" w:eastAsia="宋体" w:cs="Times New Roman"/>
                <w:b/>
                <w:bCs/>
                <w:color w:val="auto"/>
                <w:kern w:val="0"/>
                <w:sz w:val="24"/>
                <w:szCs w:val="24"/>
                <w:lang w:val="en-US" w:eastAsia="zh-CN" w:bidi="ar"/>
              </w:rPr>
              <w:t>分析</w:t>
            </w:r>
          </w:p>
          <w:p w14:paraId="69BF5FFB">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2024年4月23日，云南省人民政府印发了《云南省空气质量持续改善行动实施方案》（云政发</w:t>
            </w:r>
            <w:r>
              <w:rPr>
                <w:rFonts w:hint="eastAsia" w:ascii="微软雅黑" w:hAnsi="微软雅黑" w:eastAsia="微软雅黑" w:cs="微软雅黑"/>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2024</w:t>
            </w:r>
            <w:r>
              <w:rPr>
                <w:rFonts w:hint="eastAsia" w:ascii="微软雅黑" w:hAnsi="微软雅黑" w:eastAsia="微软雅黑" w:cs="微软雅黑"/>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eastAsia="zh-CN"/>
                <w14:textFill>
                  <w14:solidFill>
                    <w14:schemeClr w14:val="tx1"/>
                  </w14:solidFill>
                </w14:textFill>
              </w:rPr>
              <w:t>14号），本项目与《云南省空气质量持续改善行动实施方案》的符合性分析</w:t>
            </w:r>
            <w:r>
              <w:rPr>
                <w:rFonts w:hint="eastAsia" w:ascii="Times New Roman" w:hAnsi="Times New Roman" w:eastAsia="宋体" w:cs="Times New Roman"/>
                <w:color w:val="000000" w:themeColor="text1"/>
                <w:sz w:val="24"/>
                <w:lang w:val="en-US" w:eastAsia="zh-CN"/>
                <w14:textFill>
                  <w14:solidFill>
                    <w14:schemeClr w14:val="tx1"/>
                  </w14:solidFill>
                </w14:textFill>
              </w:rPr>
              <w:t>详见下表</w:t>
            </w:r>
            <w:r>
              <w:rPr>
                <w:rFonts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5</w:t>
            </w:r>
            <w:r>
              <w:rPr>
                <w:rFonts w:ascii="Times New Roman" w:hAnsi="Times New Roman" w:eastAsia="宋体" w:cs="Times New Roman"/>
                <w:color w:val="000000" w:themeColor="text1"/>
                <w:sz w:val="24"/>
                <w14:textFill>
                  <w14:solidFill>
                    <w14:schemeClr w14:val="tx1"/>
                  </w14:solidFill>
                </w14:textFill>
              </w:rPr>
              <w:t>。</w:t>
            </w:r>
          </w:p>
          <w:p w14:paraId="2CF3977D">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5</w:t>
            </w:r>
            <w:r>
              <w:rPr>
                <w:rFonts w:hint="eastAsia" w:ascii="Times New Roman" w:hAnsi="Times New Roman" w:eastAsia="宋体" w:cs="Times New Roman"/>
                <w:b/>
                <w:bCs/>
                <w:color w:val="auto"/>
                <w:kern w:val="0"/>
                <w:sz w:val="21"/>
                <w:szCs w:val="21"/>
                <w:lang w:val="en-US" w:eastAsia="zh-CN" w:bidi="ar"/>
              </w:rPr>
              <w:t xml:space="preserve">  项目与《云南省空气质量持续改善行动实施方案》符合性分析</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3486"/>
              <w:gridCol w:w="683"/>
            </w:tblGrid>
            <w:tr w14:paraId="755E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3CB5249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《云南省空气质量持续改善行动实施方案》</w:t>
                  </w:r>
                </w:p>
              </w:tc>
              <w:tc>
                <w:tcPr>
                  <w:tcW w:w="3486" w:type="dxa"/>
                  <w:vAlign w:val="center"/>
                </w:tcPr>
                <w:p w14:paraId="465CAB0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本项目情况</w:t>
                  </w:r>
                </w:p>
              </w:tc>
              <w:tc>
                <w:tcPr>
                  <w:tcW w:w="683" w:type="dxa"/>
                  <w:vAlign w:val="center"/>
                </w:tcPr>
                <w:p w14:paraId="3BF36E6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b/>
                      <w:bCs/>
                      <w:color w:val="000000" w:themeColor="text1"/>
                      <w:sz w:val="21"/>
                      <w:szCs w:val="21"/>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eastAsia="zh-CN"/>
                      <w14:textFill>
                        <w14:solidFill>
                          <w14:schemeClr w14:val="tx1"/>
                        </w14:solidFill>
                      </w14:textFill>
                    </w:rPr>
                    <w:t>符合性</w:t>
                  </w:r>
                </w:p>
              </w:tc>
            </w:tr>
            <w:tr w14:paraId="0F62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54A28596">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 减少独立焦化烧结、球团和热轧企业及工序。到2025年，短流程炼钢产量占比达15%。</w:t>
                  </w:r>
                </w:p>
              </w:tc>
              <w:tc>
                <w:tcPr>
                  <w:tcW w:w="3486" w:type="dxa"/>
                  <w:vAlign w:val="center"/>
                </w:tcPr>
                <w:p w14:paraId="20298E1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本项目属于沥青混凝土生产项目，不属于“两高一低”项目，项目严格落实产业政策、生态环境分区管控动态更新调整方案、环评等相关要求。</w:t>
                  </w:r>
                </w:p>
              </w:tc>
              <w:tc>
                <w:tcPr>
                  <w:tcW w:w="683" w:type="dxa"/>
                  <w:vAlign w:val="center"/>
                </w:tcPr>
                <w:p w14:paraId="1F4DD6F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41BA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3D453D8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推动落后产能退出。推动能耗、环保、质量、安全技术达不到标准和生产不合格产品或淘汰类产能依法依规关停退出。不予审批限制类新建项目，按照国家要求对属于限制类的现有生产能力进行升级改造。</w:t>
                  </w:r>
                </w:p>
              </w:tc>
              <w:tc>
                <w:tcPr>
                  <w:tcW w:w="3486" w:type="dxa"/>
                  <w:vAlign w:val="center"/>
                </w:tcPr>
                <w:p w14:paraId="41AB4C9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本项目属于沥青混凝土生产项目，不属于落后产能以及能耗、环保、质量、安全技术达不到标准和生产不合格产品或淘汰类产能，项目不属于限制类，属于允许类项目。</w:t>
                  </w:r>
                </w:p>
              </w:tc>
              <w:tc>
                <w:tcPr>
                  <w:tcW w:w="683" w:type="dxa"/>
                  <w:vAlign w:val="center"/>
                </w:tcPr>
                <w:p w14:paraId="1625FD7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5D988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056A2EA1">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tc>
              <w:tc>
                <w:tcPr>
                  <w:tcW w:w="3486" w:type="dxa"/>
                  <w:vAlign w:val="center"/>
                </w:tcPr>
                <w:p w14:paraId="3A11F1AF">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本项目属于沥青混凝土生产项目，使用VOCs物料主要为沥青，沥青均从符合沥青VOCs含量限值标准生产厂家外购储存于密闭储罐内，采用密闭管道输送方式给料方式密闭投加。</w:t>
                  </w:r>
                </w:p>
              </w:tc>
              <w:tc>
                <w:tcPr>
                  <w:tcW w:w="683" w:type="dxa"/>
                  <w:vAlign w:val="center"/>
                </w:tcPr>
                <w:p w14:paraId="4BC6A10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50CF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1F1FA10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p>
              </w:tc>
              <w:tc>
                <w:tcPr>
                  <w:tcW w:w="3486" w:type="dxa"/>
                  <w:vAlign w:val="center"/>
                </w:tcPr>
                <w:p w14:paraId="598371CC">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项目VOCs物料</w:t>
                  </w:r>
                  <w:r>
                    <w:rPr>
                      <w:rFonts w:hint="eastAsia" w:ascii="Times New Roman" w:hAnsi="Times New Roman" w:eastAsia="宋体" w:cs="Times New Roman"/>
                      <w:color w:val="000000" w:themeColor="text1"/>
                      <w:sz w:val="21"/>
                      <w:szCs w:val="21"/>
                      <w14:textFill>
                        <w14:solidFill>
                          <w14:schemeClr w14:val="tx1"/>
                        </w14:solidFill>
                      </w14:textFill>
                    </w:rPr>
                    <w:t>主要为沥青，</w:t>
                  </w:r>
                  <w:r>
                    <w:rPr>
                      <w:rFonts w:ascii="Times New Roman" w:hAnsi="Times New Roman" w:eastAsia="宋体" w:cs="Times New Roman"/>
                      <w:color w:val="000000" w:themeColor="text1"/>
                      <w:sz w:val="21"/>
                      <w:szCs w:val="21"/>
                      <w14:textFill>
                        <w14:solidFill>
                          <w14:schemeClr w14:val="tx1"/>
                        </w14:solidFill>
                      </w14:textFill>
                    </w:rPr>
                    <w:t>储存于密闭储罐</w:t>
                  </w:r>
                  <w:r>
                    <w:rPr>
                      <w:rFonts w:hint="eastAsia" w:ascii="Times New Roman" w:hAnsi="Times New Roman" w:eastAsia="宋体" w:cs="Times New Roman"/>
                      <w:color w:val="000000" w:themeColor="text1"/>
                      <w:sz w:val="21"/>
                      <w:szCs w:val="21"/>
                      <w14:textFill>
                        <w14:solidFill>
                          <w14:schemeClr w14:val="tx1"/>
                        </w14:solidFill>
                      </w14:textFill>
                    </w:rPr>
                    <w:t>内，</w:t>
                  </w:r>
                  <w:r>
                    <w:rPr>
                      <w:rFonts w:ascii="Times New Roman" w:hAnsi="Times New Roman" w:eastAsia="宋体" w:cs="Times New Roman"/>
                      <w:color w:val="000000" w:themeColor="text1"/>
                      <w:sz w:val="21"/>
                      <w:szCs w:val="21"/>
                      <w14:textFill>
                        <w14:solidFill>
                          <w14:schemeClr w14:val="tx1"/>
                        </w14:solidFill>
                      </w14:textFill>
                    </w:rPr>
                    <w:t>采用密闭管道输送方式给料方式密闭投加</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项目生产过程产生的</w:t>
                  </w:r>
                  <w:r>
                    <w:rPr>
                      <w:rFonts w:ascii="Times New Roman" w:hAnsi="Times New Roman" w:eastAsia="宋体" w:cs="Times New Roman"/>
                      <w:color w:val="000000" w:themeColor="text1"/>
                      <w:sz w:val="21"/>
                      <w:szCs w:val="21"/>
                      <w14:textFill>
                        <w14:solidFill>
                          <w14:schemeClr w14:val="tx1"/>
                        </w14:solidFill>
                      </w14:textFill>
                    </w:rPr>
                    <w:t>VOCs</w:t>
                  </w:r>
                  <w:r>
                    <w:rPr>
                      <w:rFonts w:hint="eastAsia" w:ascii="Times New Roman" w:hAnsi="Times New Roman" w:eastAsia="宋体" w:cs="Times New Roman"/>
                      <w:color w:val="000000" w:themeColor="text1"/>
                      <w:sz w:val="21"/>
                      <w:szCs w:val="21"/>
                      <w14:textFill>
                        <w14:solidFill>
                          <w14:schemeClr w14:val="tx1"/>
                        </w14:solidFill>
                      </w14:textFill>
                    </w:rPr>
                    <w:t>经</w:t>
                  </w:r>
                  <w:r>
                    <w:rPr>
                      <w:rFonts w:hint="eastAsia" w:ascii="Times New Roman" w:hAnsi="Times New Roman" w:eastAsia="宋体" w:cs="Times New Roman"/>
                      <w:color w:val="000000" w:themeColor="text1"/>
                      <w:kern w:val="0"/>
                      <w:sz w:val="21"/>
                      <w:szCs w:val="21"/>
                      <w:lang w:val="zh-CN"/>
                      <w14:textFill>
                        <w14:solidFill>
                          <w14:schemeClr w14:val="tx1"/>
                        </w14:solidFill>
                      </w14:textFill>
                    </w:rPr>
                    <w:t>收集后通过</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活性炭吸附处理，进行有组织形式排放。VOCs</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排放量较小，对环境影响不大。</w:t>
                  </w:r>
                </w:p>
              </w:tc>
              <w:tc>
                <w:tcPr>
                  <w:tcW w:w="683" w:type="dxa"/>
                  <w:vAlign w:val="center"/>
                </w:tcPr>
                <w:p w14:paraId="0996CDD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3A11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07DF40A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持续推动扬尘污染治理管控。严格落实建筑施工工地“六个百分之百”要求，对城市公共绿地进行排查建档并采取防尘措施。到2025年，城镇装配式建筑和采用装配式技术体系建筑占新开工建筑面积比重达30%；昆明市主城区道路机械化清扫率达90%左右，其他地级城市建成区达85%左右，县城达70%左右。</w:t>
                  </w:r>
                </w:p>
              </w:tc>
              <w:tc>
                <w:tcPr>
                  <w:tcW w:w="3486" w:type="dxa"/>
                  <w:vAlign w:val="center"/>
                </w:tcPr>
                <w:p w14:paraId="079596FC">
                  <w:pPr>
                    <w:keepNext/>
                    <w:keepLines/>
                    <w:ind w:left="0" w:leftChars="0" w:firstLine="0" w:firstLineChars="0"/>
                    <w:jc w:val="left"/>
                    <w:rPr>
                      <w:rFonts w:hint="default"/>
                      <w:b/>
                      <w:bCs/>
                      <w:sz w:val="21"/>
                      <w:szCs w:val="21"/>
                      <w:lang w:val="en-US"/>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本项</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目后期施工期建设通过洒水车或人工软管洒水降尘。</w:t>
                  </w:r>
                </w:p>
                <w:p w14:paraId="6E3F0FA5">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683" w:type="dxa"/>
                  <w:vAlign w:val="center"/>
                </w:tcPr>
                <w:p w14:paraId="5475388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46C3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4F554AC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p>
              </w:tc>
              <w:tc>
                <w:tcPr>
                  <w:tcW w:w="3486" w:type="dxa"/>
                  <w:vAlign w:val="center"/>
                </w:tcPr>
                <w:p w14:paraId="53489A7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项目VOCs物料</w:t>
                  </w:r>
                  <w:r>
                    <w:rPr>
                      <w:rFonts w:hint="eastAsia" w:ascii="Times New Roman" w:hAnsi="Times New Roman" w:eastAsia="宋体" w:cs="Times New Roman"/>
                      <w:color w:val="000000" w:themeColor="text1"/>
                      <w:sz w:val="21"/>
                      <w:szCs w:val="21"/>
                      <w14:textFill>
                        <w14:solidFill>
                          <w14:schemeClr w14:val="tx1"/>
                        </w14:solidFill>
                      </w14:textFill>
                    </w:rPr>
                    <w:t>主要为沥青，</w:t>
                  </w:r>
                  <w:r>
                    <w:rPr>
                      <w:rFonts w:ascii="Times New Roman" w:hAnsi="Times New Roman" w:eastAsia="宋体" w:cs="Times New Roman"/>
                      <w:color w:val="000000" w:themeColor="text1"/>
                      <w:sz w:val="21"/>
                      <w:szCs w:val="21"/>
                      <w14:textFill>
                        <w14:solidFill>
                          <w14:schemeClr w14:val="tx1"/>
                        </w14:solidFill>
                      </w14:textFill>
                    </w:rPr>
                    <w:t>储存于密闭储罐</w:t>
                  </w:r>
                  <w:r>
                    <w:rPr>
                      <w:rFonts w:hint="eastAsia" w:ascii="Times New Roman" w:hAnsi="Times New Roman" w:eastAsia="宋体" w:cs="Times New Roman"/>
                      <w:color w:val="000000" w:themeColor="text1"/>
                      <w:sz w:val="21"/>
                      <w:szCs w:val="21"/>
                      <w14:textFill>
                        <w14:solidFill>
                          <w14:schemeClr w14:val="tx1"/>
                        </w14:solidFill>
                      </w14:textFill>
                    </w:rPr>
                    <w:t>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VOCs有机废水产生。项目</w:t>
                  </w:r>
                  <w:r>
                    <w:rPr>
                      <w:rFonts w:ascii="Times New Roman" w:hAnsi="Times New Roman" w:eastAsia="宋体" w:cs="Times New Roman"/>
                      <w:color w:val="000000" w:themeColor="text1"/>
                      <w:sz w:val="21"/>
                      <w:szCs w:val="21"/>
                      <w14:textFill>
                        <w14:solidFill>
                          <w14:schemeClr w14:val="tx1"/>
                        </w14:solidFill>
                      </w14:textFill>
                    </w:rPr>
                    <w:t>采用密闭管道输送方式给料方式密闭投加</w:t>
                  </w:r>
                  <w:r>
                    <w:rPr>
                      <w:rFonts w:hint="eastAsia"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项目生产过程产生的</w:t>
                  </w:r>
                  <w:r>
                    <w:rPr>
                      <w:rFonts w:ascii="Times New Roman" w:hAnsi="Times New Roman" w:eastAsia="宋体" w:cs="Times New Roman"/>
                      <w:color w:val="000000" w:themeColor="text1"/>
                      <w:sz w:val="21"/>
                      <w:szCs w:val="21"/>
                      <w14:textFill>
                        <w14:solidFill>
                          <w14:schemeClr w14:val="tx1"/>
                        </w14:solidFill>
                      </w14:textFill>
                    </w:rPr>
                    <w:t>VOCs</w:t>
                  </w:r>
                  <w:r>
                    <w:rPr>
                      <w:rFonts w:hint="eastAsia" w:ascii="Times New Roman" w:hAnsi="Times New Roman" w:eastAsia="宋体" w:cs="Times New Roman"/>
                      <w:color w:val="000000" w:themeColor="text1"/>
                      <w:sz w:val="21"/>
                      <w:szCs w:val="21"/>
                      <w14:textFill>
                        <w14:solidFill>
                          <w14:schemeClr w14:val="tx1"/>
                        </w14:solidFill>
                      </w14:textFill>
                    </w:rPr>
                    <w:t>经</w:t>
                  </w:r>
                  <w:r>
                    <w:rPr>
                      <w:rFonts w:hint="eastAsia" w:ascii="Times New Roman" w:hAnsi="Times New Roman" w:eastAsia="宋体" w:cs="Times New Roman"/>
                      <w:color w:val="000000" w:themeColor="text1"/>
                      <w:kern w:val="0"/>
                      <w:sz w:val="21"/>
                      <w:szCs w:val="21"/>
                      <w:lang w:val="zh-CN"/>
                      <w14:textFill>
                        <w14:solidFill>
                          <w14:schemeClr w14:val="tx1"/>
                        </w14:solidFill>
                      </w14:textFill>
                    </w:rPr>
                    <w:t>收集后通过</w:t>
                  </w:r>
                  <w:r>
                    <w:rPr>
                      <w:rFonts w:hint="eastAsia" w:cs="Times New Roman"/>
                      <w:b w:val="0"/>
                      <w:bCs w:val="0"/>
                      <w:color w:val="auto"/>
                      <w:kern w:val="0"/>
                      <w:sz w:val="21"/>
                      <w:szCs w:val="21"/>
                      <w:highlight w:val="none"/>
                      <w:lang w:val="en-US" w:eastAsia="zh-CN" w:bidi="ar"/>
                    </w:rPr>
                    <w:t>“电捕焦油器+活性炭吸附”处理装置</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处理，进行有组织形式排放。VOCs</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排放量较小，对环境影响不大。</w:t>
                  </w:r>
                </w:p>
              </w:tc>
              <w:tc>
                <w:tcPr>
                  <w:tcW w:w="683" w:type="dxa"/>
                  <w:vAlign w:val="center"/>
                </w:tcPr>
                <w:p w14:paraId="40DCDC2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14:paraId="3A7F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14:paraId="5176605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加强矿山生态环境综合整治。新建矿山原则上同步建设铁路专用线或采用其他清洁运输方式。对限期整改仍不达标的矿山，根据安全生产、水土保持、生态环境等要求依法关闭。</w:t>
                  </w:r>
                </w:p>
              </w:tc>
              <w:tc>
                <w:tcPr>
                  <w:tcW w:w="3486" w:type="dxa"/>
                  <w:vAlign w:val="center"/>
                </w:tcPr>
                <w:p w14:paraId="3E013D7F">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项目属于沥青混凝土生产项目，不涉及矿山工程。</w:t>
                  </w:r>
                </w:p>
              </w:tc>
              <w:tc>
                <w:tcPr>
                  <w:tcW w:w="683" w:type="dxa"/>
                  <w:vAlign w:val="center"/>
                </w:tcPr>
                <w:p w14:paraId="03521FF1">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r w14:paraId="2755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top"/>
                </w:tcPr>
                <w:p w14:paraId="70C1AE4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完善重污染天气应对机制。建立健全省市县三级重污染天气应急预案体系，明确各级政府部门责任分工，规范重污染天气预警启动、响应、解除工作流程。鼓励重点行业企业开展绩效等级提升行动。结合排污许可制度，确保应急减排清单覆盖所有涉气企业。</w:t>
                  </w:r>
                </w:p>
              </w:tc>
              <w:tc>
                <w:tcPr>
                  <w:tcW w:w="3486" w:type="dxa"/>
                  <w:vAlign w:val="center"/>
                </w:tcPr>
                <w:p w14:paraId="641FEF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项目属于沥青混凝土生产项目，厂区定期进行洒水降尘，在重污染天气情况下，加强洒水降尘频次，加强道路保养养护，以减少扬尘产生量。</w:t>
                  </w:r>
                </w:p>
              </w:tc>
              <w:tc>
                <w:tcPr>
                  <w:tcW w:w="683" w:type="dxa"/>
                  <w:vAlign w:val="center"/>
                </w:tcPr>
                <w:p w14:paraId="4138F3C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符合</w:t>
                  </w:r>
                </w:p>
              </w:tc>
            </w:tr>
          </w:tbl>
          <w:p w14:paraId="68F82DB1">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b/>
                <w:bCs/>
                <w:color w:val="auto"/>
                <w:kern w:val="0"/>
                <w:sz w:val="24"/>
                <w:szCs w:val="24"/>
                <w:lang w:val="en-US" w:eastAsia="zh-CN" w:bidi="ar"/>
              </w:rPr>
            </w:pPr>
            <w:r>
              <w:rPr>
                <w:rFonts w:hint="eastAsia"/>
                <w:kern w:val="0"/>
                <w:szCs w:val="24"/>
                <w:shd w:val="clear" w:color="auto" w:fill="FFFFFF"/>
                <w:lang w:val="en-US" w:eastAsia="zh-CN"/>
              </w:rPr>
              <w:t>综上分析</w:t>
            </w:r>
            <w:r>
              <w:rPr>
                <w:rFonts w:hint="eastAsia" w:ascii="Times New Roman" w:hAnsi="Times New Roman" w:eastAsia="宋体" w:cs="Times New Roman"/>
                <w:color w:val="000000" w:themeColor="text1"/>
                <w:sz w:val="24"/>
                <w14:textFill>
                  <w14:solidFill>
                    <w14:schemeClr w14:val="tx1"/>
                  </w14:solidFill>
                </w14:textFill>
              </w:rPr>
              <w:t>，建设项目符合</w:t>
            </w:r>
            <w:r>
              <w:rPr>
                <w:rFonts w:hint="eastAsia" w:ascii="Times New Roman" w:hAnsi="Times New Roman" w:eastAsia="宋体" w:cs="Times New Roman"/>
                <w:color w:val="000000" w:themeColor="text1"/>
                <w:sz w:val="24"/>
                <w:lang w:eastAsia="zh-CN"/>
                <w14:textFill>
                  <w14:solidFill>
                    <w14:schemeClr w14:val="tx1"/>
                  </w14:solidFill>
                </w14:textFill>
              </w:rPr>
              <w:t>《云南省空气质量持续改善行动实施方案》</w:t>
            </w:r>
            <w:r>
              <w:rPr>
                <w:rFonts w:hint="eastAsia" w:cs="Times New Roman"/>
                <w:color w:val="000000" w:themeColor="text1"/>
                <w:sz w:val="24"/>
                <w:lang w:val="en-US" w:eastAsia="zh-CN"/>
                <w14:textFill>
                  <w14:solidFill>
                    <w14:schemeClr w14:val="tx1"/>
                  </w14:solidFill>
                </w14:textFill>
              </w:rPr>
              <w:t>的相关内容</w:t>
            </w:r>
            <w:r>
              <w:rPr>
                <w:rFonts w:hint="eastAsia" w:ascii="Times New Roman" w:hAnsi="Times New Roman" w:eastAsia="宋体" w:cs="Times New Roman"/>
                <w:color w:val="000000" w:themeColor="text1"/>
                <w:sz w:val="24"/>
                <w14:textFill>
                  <w14:solidFill>
                    <w14:schemeClr w14:val="tx1"/>
                  </w14:solidFill>
                </w14:textFill>
              </w:rPr>
              <w:t>。</w:t>
            </w:r>
          </w:p>
          <w:p w14:paraId="5941B9CD">
            <w:pPr>
              <w:keepNext w:val="0"/>
              <w:keepLines w:val="0"/>
              <w:widowControl/>
              <w:numPr>
                <w:ilvl w:val="0"/>
                <w:numId w:val="0"/>
              </w:numPr>
              <w:suppressLineNumbers w:val="0"/>
              <w:jc w:val="left"/>
            </w:pPr>
            <w:r>
              <w:rPr>
                <w:rFonts w:hint="eastAsia" w:cs="Times New Roman"/>
                <w:b/>
                <w:bCs/>
                <w:color w:val="auto"/>
                <w:kern w:val="0"/>
                <w:sz w:val="24"/>
                <w:szCs w:val="24"/>
                <w:lang w:val="en-US" w:eastAsia="zh-CN" w:bidi="ar"/>
              </w:rPr>
              <w:t>六</w:t>
            </w:r>
            <w:r>
              <w:rPr>
                <w:rFonts w:hint="eastAsia" w:ascii="Times New Roman" w:hAnsi="Times New Roman" w:eastAsia="宋体" w:cs="Times New Roman"/>
                <w:b/>
                <w:bCs/>
                <w:color w:val="auto"/>
                <w:kern w:val="0"/>
                <w:sz w:val="24"/>
                <w:szCs w:val="24"/>
                <w:lang w:val="en-US" w:eastAsia="zh-CN" w:bidi="ar"/>
              </w:rPr>
              <w:t>、与</w:t>
            </w:r>
            <w:r>
              <w:rPr>
                <w:rFonts w:hint="default" w:ascii="Times New Roman" w:hAnsi="Times New Roman" w:eastAsia="宋体" w:cs="Times New Roman"/>
                <w:b/>
                <w:bCs/>
                <w:color w:val="auto"/>
                <w:kern w:val="0"/>
                <w:sz w:val="24"/>
                <w:szCs w:val="24"/>
                <w:lang w:val="en-US" w:eastAsia="zh-CN" w:bidi="ar"/>
              </w:rPr>
              <w:t>《挥发性有机物（VOCs）污染防治技术政策》（生态环境部公告2013年第31号）</w:t>
            </w:r>
            <w:r>
              <w:rPr>
                <w:rFonts w:hint="eastAsia"/>
                <w:b/>
                <w:bCs/>
                <w:lang w:val="en-US" w:eastAsia="zh-CN"/>
              </w:rPr>
              <w:t>符合性分析</w:t>
            </w:r>
          </w:p>
          <w:p w14:paraId="526EF8FA">
            <w:pPr>
              <w:ind w:firstLine="480"/>
              <w:rPr>
                <w:kern w:val="0"/>
                <w:szCs w:val="24"/>
                <w:shd w:val="clear" w:color="auto" w:fill="FFFFFF"/>
              </w:rPr>
            </w:pPr>
            <w:r>
              <w:rPr>
                <w:kern w:val="0"/>
                <w:szCs w:val="24"/>
                <w:shd w:val="clear" w:color="auto" w:fill="FFFFFF"/>
              </w:rPr>
              <w:t>根据《挥发性有机物（VOCs）污染</w:t>
            </w:r>
            <w:r>
              <w:rPr>
                <w:rFonts w:hint="eastAsia"/>
                <w:kern w:val="0"/>
                <w:szCs w:val="24"/>
                <w:shd w:val="clear" w:color="auto" w:fill="FFFFFF"/>
                <w:lang w:val="en-US" w:eastAsia="zh-CN"/>
              </w:rPr>
              <w:t>防治</w:t>
            </w:r>
            <w:r>
              <w:rPr>
                <w:kern w:val="0"/>
                <w:szCs w:val="24"/>
                <w:shd w:val="clear" w:color="auto" w:fill="FFFFFF"/>
              </w:rPr>
              <w:t>技术政策》，</w:t>
            </w:r>
            <w:bookmarkStart w:id="22" w:name="_GoBack"/>
            <w:bookmarkEnd w:id="22"/>
            <w:r>
              <w:rPr>
                <w:kern w:val="0"/>
                <w:szCs w:val="24"/>
                <w:shd w:val="clear" w:color="auto" w:fill="FFFFFF"/>
              </w:rPr>
              <w:t>项目相关符合性分析</w:t>
            </w:r>
            <w:r>
              <w:rPr>
                <w:rFonts w:hint="eastAsia"/>
                <w:kern w:val="0"/>
                <w:szCs w:val="24"/>
                <w:shd w:val="clear" w:color="auto" w:fill="FFFFFF"/>
                <w:lang w:val="en-US" w:eastAsia="zh-CN"/>
              </w:rPr>
              <w:t>详见下表</w:t>
            </w:r>
            <w:r>
              <w:rPr>
                <w:kern w:val="0"/>
                <w:szCs w:val="24"/>
                <w:shd w:val="clear" w:color="auto" w:fill="FFFFFF"/>
              </w:rPr>
              <w:t>1-</w:t>
            </w:r>
            <w:r>
              <w:rPr>
                <w:rFonts w:hint="eastAsia"/>
                <w:kern w:val="0"/>
                <w:szCs w:val="24"/>
                <w:shd w:val="clear" w:color="auto" w:fill="FFFFFF"/>
                <w:lang w:val="en-US" w:eastAsia="zh-CN"/>
              </w:rPr>
              <w:t>6</w:t>
            </w:r>
            <w:r>
              <w:rPr>
                <w:kern w:val="0"/>
                <w:szCs w:val="24"/>
                <w:shd w:val="clear" w:color="auto" w:fill="FFFFFF"/>
              </w:rPr>
              <w:t>。</w:t>
            </w:r>
          </w:p>
          <w:p w14:paraId="2A7FF44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表1-</w:t>
            </w:r>
            <w:r>
              <w:rPr>
                <w:rFonts w:hint="eastAsia" w:cs="Times New Roman"/>
                <w:b/>
                <w:bCs/>
                <w:color w:val="000000" w:themeColor="text1"/>
                <w:kern w:val="0"/>
                <w:sz w:val="21"/>
                <w:szCs w:val="21"/>
                <w:lang w:val="en-US" w:eastAsia="zh-CN" w:bidi="ar"/>
                <w14:textFill>
                  <w14:solidFill>
                    <w14:schemeClr w14:val="tx1"/>
                  </w14:solidFill>
                </w14:textFill>
              </w:rPr>
              <w:t>6</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  项目与《挥发性有机物（VOCs）污染防治技术政策》的符合性</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3522"/>
              <w:gridCol w:w="3502"/>
              <w:gridCol w:w="922"/>
            </w:tblGrid>
            <w:tr w14:paraId="608C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Align w:val="center"/>
                </w:tcPr>
                <w:p w14:paraId="051D8EF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内容</w:t>
                  </w:r>
                </w:p>
              </w:tc>
              <w:tc>
                <w:tcPr>
                  <w:tcW w:w="2023" w:type="pct"/>
                  <w:vAlign w:val="center"/>
                </w:tcPr>
                <w:p w14:paraId="4B227426">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eastAsia="zh-CN"/>
                    </w:rPr>
                    <w:t>政策</w:t>
                  </w:r>
                  <w:r>
                    <w:rPr>
                      <w:rFonts w:hint="default" w:ascii="Times New Roman" w:hAnsi="Times New Roman" w:eastAsia="宋体" w:cs="Times New Roman"/>
                      <w:b/>
                      <w:bCs/>
                      <w:color w:val="auto"/>
                      <w:kern w:val="0"/>
                      <w:sz w:val="21"/>
                      <w:szCs w:val="21"/>
                      <w:highlight w:val="none"/>
                    </w:rPr>
                    <w:t>要求</w:t>
                  </w:r>
                </w:p>
              </w:tc>
              <w:tc>
                <w:tcPr>
                  <w:tcW w:w="2012" w:type="pct"/>
                  <w:vAlign w:val="center"/>
                </w:tcPr>
                <w:p w14:paraId="52D34BB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建设项目</w:t>
                  </w:r>
                </w:p>
              </w:tc>
              <w:tc>
                <w:tcPr>
                  <w:tcW w:w="529" w:type="pct"/>
                  <w:vAlign w:val="center"/>
                </w:tcPr>
                <w:p w14:paraId="03B2428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相符性</w:t>
                  </w:r>
                </w:p>
              </w:tc>
            </w:tr>
            <w:tr w14:paraId="3092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restart"/>
                  <w:vAlign w:val="center"/>
                </w:tcPr>
                <w:p w14:paraId="74BE2B20">
                  <w:pPr>
                    <w:pStyle w:val="27"/>
                    <w:keepNext w:val="0"/>
                    <w:keepLines w:val="0"/>
                    <w:pageBreakBefore w:val="0"/>
                    <w:widowControl w:val="0"/>
                    <w:kinsoku/>
                    <w:wordWrap/>
                    <w:overflowPunct/>
                    <w:topLinePunct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eastAsiaTheme="minorEastAsia"/>
                      <w:color w:val="auto"/>
                      <w:sz w:val="21"/>
                      <w:szCs w:val="21"/>
                      <w:lang w:val="en-US" w:eastAsia="zh-CN"/>
                    </w:rPr>
                    <w:t>末端治理与综合利用</w:t>
                  </w:r>
                </w:p>
              </w:tc>
              <w:tc>
                <w:tcPr>
                  <w:tcW w:w="2023" w:type="pct"/>
                  <w:vAlign w:val="center"/>
                </w:tcPr>
                <w:p w14:paraId="7F86DE2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（一）在工业生产过程中鼓励VOCs的回收利用，并优先鼓励在生产系统内回用。</w:t>
                  </w:r>
                </w:p>
              </w:tc>
              <w:tc>
                <w:tcPr>
                  <w:tcW w:w="2012" w:type="pct"/>
                  <w:vAlign w:val="center"/>
                </w:tcPr>
                <w:p w14:paraId="0CA8F81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项目VOCs产生量较少，不宜回收，</w:t>
                  </w:r>
                  <w:r>
                    <w:rPr>
                      <w:rFonts w:hint="default" w:ascii="Times New Roman" w:hAnsi="Times New Roman" w:eastAsia="宋体" w:cs="Times New Roman"/>
                      <w:b w:val="0"/>
                      <w:bCs w:val="0"/>
                      <w:color w:val="auto"/>
                      <w:kern w:val="0"/>
                      <w:sz w:val="21"/>
                      <w:szCs w:val="21"/>
                      <w:highlight w:val="none"/>
                      <w:lang w:val="en-US" w:eastAsia="zh-CN" w:bidi="ar"/>
                    </w:rPr>
                    <w:t>采用</w:t>
                  </w:r>
                  <w:r>
                    <w:rPr>
                      <w:rFonts w:hint="eastAsia" w:cs="Times New Roman"/>
                      <w:b w:val="0"/>
                      <w:bCs w:val="0"/>
                      <w:color w:val="auto"/>
                      <w:kern w:val="0"/>
                      <w:sz w:val="21"/>
                      <w:szCs w:val="21"/>
                      <w:highlight w:val="none"/>
                      <w:lang w:val="en-US" w:eastAsia="zh-CN" w:bidi="ar"/>
                    </w:rPr>
                    <w:t>“电捕焦油器+活性炭吸附”处理装置处理</w:t>
                  </w:r>
                  <w:r>
                    <w:rPr>
                      <w:rFonts w:hint="default" w:ascii="Times New Roman" w:hAnsi="Times New Roman" w:eastAsia="宋体" w:cs="Times New Roman"/>
                      <w:b w:val="0"/>
                      <w:bCs w:val="0"/>
                      <w:color w:val="auto"/>
                      <w:kern w:val="0"/>
                      <w:sz w:val="21"/>
                      <w:szCs w:val="21"/>
                      <w:highlight w:val="none"/>
                      <w:lang w:val="en-US" w:eastAsia="zh-CN" w:bidi="ar"/>
                    </w:rPr>
                    <w:t>后达标排放。</w:t>
                  </w:r>
                </w:p>
              </w:tc>
              <w:tc>
                <w:tcPr>
                  <w:tcW w:w="529" w:type="pct"/>
                  <w:vAlign w:val="center"/>
                </w:tcPr>
                <w:p w14:paraId="11909D88">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4E02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0B1F819B">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023" w:type="pct"/>
                  <w:vAlign w:val="center"/>
                </w:tcPr>
                <w:p w14:paraId="4EE2D19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（二）对于含高浓度VOCs的废气，宜优先采用冷凝回收、吸附回收技术进行回收利用，并辅助以其他治理技术实现达标排放。</w:t>
                  </w:r>
                </w:p>
              </w:tc>
              <w:tc>
                <w:tcPr>
                  <w:tcW w:w="2012" w:type="pct"/>
                  <w:vAlign w:val="center"/>
                </w:tcPr>
                <w:p w14:paraId="3B350BE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zh-CN" w:eastAsia="zh-CN" w:bidi="ar"/>
                    </w:rPr>
                  </w:pPr>
                  <w:r>
                    <w:rPr>
                      <w:rFonts w:hint="default" w:ascii="Times New Roman" w:hAnsi="Times New Roman" w:eastAsia="宋体" w:cs="Times New Roman"/>
                      <w:b w:val="0"/>
                      <w:bCs w:val="0"/>
                      <w:color w:val="auto"/>
                      <w:kern w:val="0"/>
                      <w:sz w:val="21"/>
                      <w:szCs w:val="21"/>
                      <w:lang w:val="en-US" w:eastAsia="zh-CN" w:bidi="ar"/>
                    </w:rPr>
                    <w:t>项目VOCs产生量较少，</w:t>
                  </w:r>
                  <w:r>
                    <w:rPr>
                      <w:rFonts w:hint="eastAsia" w:cs="Times New Roman"/>
                      <w:b w:val="0"/>
                      <w:bCs w:val="0"/>
                      <w:color w:val="auto"/>
                      <w:kern w:val="0"/>
                      <w:sz w:val="21"/>
                      <w:szCs w:val="21"/>
                      <w:lang w:val="en-US" w:eastAsia="zh-CN" w:bidi="ar"/>
                    </w:rPr>
                    <w:t>产生浓度较低，</w:t>
                  </w:r>
                  <w:r>
                    <w:rPr>
                      <w:rFonts w:hint="default" w:ascii="Times New Roman" w:hAnsi="Times New Roman" w:eastAsia="宋体" w:cs="Times New Roman"/>
                      <w:b w:val="0"/>
                      <w:bCs w:val="0"/>
                      <w:color w:val="auto"/>
                      <w:kern w:val="0"/>
                      <w:sz w:val="21"/>
                      <w:szCs w:val="21"/>
                      <w:lang w:val="en-US" w:eastAsia="zh-CN" w:bidi="ar"/>
                    </w:rPr>
                    <w:t>不宜回收，</w:t>
                  </w:r>
                  <w:r>
                    <w:rPr>
                      <w:rFonts w:hint="default" w:ascii="Times New Roman" w:hAnsi="Times New Roman" w:eastAsia="宋体" w:cs="Times New Roman"/>
                      <w:b w:val="0"/>
                      <w:bCs w:val="0"/>
                      <w:color w:val="auto"/>
                      <w:kern w:val="0"/>
                      <w:sz w:val="21"/>
                      <w:szCs w:val="21"/>
                      <w:highlight w:val="none"/>
                      <w:lang w:val="en-US" w:eastAsia="zh-CN" w:bidi="ar"/>
                    </w:rPr>
                    <w:t>采用</w:t>
                  </w:r>
                  <w:r>
                    <w:rPr>
                      <w:rFonts w:hint="eastAsia" w:cs="Times New Roman"/>
                      <w:b w:val="0"/>
                      <w:bCs w:val="0"/>
                      <w:color w:val="auto"/>
                      <w:kern w:val="0"/>
                      <w:sz w:val="21"/>
                      <w:szCs w:val="21"/>
                      <w:highlight w:val="none"/>
                      <w:lang w:val="en-US" w:eastAsia="zh-CN" w:bidi="ar"/>
                    </w:rPr>
                    <w:t>“电捕焦油器+活性炭吸附”处理装置处理</w:t>
                  </w:r>
                  <w:r>
                    <w:rPr>
                      <w:rFonts w:hint="default" w:ascii="Times New Roman" w:hAnsi="Times New Roman" w:eastAsia="宋体" w:cs="Times New Roman"/>
                      <w:b w:val="0"/>
                      <w:bCs w:val="0"/>
                      <w:color w:val="auto"/>
                      <w:kern w:val="0"/>
                      <w:sz w:val="21"/>
                      <w:szCs w:val="21"/>
                      <w:highlight w:val="none"/>
                      <w:lang w:val="en-US" w:eastAsia="zh-CN" w:bidi="ar"/>
                    </w:rPr>
                    <w:t>后达标排放</w:t>
                  </w:r>
                  <w:r>
                    <w:rPr>
                      <w:rFonts w:hint="default" w:ascii="Times New Roman" w:hAnsi="Times New Roman" w:eastAsia="宋体" w:cs="Times New Roman"/>
                      <w:b w:val="0"/>
                      <w:bCs w:val="0"/>
                      <w:color w:val="auto"/>
                      <w:kern w:val="0"/>
                      <w:sz w:val="21"/>
                      <w:szCs w:val="21"/>
                      <w:lang w:val="en-US" w:eastAsia="zh-CN" w:bidi="ar"/>
                    </w:rPr>
                    <w:t>。</w:t>
                  </w:r>
                </w:p>
              </w:tc>
              <w:tc>
                <w:tcPr>
                  <w:tcW w:w="529" w:type="pct"/>
                  <w:vAlign w:val="center"/>
                </w:tcPr>
                <w:p w14:paraId="48B86B20">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1625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3DEEC1F5">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023" w:type="pct"/>
                  <w:vAlign w:val="center"/>
                </w:tcPr>
                <w:p w14:paraId="2E48F49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（三）对于含中等浓度VOCs的废气，可采用吸附技术回收有机溶剂，或采用催化燃烧和热力焚烧技术净化后达标排放。当采用催化燃烧和热力焚烧技术进行净化时，应进行余热回收利用。</w:t>
                  </w:r>
                </w:p>
              </w:tc>
              <w:tc>
                <w:tcPr>
                  <w:tcW w:w="2012" w:type="pct"/>
                  <w:vAlign w:val="center"/>
                </w:tcPr>
                <w:p w14:paraId="7D99698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zh-CN" w:eastAsia="zh-CN" w:bidi="ar"/>
                    </w:rPr>
                  </w:pPr>
                  <w:r>
                    <w:rPr>
                      <w:rFonts w:hint="default" w:ascii="Times New Roman" w:hAnsi="Times New Roman" w:eastAsia="宋体" w:cs="Times New Roman"/>
                      <w:b w:val="0"/>
                      <w:bCs w:val="0"/>
                      <w:color w:val="auto"/>
                      <w:kern w:val="0"/>
                      <w:sz w:val="21"/>
                      <w:szCs w:val="21"/>
                      <w:lang w:val="en-US" w:eastAsia="zh-CN" w:bidi="ar"/>
                    </w:rPr>
                    <w:t>项目VOCs产生量较少，</w:t>
                  </w:r>
                  <w:r>
                    <w:rPr>
                      <w:rFonts w:hint="eastAsia" w:cs="Times New Roman"/>
                      <w:b w:val="0"/>
                      <w:bCs w:val="0"/>
                      <w:color w:val="auto"/>
                      <w:kern w:val="0"/>
                      <w:sz w:val="21"/>
                      <w:szCs w:val="21"/>
                      <w:lang w:val="en-US" w:eastAsia="zh-CN" w:bidi="ar"/>
                    </w:rPr>
                    <w:t>产生浓度较低，</w:t>
                  </w:r>
                  <w:r>
                    <w:rPr>
                      <w:rFonts w:hint="default" w:ascii="Times New Roman" w:hAnsi="Times New Roman" w:eastAsia="宋体" w:cs="Times New Roman"/>
                      <w:b w:val="0"/>
                      <w:bCs w:val="0"/>
                      <w:color w:val="auto"/>
                      <w:kern w:val="0"/>
                      <w:sz w:val="21"/>
                      <w:szCs w:val="21"/>
                      <w:lang w:val="en-US" w:eastAsia="zh-CN" w:bidi="ar"/>
                    </w:rPr>
                    <w:t>不宜回收，</w:t>
                  </w:r>
                  <w:r>
                    <w:rPr>
                      <w:rFonts w:hint="eastAsia" w:ascii="Times New Roman" w:hAnsi="Times New Roman" w:eastAsia="宋体" w:cs="Times New Roman"/>
                      <w:b w:val="0"/>
                      <w:bCs w:val="0"/>
                      <w:color w:val="auto"/>
                      <w:kern w:val="0"/>
                      <w:sz w:val="21"/>
                      <w:szCs w:val="21"/>
                      <w:lang w:val="en-US" w:eastAsia="zh-CN" w:bidi="ar"/>
                    </w:rPr>
                    <w:t>采用</w:t>
                  </w:r>
                  <w:r>
                    <w:rPr>
                      <w:rFonts w:hint="eastAsia" w:cs="Times New Roman"/>
                      <w:b w:val="0"/>
                      <w:bCs w:val="0"/>
                      <w:color w:val="auto"/>
                      <w:kern w:val="0"/>
                      <w:sz w:val="21"/>
                      <w:szCs w:val="21"/>
                      <w:highlight w:val="none"/>
                      <w:lang w:val="en-US" w:eastAsia="zh-CN" w:bidi="ar"/>
                    </w:rPr>
                    <w:t>“电捕焦油器+活性炭吸附”处理装置处理</w:t>
                  </w:r>
                  <w:r>
                    <w:rPr>
                      <w:rFonts w:hint="default" w:ascii="Times New Roman" w:hAnsi="Times New Roman" w:eastAsia="宋体" w:cs="Times New Roman"/>
                      <w:b w:val="0"/>
                      <w:bCs w:val="0"/>
                      <w:color w:val="auto"/>
                      <w:kern w:val="0"/>
                      <w:sz w:val="21"/>
                      <w:szCs w:val="21"/>
                      <w:highlight w:val="none"/>
                      <w:lang w:val="en-US" w:eastAsia="zh-CN" w:bidi="ar"/>
                    </w:rPr>
                    <w:t>后达标排放</w:t>
                  </w:r>
                  <w:r>
                    <w:rPr>
                      <w:rFonts w:hint="default" w:ascii="Times New Roman" w:hAnsi="Times New Roman" w:eastAsia="宋体" w:cs="Times New Roman"/>
                      <w:b w:val="0"/>
                      <w:bCs w:val="0"/>
                      <w:color w:val="auto"/>
                      <w:kern w:val="0"/>
                      <w:sz w:val="21"/>
                      <w:szCs w:val="21"/>
                      <w:lang w:val="en-US" w:eastAsia="zh-CN" w:bidi="ar"/>
                    </w:rPr>
                    <w:t>。</w:t>
                  </w:r>
                </w:p>
              </w:tc>
              <w:tc>
                <w:tcPr>
                  <w:tcW w:w="529" w:type="pct"/>
                  <w:vAlign w:val="center"/>
                </w:tcPr>
                <w:p w14:paraId="7ADA703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2544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14A2DB8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023" w:type="pct"/>
                  <w:vAlign w:val="center"/>
                </w:tcPr>
                <w:p w14:paraId="2D1100C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（四）对于含低浓度VOCs的废气，有回收价值时可采用吸附技术、吸收技术对有机溶剂回收后达标排放；不宜回收时，可采用吸附浓缩燃烧技术、生物技术、吸收技术、</w:t>
                  </w:r>
                  <w:r>
                    <w:rPr>
                      <w:rFonts w:hint="default" w:ascii="Times New Roman" w:hAnsi="Times New Roman" w:eastAsia="宋体" w:cs="Times New Roman"/>
                      <w:b w:val="0"/>
                      <w:bCs w:val="0"/>
                      <w:color w:val="auto"/>
                      <w:kern w:val="0"/>
                      <w:sz w:val="21"/>
                      <w:szCs w:val="21"/>
                      <w:lang w:val="en-US" w:eastAsia="zh-CN" w:bidi="ar"/>
                    </w:rPr>
                    <w:fldChar w:fldCharType="begin"/>
                  </w:r>
                  <w:r>
                    <w:rPr>
                      <w:rFonts w:hint="default" w:ascii="Times New Roman" w:hAnsi="Times New Roman" w:eastAsia="宋体" w:cs="Times New Roman"/>
                      <w:b w:val="0"/>
                      <w:bCs w:val="0"/>
                      <w:color w:val="auto"/>
                      <w:kern w:val="0"/>
                      <w:sz w:val="21"/>
                      <w:szCs w:val="21"/>
                      <w:lang w:val="en-US" w:eastAsia="zh-CN" w:bidi="ar"/>
                    </w:rPr>
                    <w:instrText xml:space="preserve"> HYPERLINK "https://baike.baidu.com/item/%E7%AD%89%E7%A6%BB%E5%AD%90%E4%BD%93%E6%8A%80%E6%9C%AF/5487502" \t "https://baike.baidu.com/item/%E6%8C%A5%E5%8F%91%E6%80%A7%E6%9C%89%E6%9C%BA%E7%89%A9%28VOCs%29%E6%B1%A1%E6%9F%93%E9%98%B2%E6%B2%BB%E6%8A%80%E6%9C%AF%E6%94%BF%E7%AD%96/_blank" </w:instrText>
                  </w:r>
                  <w:r>
                    <w:rPr>
                      <w:rFonts w:hint="default" w:ascii="Times New Roman" w:hAnsi="Times New Roman" w:eastAsia="宋体" w:cs="Times New Roman"/>
                      <w:b w:val="0"/>
                      <w:bCs w:val="0"/>
                      <w:color w:val="auto"/>
                      <w:kern w:val="0"/>
                      <w:sz w:val="21"/>
                      <w:szCs w:val="21"/>
                      <w:lang w:val="en-US" w:eastAsia="zh-CN" w:bidi="ar"/>
                    </w:rPr>
                    <w:fldChar w:fldCharType="separate"/>
                  </w:r>
                  <w:r>
                    <w:rPr>
                      <w:rFonts w:hint="default" w:ascii="Times New Roman" w:hAnsi="Times New Roman" w:eastAsia="宋体" w:cs="Times New Roman"/>
                      <w:b w:val="0"/>
                      <w:bCs w:val="0"/>
                      <w:color w:val="auto"/>
                      <w:kern w:val="0"/>
                      <w:sz w:val="21"/>
                      <w:szCs w:val="21"/>
                      <w:lang w:val="en-US" w:eastAsia="zh-CN" w:bidi="ar"/>
                    </w:rPr>
                    <w:t>等离子体技术</w:t>
                  </w:r>
                  <w:r>
                    <w:rPr>
                      <w:rFonts w:hint="default" w:ascii="Times New Roman" w:hAnsi="Times New Roman" w:eastAsia="宋体" w:cs="Times New Roman"/>
                      <w:b w:val="0"/>
                      <w:bCs w:val="0"/>
                      <w:color w:val="auto"/>
                      <w:kern w:val="0"/>
                      <w:sz w:val="21"/>
                      <w:szCs w:val="21"/>
                      <w:lang w:val="en-US" w:eastAsia="zh-CN" w:bidi="ar"/>
                    </w:rPr>
                    <w:fldChar w:fldCharType="end"/>
                  </w:r>
                  <w:r>
                    <w:rPr>
                      <w:rFonts w:hint="default" w:ascii="Times New Roman" w:hAnsi="Times New Roman" w:eastAsia="宋体" w:cs="Times New Roman"/>
                      <w:b w:val="0"/>
                      <w:bCs w:val="0"/>
                      <w:color w:val="auto"/>
                      <w:kern w:val="0"/>
                      <w:sz w:val="21"/>
                      <w:szCs w:val="21"/>
                      <w:lang w:val="en-US" w:eastAsia="zh-CN" w:bidi="ar"/>
                    </w:rPr>
                    <w:t>或紫外光高级氧化技术等净化后达标排放。</w:t>
                  </w:r>
                </w:p>
              </w:tc>
              <w:tc>
                <w:tcPr>
                  <w:tcW w:w="2012" w:type="pct"/>
                  <w:vAlign w:val="center"/>
                </w:tcPr>
                <w:p w14:paraId="13F8B7C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zh-CN" w:eastAsia="zh-CN" w:bidi="ar"/>
                    </w:rPr>
                  </w:pPr>
                  <w:r>
                    <w:rPr>
                      <w:rFonts w:hint="default" w:ascii="Times New Roman" w:hAnsi="Times New Roman" w:eastAsia="宋体" w:cs="Times New Roman"/>
                      <w:b w:val="0"/>
                      <w:bCs w:val="0"/>
                      <w:color w:val="auto"/>
                      <w:kern w:val="0"/>
                      <w:sz w:val="21"/>
                      <w:szCs w:val="21"/>
                      <w:lang w:val="en-US" w:eastAsia="zh-CN" w:bidi="ar"/>
                    </w:rPr>
                    <w:t>项目VOCs产生量较少，</w:t>
                  </w:r>
                  <w:r>
                    <w:rPr>
                      <w:rFonts w:hint="eastAsia" w:cs="Times New Roman"/>
                      <w:b w:val="0"/>
                      <w:bCs w:val="0"/>
                      <w:color w:val="auto"/>
                      <w:kern w:val="0"/>
                      <w:sz w:val="21"/>
                      <w:szCs w:val="21"/>
                      <w:lang w:val="en-US" w:eastAsia="zh-CN" w:bidi="ar"/>
                    </w:rPr>
                    <w:t>产生浓度较低，</w:t>
                  </w:r>
                  <w:r>
                    <w:rPr>
                      <w:rFonts w:hint="default" w:ascii="Times New Roman" w:hAnsi="Times New Roman" w:eastAsia="宋体" w:cs="Times New Roman"/>
                      <w:b w:val="0"/>
                      <w:bCs w:val="0"/>
                      <w:color w:val="auto"/>
                      <w:kern w:val="0"/>
                      <w:sz w:val="21"/>
                      <w:szCs w:val="21"/>
                      <w:lang w:val="en-US" w:eastAsia="zh-CN" w:bidi="ar"/>
                    </w:rPr>
                    <w:t>不宜回收，</w:t>
                  </w:r>
                  <w:r>
                    <w:rPr>
                      <w:rFonts w:hint="default" w:ascii="Times New Roman" w:hAnsi="Times New Roman" w:eastAsia="宋体" w:cs="Times New Roman"/>
                      <w:b w:val="0"/>
                      <w:bCs w:val="0"/>
                      <w:color w:val="auto"/>
                      <w:kern w:val="0"/>
                      <w:sz w:val="21"/>
                      <w:szCs w:val="21"/>
                      <w:highlight w:val="none"/>
                      <w:lang w:val="en-US" w:eastAsia="zh-CN" w:bidi="ar"/>
                    </w:rPr>
                    <w:t>采用</w:t>
                  </w:r>
                  <w:r>
                    <w:rPr>
                      <w:rFonts w:hint="eastAsia" w:cs="Times New Roman"/>
                      <w:b w:val="0"/>
                      <w:bCs w:val="0"/>
                      <w:color w:val="auto"/>
                      <w:kern w:val="0"/>
                      <w:sz w:val="21"/>
                      <w:szCs w:val="21"/>
                      <w:highlight w:val="none"/>
                      <w:lang w:val="en-US" w:eastAsia="zh-CN" w:bidi="ar"/>
                    </w:rPr>
                    <w:t>“电捕焦油器+活性炭吸附”处理装置处理</w:t>
                  </w:r>
                  <w:r>
                    <w:rPr>
                      <w:rFonts w:hint="default" w:ascii="Times New Roman" w:hAnsi="Times New Roman" w:eastAsia="宋体" w:cs="Times New Roman"/>
                      <w:b w:val="0"/>
                      <w:bCs w:val="0"/>
                      <w:color w:val="auto"/>
                      <w:kern w:val="0"/>
                      <w:sz w:val="21"/>
                      <w:szCs w:val="21"/>
                      <w:highlight w:val="none"/>
                      <w:lang w:val="en-US" w:eastAsia="zh-CN" w:bidi="ar"/>
                    </w:rPr>
                    <w:t>后达标排放</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529" w:type="pct"/>
                  <w:vAlign w:val="center"/>
                </w:tcPr>
                <w:p w14:paraId="2C4A87F5">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431E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1FC0718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023" w:type="pct"/>
                  <w:vAlign w:val="center"/>
                </w:tcPr>
                <w:p w14:paraId="05AEA79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（五）含有有机卤素成分VOCs的废气，宜采用非焚烧技术处理。</w:t>
                  </w:r>
                </w:p>
              </w:tc>
              <w:tc>
                <w:tcPr>
                  <w:tcW w:w="2012" w:type="pct"/>
                  <w:vAlign w:val="center"/>
                </w:tcPr>
                <w:p w14:paraId="744EF02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项目废气主要因子为颗粒物、非甲烷总烃、</w:t>
                  </w:r>
                  <w:r>
                    <w:rPr>
                      <w:rFonts w:hint="default" w:ascii="Times New Roman" w:hAnsi="Times New Roman" w:cs="Times New Roman"/>
                      <w:b w:val="0"/>
                      <w:bCs w:val="0"/>
                      <w:color w:val="auto"/>
                      <w:sz w:val="21"/>
                      <w:szCs w:val="21"/>
                      <w:highlight w:val="none"/>
                    </w:rPr>
                    <w:t>苯并[a]芘</w:t>
                  </w:r>
                  <w:r>
                    <w:rPr>
                      <w:rFonts w:hint="default" w:ascii="Times New Roman" w:hAnsi="Times New Roman" w:eastAsia="宋体" w:cs="Times New Roman"/>
                      <w:b w:val="0"/>
                      <w:bCs w:val="0"/>
                      <w:color w:val="auto"/>
                      <w:kern w:val="0"/>
                      <w:sz w:val="21"/>
                      <w:szCs w:val="21"/>
                      <w:lang w:val="en-US" w:eastAsia="zh-CN" w:bidi="ar"/>
                    </w:rPr>
                    <w:t>、氮氧化物</w:t>
                  </w:r>
                  <w:r>
                    <w:rPr>
                      <w:rFonts w:hint="eastAsia" w:ascii="Times New Roman" w:hAnsi="Times New Roman" w:eastAsia="宋体" w:cs="Times New Roman"/>
                      <w:b w:val="0"/>
                      <w:bCs w:val="0"/>
                      <w:color w:val="auto"/>
                      <w:kern w:val="0"/>
                      <w:sz w:val="21"/>
                      <w:szCs w:val="21"/>
                      <w:lang w:val="en-US" w:eastAsia="zh-CN" w:bidi="ar"/>
                    </w:rPr>
                    <w:t>、沥青烟</w:t>
                  </w:r>
                  <w:r>
                    <w:rPr>
                      <w:rFonts w:hint="default" w:ascii="Times New Roman" w:hAnsi="Times New Roman" w:eastAsia="宋体" w:cs="Times New Roman"/>
                      <w:b w:val="0"/>
                      <w:bCs w:val="0"/>
                      <w:color w:val="auto"/>
                      <w:kern w:val="0"/>
                      <w:sz w:val="21"/>
                      <w:szCs w:val="21"/>
                      <w:lang w:val="en-US" w:eastAsia="zh-CN" w:bidi="ar"/>
                    </w:rPr>
                    <w:t>等，废气经</w:t>
                  </w:r>
                  <w:r>
                    <w:rPr>
                      <w:rFonts w:hint="eastAsia" w:ascii="Times New Roman" w:hAnsi="Times New Roman" w:eastAsia="宋体" w:cs="Times New Roman"/>
                      <w:b w:val="0"/>
                      <w:bCs w:val="0"/>
                      <w:color w:val="auto"/>
                      <w:kern w:val="0"/>
                      <w:sz w:val="21"/>
                      <w:szCs w:val="21"/>
                      <w:lang w:val="en-US" w:eastAsia="zh-CN" w:bidi="ar"/>
                    </w:rPr>
                    <w:t>旋风除尘器、</w:t>
                  </w:r>
                  <w:r>
                    <w:rPr>
                      <w:rFonts w:hint="default" w:ascii="Times New Roman" w:hAnsi="Times New Roman" w:eastAsia="宋体" w:cs="Times New Roman"/>
                      <w:b w:val="0"/>
                      <w:bCs w:val="0"/>
                      <w:color w:val="auto"/>
                      <w:kern w:val="0"/>
                      <w:sz w:val="21"/>
                      <w:szCs w:val="21"/>
                      <w:lang w:val="en-US" w:eastAsia="zh-CN" w:bidi="ar"/>
                    </w:rPr>
                    <w:t>布袋</w:t>
                  </w:r>
                  <w:r>
                    <w:rPr>
                      <w:rFonts w:hint="eastAsia" w:ascii="Times New Roman" w:hAnsi="Times New Roman" w:eastAsia="宋体" w:cs="Times New Roman"/>
                      <w:b w:val="0"/>
                      <w:bCs w:val="0"/>
                      <w:color w:val="auto"/>
                      <w:kern w:val="0"/>
                      <w:sz w:val="21"/>
                      <w:szCs w:val="21"/>
                      <w:lang w:val="en-US" w:eastAsia="zh-CN" w:bidi="ar"/>
                    </w:rPr>
                    <w:t>除尘器</w:t>
                  </w:r>
                  <w:r>
                    <w:rPr>
                      <w:rFonts w:hint="default" w:ascii="Times New Roman" w:hAnsi="Times New Roman" w:eastAsia="宋体" w:cs="Times New Roman"/>
                      <w:b w:val="0"/>
                      <w:bCs w:val="0"/>
                      <w:color w:val="auto"/>
                      <w:kern w:val="0"/>
                      <w:sz w:val="21"/>
                      <w:szCs w:val="21"/>
                      <w:lang w:val="en-US" w:eastAsia="zh-CN" w:bidi="ar"/>
                    </w:rPr>
                    <w:t>、</w:t>
                  </w:r>
                  <w:r>
                    <w:rPr>
                      <w:rFonts w:hint="eastAsia" w:cs="Times New Roman"/>
                      <w:b w:val="0"/>
                      <w:bCs w:val="0"/>
                      <w:color w:val="auto"/>
                      <w:kern w:val="0"/>
                      <w:sz w:val="21"/>
                      <w:szCs w:val="21"/>
                      <w:highlight w:val="none"/>
                      <w:lang w:val="en-US" w:eastAsia="zh-CN" w:bidi="ar"/>
                    </w:rPr>
                    <w:t>“电捕焦油器+活性炭吸附”处理装置</w:t>
                  </w:r>
                  <w:r>
                    <w:rPr>
                      <w:rFonts w:hint="default" w:ascii="Times New Roman" w:hAnsi="Times New Roman" w:eastAsia="宋体" w:cs="Times New Roman"/>
                      <w:b w:val="0"/>
                      <w:bCs w:val="0"/>
                      <w:color w:val="auto"/>
                      <w:kern w:val="0"/>
                      <w:sz w:val="21"/>
                      <w:szCs w:val="21"/>
                      <w:highlight w:val="none"/>
                      <w:lang w:val="en-US" w:eastAsia="zh-CN" w:bidi="ar"/>
                    </w:rPr>
                    <w:t>等措施</w:t>
                  </w:r>
                  <w:r>
                    <w:rPr>
                      <w:rFonts w:hint="default" w:ascii="Times New Roman" w:hAnsi="Times New Roman" w:eastAsia="宋体" w:cs="Times New Roman"/>
                      <w:b w:val="0"/>
                      <w:bCs w:val="0"/>
                      <w:color w:val="auto"/>
                      <w:kern w:val="0"/>
                      <w:sz w:val="21"/>
                      <w:szCs w:val="21"/>
                      <w:lang w:val="en-US" w:eastAsia="zh-CN" w:bidi="ar"/>
                    </w:rPr>
                    <w:t>处理后达标排放。</w:t>
                  </w:r>
                </w:p>
              </w:tc>
              <w:tc>
                <w:tcPr>
                  <w:tcW w:w="529" w:type="pct"/>
                  <w:vAlign w:val="center"/>
                </w:tcPr>
                <w:p w14:paraId="55B8479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6AB9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6CEE810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023" w:type="pct"/>
                  <w:vAlign w:val="center"/>
                </w:tcPr>
                <w:p w14:paraId="05B6B49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（六）恶臭气体污染源可采用生物技术、</w:t>
                  </w:r>
                  <w:r>
                    <w:rPr>
                      <w:rFonts w:hint="default" w:ascii="Times New Roman" w:hAnsi="Times New Roman" w:eastAsia="宋体" w:cs="Times New Roman"/>
                      <w:b w:val="0"/>
                      <w:bCs w:val="0"/>
                      <w:color w:val="auto"/>
                      <w:kern w:val="0"/>
                      <w:sz w:val="21"/>
                      <w:szCs w:val="21"/>
                      <w:lang w:val="en-US" w:eastAsia="zh-CN" w:bidi="ar"/>
                    </w:rPr>
                    <w:fldChar w:fldCharType="begin"/>
                  </w:r>
                  <w:r>
                    <w:rPr>
                      <w:rFonts w:hint="default" w:ascii="Times New Roman" w:hAnsi="Times New Roman" w:eastAsia="宋体" w:cs="Times New Roman"/>
                      <w:b w:val="0"/>
                      <w:bCs w:val="0"/>
                      <w:color w:val="auto"/>
                      <w:kern w:val="0"/>
                      <w:sz w:val="21"/>
                      <w:szCs w:val="21"/>
                      <w:lang w:val="en-US" w:eastAsia="zh-CN" w:bidi="ar"/>
                    </w:rPr>
                    <w:instrText xml:space="preserve"> HYPERLINK "https://baike.baidu.com/item/%E7%AD%89%E7%A6%BB%E5%AD%90%E4%BD%93%E6%8A%80%E6%9C%AF/5487502" \t "https://baike.baidu.com/item/%E6%8C%A5%E5%8F%91%E6%80%A7%E6%9C%89%E6%9C%BA%E7%89%A9%28VOCs%29%E6%B1%A1%E6%9F%93%E9%98%B2%E6%B2%BB%E6%8A%80%E6%9C%AF%E6%94%BF%E7%AD%96/_blank" </w:instrText>
                  </w:r>
                  <w:r>
                    <w:rPr>
                      <w:rFonts w:hint="default" w:ascii="Times New Roman" w:hAnsi="Times New Roman" w:eastAsia="宋体" w:cs="Times New Roman"/>
                      <w:b w:val="0"/>
                      <w:bCs w:val="0"/>
                      <w:color w:val="auto"/>
                      <w:kern w:val="0"/>
                      <w:sz w:val="21"/>
                      <w:szCs w:val="21"/>
                      <w:lang w:val="en-US" w:eastAsia="zh-CN" w:bidi="ar"/>
                    </w:rPr>
                    <w:fldChar w:fldCharType="separate"/>
                  </w:r>
                  <w:r>
                    <w:rPr>
                      <w:rFonts w:hint="default" w:ascii="Times New Roman" w:hAnsi="Times New Roman" w:eastAsia="宋体" w:cs="Times New Roman"/>
                      <w:b w:val="0"/>
                      <w:bCs w:val="0"/>
                      <w:color w:val="auto"/>
                      <w:kern w:val="0"/>
                      <w:sz w:val="21"/>
                      <w:szCs w:val="21"/>
                      <w:lang w:val="en-US" w:eastAsia="zh-CN" w:bidi="ar"/>
                    </w:rPr>
                    <w:t>等离子体技术</w:t>
                  </w:r>
                  <w:r>
                    <w:rPr>
                      <w:rFonts w:hint="default" w:ascii="Times New Roman" w:hAnsi="Times New Roman" w:eastAsia="宋体" w:cs="Times New Roman"/>
                      <w:b w:val="0"/>
                      <w:bCs w:val="0"/>
                      <w:color w:val="auto"/>
                      <w:kern w:val="0"/>
                      <w:sz w:val="21"/>
                      <w:szCs w:val="21"/>
                      <w:lang w:val="en-US" w:eastAsia="zh-CN" w:bidi="ar"/>
                    </w:rPr>
                    <w:fldChar w:fldCharType="end"/>
                  </w:r>
                  <w:r>
                    <w:rPr>
                      <w:rFonts w:hint="default" w:ascii="Times New Roman" w:hAnsi="Times New Roman" w:eastAsia="宋体" w:cs="Times New Roman"/>
                      <w:b w:val="0"/>
                      <w:bCs w:val="0"/>
                      <w:color w:val="auto"/>
                      <w:kern w:val="0"/>
                      <w:sz w:val="21"/>
                      <w:szCs w:val="21"/>
                      <w:lang w:val="en-US" w:eastAsia="zh-CN" w:bidi="ar"/>
                    </w:rPr>
                    <w:t>、吸附技术、吸收技术、紫外光高级氧化技术或组合技术等进行净化。净化后的恶臭气体除满足达标排放的要求外，还应采取高空排放等措施，避免产生扰民问题。</w:t>
                  </w:r>
                </w:p>
              </w:tc>
              <w:tc>
                <w:tcPr>
                  <w:tcW w:w="2012" w:type="pct"/>
                  <w:vAlign w:val="center"/>
                </w:tcPr>
                <w:p w14:paraId="4E55B15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zh-CN" w:eastAsia="zh-CN" w:bidi="ar"/>
                    </w:rPr>
                  </w:pPr>
                  <w:r>
                    <w:rPr>
                      <w:rFonts w:hint="default" w:ascii="Times New Roman" w:hAnsi="Times New Roman" w:eastAsia="宋体" w:cs="Times New Roman"/>
                      <w:b w:val="0"/>
                      <w:bCs w:val="0"/>
                      <w:color w:val="auto"/>
                      <w:kern w:val="0"/>
                      <w:sz w:val="21"/>
                      <w:szCs w:val="21"/>
                      <w:lang w:val="en-US" w:eastAsia="zh-CN" w:bidi="ar"/>
                    </w:rPr>
                    <w:t>项目废气主要因子为颗粒物、非甲烷总烃、</w:t>
                  </w:r>
                  <w:r>
                    <w:rPr>
                      <w:rFonts w:hint="default" w:ascii="Times New Roman" w:hAnsi="Times New Roman" w:cs="Times New Roman"/>
                      <w:b w:val="0"/>
                      <w:bCs w:val="0"/>
                      <w:color w:val="auto"/>
                      <w:sz w:val="21"/>
                      <w:szCs w:val="21"/>
                      <w:highlight w:val="none"/>
                    </w:rPr>
                    <w:t>苯并[a]芘</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eastAsia="宋体" w:cs="Times New Roman"/>
                      <w:b w:val="0"/>
                      <w:bCs w:val="0"/>
                      <w:color w:val="auto"/>
                      <w:kern w:val="0"/>
                      <w:sz w:val="21"/>
                      <w:szCs w:val="21"/>
                      <w:lang w:val="en-US" w:eastAsia="zh-CN" w:bidi="ar"/>
                    </w:rPr>
                    <w:t>氮氧化物</w:t>
                  </w:r>
                  <w:r>
                    <w:rPr>
                      <w:rFonts w:hint="eastAsia" w:ascii="Times New Roman" w:hAnsi="Times New Roman" w:eastAsia="宋体" w:cs="Times New Roman"/>
                      <w:b w:val="0"/>
                      <w:bCs w:val="0"/>
                      <w:color w:val="auto"/>
                      <w:kern w:val="0"/>
                      <w:sz w:val="21"/>
                      <w:szCs w:val="21"/>
                      <w:lang w:val="en-US" w:eastAsia="zh-CN" w:bidi="ar"/>
                    </w:rPr>
                    <w:t>、沥青烟</w:t>
                  </w:r>
                  <w:r>
                    <w:rPr>
                      <w:rFonts w:hint="default" w:ascii="Times New Roman" w:hAnsi="Times New Roman" w:eastAsia="宋体" w:cs="Times New Roman"/>
                      <w:b w:val="0"/>
                      <w:bCs w:val="0"/>
                      <w:color w:val="auto"/>
                      <w:kern w:val="0"/>
                      <w:sz w:val="21"/>
                      <w:szCs w:val="21"/>
                      <w:lang w:val="en-US" w:eastAsia="zh-CN" w:bidi="ar"/>
                    </w:rPr>
                    <w:t>等，废气经</w:t>
                  </w:r>
                  <w:r>
                    <w:rPr>
                      <w:rFonts w:hint="eastAsia" w:ascii="Times New Roman" w:hAnsi="Times New Roman" w:eastAsia="宋体" w:cs="Times New Roman"/>
                      <w:b w:val="0"/>
                      <w:bCs w:val="0"/>
                      <w:color w:val="auto"/>
                      <w:kern w:val="0"/>
                      <w:sz w:val="21"/>
                      <w:szCs w:val="21"/>
                      <w:lang w:val="en-US" w:eastAsia="zh-CN" w:bidi="ar"/>
                    </w:rPr>
                    <w:t>旋风除尘器、</w:t>
                  </w:r>
                  <w:r>
                    <w:rPr>
                      <w:rFonts w:hint="default" w:ascii="Times New Roman" w:hAnsi="Times New Roman" w:eastAsia="宋体" w:cs="Times New Roman"/>
                      <w:b w:val="0"/>
                      <w:bCs w:val="0"/>
                      <w:color w:val="auto"/>
                      <w:kern w:val="0"/>
                      <w:sz w:val="21"/>
                      <w:szCs w:val="21"/>
                      <w:lang w:val="en-US" w:eastAsia="zh-CN" w:bidi="ar"/>
                    </w:rPr>
                    <w:t>布袋</w:t>
                  </w:r>
                  <w:r>
                    <w:rPr>
                      <w:rFonts w:hint="eastAsia" w:ascii="Times New Roman" w:hAnsi="Times New Roman" w:eastAsia="宋体" w:cs="Times New Roman"/>
                      <w:b w:val="0"/>
                      <w:bCs w:val="0"/>
                      <w:color w:val="auto"/>
                      <w:kern w:val="0"/>
                      <w:sz w:val="21"/>
                      <w:szCs w:val="21"/>
                      <w:lang w:val="en-US" w:eastAsia="zh-CN" w:bidi="ar"/>
                    </w:rPr>
                    <w:t>除尘器</w:t>
                  </w:r>
                  <w:r>
                    <w:rPr>
                      <w:rFonts w:hint="default" w:ascii="Times New Roman" w:hAnsi="Times New Roman" w:eastAsia="宋体" w:cs="Times New Roman"/>
                      <w:b w:val="0"/>
                      <w:bCs w:val="0"/>
                      <w:color w:val="auto"/>
                      <w:kern w:val="0"/>
                      <w:sz w:val="21"/>
                      <w:szCs w:val="21"/>
                      <w:lang w:val="en-US" w:eastAsia="zh-CN" w:bidi="ar"/>
                    </w:rPr>
                    <w:t>、</w:t>
                  </w:r>
                  <w:r>
                    <w:rPr>
                      <w:rFonts w:hint="eastAsia" w:cs="Times New Roman"/>
                      <w:b w:val="0"/>
                      <w:bCs w:val="0"/>
                      <w:color w:val="auto"/>
                      <w:kern w:val="0"/>
                      <w:sz w:val="21"/>
                      <w:szCs w:val="21"/>
                      <w:highlight w:val="none"/>
                      <w:lang w:val="en-US" w:eastAsia="zh-CN" w:bidi="ar"/>
                    </w:rPr>
                    <w:t>“电捕焦油器+活性炭吸附”处理装置</w:t>
                  </w:r>
                  <w:r>
                    <w:rPr>
                      <w:rFonts w:hint="default" w:ascii="Times New Roman" w:hAnsi="Times New Roman" w:eastAsia="宋体" w:cs="Times New Roman"/>
                      <w:b w:val="0"/>
                      <w:bCs w:val="0"/>
                      <w:color w:val="auto"/>
                      <w:kern w:val="0"/>
                      <w:sz w:val="21"/>
                      <w:szCs w:val="21"/>
                      <w:highlight w:val="none"/>
                      <w:lang w:val="en-US" w:eastAsia="zh-CN" w:bidi="ar"/>
                    </w:rPr>
                    <w:t>等措施</w:t>
                  </w:r>
                  <w:r>
                    <w:rPr>
                      <w:rFonts w:hint="default" w:ascii="Times New Roman" w:hAnsi="Times New Roman" w:eastAsia="宋体" w:cs="Times New Roman"/>
                      <w:b w:val="0"/>
                      <w:bCs w:val="0"/>
                      <w:color w:val="auto"/>
                      <w:kern w:val="0"/>
                      <w:sz w:val="21"/>
                      <w:szCs w:val="21"/>
                      <w:lang w:val="en-US" w:eastAsia="zh-CN" w:bidi="ar"/>
                    </w:rPr>
                    <w:t>处理后达标排放。</w:t>
                  </w:r>
                </w:p>
              </w:tc>
              <w:tc>
                <w:tcPr>
                  <w:tcW w:w="529" w:type="pct"/>
                  <w:vAlign w:val="center"/>
                </w:tcPr>
                <w:p w14:paraId="5B068D01">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08A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24BF9E4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023" w:type="pct"/>
                  <w:vAlign w:val="center"/>
                </w:tcPr>
                <w:p w14:paraId="3A0403D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zh-CN" w:eastAsia="zh-CN" w:bidi="ar"/>
                    </w:rPr>
                  </w:pPr>
                  <w:r>
                    <w:rPr>
                      <w:rFonts w:hint="default" w:ascii="Times New Roman" w:hAnsi="Times New Roman" w:eastAsia="宋体" w:cs="Times New Roman"/>
                      <w:b w:val="0"/>
                      <w:bCs w:val="0"/>
                      <w:color w:val="auto"/>
                      <w:kern w:val="0"/>
                      <w:sz w:val="21"/>
                      <w:szCs w:val="21"/>
                      <w:lang w:val="en-US" w:eastAsia="zh-CN" w:bidi="ar"/>
                    </w:rPr>
                    <w:t>（七）严格控制VOCs处理过程中产生的二次污染，对于催化燃烧和热力焚烧过程中产生的含硫、氮、氯等无机废气，以及吸附、吸收、冷凝、生物等治理过程中所产生的含有机物废水，应处理后达标排放。</w:t>
                  </w:r>
                </w:p>
              </w:tc>
              <w:tc>
                <w:tcPr>
                  <w:tcW w:w="2012" w:type="pct"/>
                  <w:vAlign w:val="center"/>
                </w:tcPr>
                <w:p w14:paraId="6056096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zh-CN" w:eastAsia="zh-CN" w:bidi="ar"/>
                    </w:rPr>
                  </w:pPr>
                  <w:r>
                    <w:rPr>
                      <w:rFonts w:hint="default" w:ascii="Times New Roman" w:hAnsi="Times New Roman" w:eastAsia="宋体" w:cs="Times New Roman"/>
                      <w:b w:val="0"/>
                      <w:bCs w:val="0"/>
                      <w:color w:val="auto"/>
                      <w:kern w:val="0"/>
                      <w:sz w:val="21"/>
                      <w:szCs w:val="21"/>
                      <w:lang w:val="en-US" w:eastAsia="zh-CN" w:bidi="ar"/>
                    </w:rPr>
                    <w:t>项目严格控制VOCs处理过程中产生的二次污染，</w:t>
                  </w:r>
                  <w:r>
                    <w:rPr>
                      <w:rFonts w:hint="eastAsia" w:cs="Times New Roman"/>
                      <w:b w:val="0"/>
                      <w:bCs w:val="0"/>
                      <w:color w:val="auto"/>
                      <w:kern w:val="0"/>
                      <w:sz w:val="21"/>
                      <w:szCs w:val="21"/>
                      <w:lang w:val="en-US" w:eastAsia="zh-CN" w:bidi="ar"/>
                    </w:rPr>
                    <w:t>主要有焦油渣、</w:t>
                  </w:r>
                  <w:r>
                    <w:rPr>
                      <w:rFonts w:hint="eastAsia" w:ascii="Times New Roman" w:hAnsi="Times New Roman" w:eastAsia="宋体" w:cs="Times New Roman"/>
                      <w:b w:val="0"/>
                      <w:bCs w:val="0"/>
                      <w:color w:val="auto"/>
                      <w:kern w:val="0"/>
                      <w:sz w:val="21"/>
                      <w:szCs w:val="21"/>
                      <w:highlight w:val="none"/>
                      <w:lang w:val="en-US" w:eastAsia="zh-CN" w:bidi="ar"/>
                    </w:rPr>
                    <w:t>废活性炭</w:t>
                  </w:r>
                  <w:r>
                    <w:rPr>
                      <w:rFonts w:hint="eastAsia" w:cs="Times New Roman"/>
                      <w:b w:val="0"/>
                      <w:bCs w:val="0"/>
                      <w:color w:val="auto"/>
                      <w:kern w:val="0"/>
                      <w:sz w:val="21"/>
                      <w:szCs w:val="21"/>
                      <w:lang w:val="en-US" w:eastAsia="zh-CN" w:bidi="ar"/>
                    </w:rPr>
                    <w:t>，均经过妥善处置，废活性炭由更换厂家带走回收处置，不在厂区暂存</w:t>
                  </w:r>
                  <w:r>
                    <w:rPr>
                      <w:rFonts w:hint="default" w:ascii="Times New Roman" w:hAnsi="Times New Roman" w:eastAsia="宋体" w:cs="Times New Roman"/>
                      <w:b w:val="0"/>
                      <w:bCs w:val="0"/>
                      <w:color w:val="auto"/>
                      <w:kern w:val="0"/>
                      <w:sz w:val="21"/>
                      <w:szCs w:val="21"/>
                      <w:lang w:val="en-US" w:eastAsia="zh-CN" w:bidi="ar"/>
                    </w:rPr>
                    <w:t>。</w:t>
                  </w:r>
                </w:p>
              </w:tc>
              <w:tc>
                <w:tcPr>
                  <w:tcW w:w="529" w:type="pct"/>
                  <w:vAlign w:val="center"/>
                </w:tcPr>
                <w:p w14:paraId="5FC7CDCB">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r w14:paraId="7881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5FDF905A">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023" w:type="pct"/>
                  <w:vAlign w:val="center"/>
                </w:tcPr>
                <w:p w14:paraId="7177227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zh-CN" w:eastAsia="zh-CN" w:bidi="ar"/>
                    </w:rPr>
                  </w:pPr>
                  <w:r>
                    <w:rPr>
                      <w:rFonts w:hint="default" w:ascii="Times New Roman" w:hAnsi="Times New Roman" w:eastAsia="宋体" w:cs="Times New Roman"/>
                      <w:b w:val="0"/>
                      <w:bCs w:val="0"/>
                      <w:color w:val="auto"/>
                      <w:kern w:val="0"/>
                      <w:sz w:val="21"/>
                      <w:szCs w:val="21"/>
                      <w:lang w:val="en-US" w:eastAsia="zh-CN" w:bidi="ar"/>
                    </w:rPr>
                    <w:t>（八）对于不能再生的过滤材料、吸附剂及催化剂等净化材料，应按照国家固体废物管理的相关规定处理处置。</w:t>
                  </w:r>
                </w:p>
              </w:tc>
              <w:tc>
                <w:tcPr>
                  <w:tcW w:w="2012" w:type="pct"/>
                  <w:vAlign w:val="center"/>
                </w:tcPr>
                <w:p w14:paraId="782D29A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auto"/>
                      <w:kern w:val="0"/>
                      <w:sz w:val="21"/>
                      <w:szCs w:val="21"/>
                      <w:lang w:val="zh-CN" w:eastAsia="zh-CN" w:bidi="ar"/>
                    </w:rPr>
                  </w:pPr>
                  <w:r>
                    <w:rPr>
                      <w:rFonts w:hint="eastAsia" w:cs="Times New Roman"/>
                      <w:b w:val="0"/>
                      <w:bCs w:val="0"/>
                      <w:color w:val="auto"/>
                      <w:kern w:val="0"/>
                      <w:sz w:val="21"/>
                      <w:szCs w:val="21"/>
                      <w:lang w:val="en-US" w:eastAsia="zh-CN" w:bidi="ar"/>
                    </w:rPr>
                    <w:t>项目产生固体废物均得到妥善处置，处置率100％</w:t>
                  </w:r>
                  <w:r>
                    <w:rPr>
                      <w:rFonts w:hint="default" w:ascii="Times New Roman" w:hAnsi="Times New Roman" w:eastAsia="宋体" w:cs="Times New Roman"/>
                      <w:b w:val="0"/>
                      <w:bCs w:val="0"/>
                      <w:color w:val="auto"/>
                      <w:kern w:val="0"/>
                      <w:sz w:val="21"/>
                      <w:szCs w:val="21"/>
                      <w:lang w:val="en-US" w:eastAsia="zh-CN" w:bidi="ar"/>
                    </w:rPr>
                    <w:t>。</w:t>
                  </w:r>
                </w:p>
              </w:tc>
              <w:tc>
                <w:tcPr>
                  <w:tcW w:w="529" w:type="pct"/>
                  <w:vAlign w:val="center"/>
                </w:tcPr>
                <w:p w14:paraId="337862A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符合</w:t>
                  </w:r>
                </w:p>
              </w:tc>
            </w:tr>
          </w:tbl>
          <w:p w14:paraId="3575DC57">
            <w:pPr>
              <w:keepNext w:val="0"/>
              <w:keepLines w:val="0"/>
              <w:pageBreakBefore w:val="0"/>
              <w:widowControl/>
              <w:suppressLineNumbers w:val="0"/>
              <w:kinsoku/>
              <w:wordWrap/>
              <w:overflowPunct/>
              <w:topLinePunct w:val="0"/>
              <w:autoSpaceDE/>
              <w:autoSpaceDN/>
              <w:bidi w:val="0"/>
              <w:adjustRightInd/>
              <w:snapToGrid/>
              <w:spacing w:before="157" w:beforeLines="50"/>
              <w:ind w:left="0" w:leftChars="0" w:firstLine="480" w:firstLineChars="200"/>
              <w:jc w:val="left"/>
              <w:textAlignment w:val="auto"/>
              <w:rPr>
                <w:kern w:val="0"/>
                <w:szCs w:val="24"/>
                <w:shd w:val="clear" w:color="auto" w:fill="FFFFFF"/>
              </w:rPr>
            </w:pPr>
            <w:r>
              <w:rPr>
                <w:rFonts w:hint="eastAsia"/>
                <w:kern w:val="0"/>
                <w:szCs w:val="24"/>
                <w:shd w:val="clear" w:color="auto" w:fill="FFFFFF"/>
                <w:lang w:val="en-US" w:eastAsia="zh-CN"/>
              </w:rPr>
              <w:t>综上分析</w:t>
            </w:r>
            <w:r>
              <w:rPr>
                <w:kern w:val="0"/>
                <w:szCs w:val="24"/>
                <w:shd w:val="clear" w:color="auto" w:fill="FFFFFF"/>
              </w:rPr>
              <w:t>，本项目符合《挥发性有机物（VOCs）污染防治技术政策》（生态环境部公告2013年第31号）的要求。</w:t>
            </w:r>
          </w:p>
          <w:p w14:paraId="5B6B087A">
            <w:pPr>
              <w:keepNext w:val="0"/>
              <w:keepLines w:val="0"/>
              <w:widowControl/>
              <w:numPr>
                <w:ilvl w:val="0"/>
                <w:numId w:val="0"/>
              </w:numPr>
              <w:suppressLineNumbers w:val="0"/>
              <w:jc w:val="left"/>
            </w:pPr>
            <w:r>
              <w:rPr>
                <w:rFonts w:hint="eastAsia" w:cs="Times New Roman"/>
                <w:b/>
                <w:bCs/>
                <w:color w:val="auto"/>
                <w:kern w:val="0"/>
                <w:sz w:val="24"/>
                <w:szCs w:val="24"/>
                <w:lang w:val="en-US" w:eastAsia="zh-CN" w:bidi="ar"/>
              </w:rPr>
              <w:t>七</w:t>
            </w:r>
            <w:r>
              <w:rPr>
                <w:rFonts w:hint="eastAsia" w:ascii="Times New Roman" w:hAnsi="Times New Roman" w:eastAsia="宋体" w:cs="Times New Roman"/>
                <w:b/>
                <w:bCs/>
                <w:color w:val="auto"/>
                <w:kern w:val="0"/>
                <w:sz w:val="24"/>
                <w:szCs w:val="24"/>
                <w:lang w:val="en-US" w:eastAsia="zh-CN" w:bidi="ar"/>
              </w:rPr>
              <w:t>、与</w:t>
            </w:r>
            <w:r>
              <w:rPr>
                <w:rFonts w:hint="default" w:ascii="Times New Roman" w:hAnsi="Times New Roman" w:eastAsia="宋体" w:cs="Times New Roman"/>
                <w:b/>
                <w:bCs/>
                <w:color w:val="auto"/>
                <w:kern w:val="0"/>
                <w:sz w:val="24"/>
                <w:szCs w:val="24"/>
                <w:lang w:val="en-US" w:eastAsia="zh-CN" w:bidi="ar"/>
              </w:rPr>
              <w:t>《挥发性有机物无组织排放控制标准》（GB37822-2019）</w:t>
            </w:r>
            <w:r>
              <w:rPr>
                <w:rFonts w:hint="eastAsia"/>
                <w:b/>
                <w:bCs/>
                <w:lang w:val="en-US" w:eastAsia="zh-CN"/>
              </w:rPr>
              <w:t>符合性分析</w:t>
            </w:r>
          </w:p>
          <w:p w14:paraId="3B3F4DEB">
            <w:pPr>
              <w:ind w:firstLine="480"/>
              <w:rPr>
                <w:kern w:val="0"/>
                <w:szCs w:val="24"/>
                <w:shd w:val="clear" w:color="auto" w:fill="FFFFFF"/>
              </w:rPr>
            </w:pPr>
            <w:r>
              <w:rPr>
                <w:rFonts w:hint="eastAsia"/>
                <w:kern w:val="0"/>
                <w:szCs w:val="24"/>
                <w:shd w:val="clear" w:color="auto" w:fill="FFFFFF"/>
                <w:lang w:val="en-US" w:eastAsia="zh-CN"/>
              </w:rPr>
              <w:t>本</w:t>
            </w:r>
            <w:r>
              <w:rPr>
                <w:kern w:val="0"/>
                <w:szCs w:val="24"/>
                <w:shd w:val="clear" w:color="auto" w:fill="FFFFFF"/>
              </w:rPr>
              <w:t>项目与《挥发性有机物无组织排放控制标准》相符性分析</w:t>
            </w:r>
            <w:r>
              <w:rPr>
                <w:rFonts w:hint="eastAsia"/>
                <w:kern w:val="0"/>
                <w:szCs w:val="24"/>
                <w:shd w:val="clear" w:color="auto" w:fill="FFFFFF"/>
                <w:lang w:val="en-US" w:eastAsia="zh-CN"/>
              </w:rPr>
              <w:t>详见下</w:t>
            </w:r>
            <w:r>
              <w:rPr>
                <w:kern w:val="0"/>
                <w:szCs w:val="24"/>
                <w:shd w:val="clear" w:color="auto" w:fill="FFFFFF"/>
              </w:rPr>
              <w:t>表1-</w:t>
            </w:r>
            <w:r>
              <w:rPr>
                <w:rFonts w:hint="eastAsia"/>
                <w:kern w:val="0"/>
                <w:szCs w:val="24"/>
                <w:shd w:val="clear" w:color="auto" w:fill="FFFFFF"/>
                <w:lang w:val="en-US" w:eastAsia="zh-CN"/>
              </w:rPr>
              <w:t>7</w:t>
            </w:r>
            <w:r>
              <w:rPr>
                <w:kern w:val="0"/>
                <w:szCs w:val="24"/>
                <w:shd w:val="clear" w:color="auto" w:fill="FFFFFF"/>
              </w:rPr>
              <w:t>。</w:t>
            </w:r>
          </w:p>
          <w:p w14:paraId="05A7AD2B">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表1-</w:t>
            </w:r>
            <w:r>
              <w:rPr>
                <w:rFonts w:hint="eastAsia" w:cs="Times New Roman"/>
                <w:b/>
                <w:bCs/>
                <w:color w:val="000000" w:themeColor="text1"/>
                <w:kern w:val="0"/>
                <w:sz w:val="21"/>
                <w:szCs w:val="21"/>
                <w:lang w:val="en-US" w:eastAsia="zh-CN" w:bidi="ar"/>
                <w14:textFill>
                  <w14:solidFill>
                    <w14:schemeClr w14:val="tx1"/>
                  </w14:solidFill>
                </w14:textFill>
              </w:rPr>
              <w:t>7</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  项目《挥发性有机物无组织排放控制标准》的符合性</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3981"/>
              <w:gridCol w:w="2606"/>
              <w:gridCol w:w="919"/>
            </w:tblGrid>
            <w:tr w14:paraId="2BF5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Align w:val="center"/>
                </w:tcPr>
                <w:p w14:paraId="36FDE30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内容</w:t>
                  </w:r>
                </w:p>
              </w:tc>
              <w:tc>
                <w:tcPr>
                  <w:tcW w:w="3510" w:type="dxa"/>
                  <w:vAlign w:val="center"/>
                </w:tcPr>
                <w:p w14:paraId="0314F65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标准要求</w:t>
                  </w:r>
                </w:p>
              </w:tc>
              <w:tc>
                <w:tcPr>
                  <w:tcW w:w="2298" w:type="dxa"/>
                  <w:vAlign w:val="center"/>
                </w:tcPr>
                <w:p w14:paraId="780045E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建设项目</w:t>
                  </w:r>
                </w:p>
              </w:tc>
              <w:tc>
                <w:tcPr>
                  <w:tcW w:w="810" w:type="dxa"/>
                  <w:vAlign w:val="center"/>
                </w:tcPr>
                <w:p w14:paraId="72B897E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b/>
                      <w:bCs/>
                      <w:color w:val="000000" w:themeColor="text1"/>
                      <w:kern w:val="0"/>
                      <w:sz w:val="21"/>
                      <w:szCs w:val="21"/>
                      <w14:textFill>
                        <w14:solidFill>
                          <w14:schemeClr w14:val="tx1"/>
                        </w14:solidFill>
                      </w14:textFill>
                    </w:rPr>
                    <w:t>相符性</w:t>
                  </w:r>
                </w:p>
              </w:tc>
            </w:tr>
            <w:tr w14:paraId="18905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restart"/>
                  <w:vAlign w:val="center"/>
                </w:tcPr>
                <w:p w14:paraId="34EA434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VOCs物料储存无组织排放控制要求</w:t>
                  </w:r>
                </w:p>
              </w:tc>
              <w:tc>
                <w:tcPr>
                  <w:tcW w:w="3510" w:type="dxa"/>
                  <w:vAlign w:val="center"/>
                </w:tcPr>
                <w:p w14:paraId="0B68422C">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（一）VOCs物料应储存于密闭的容器、包装袋、储罐、储库、料仓中。</w:t>
                  </w:r>
                </w:p>
              </w:tc>
              <w:tc>
                <w:tcPr>
                  <w:tcW w:w="2298" w:type="dxa"/>
                  <w:vAlign w:val="center"/>
                </w:tcPr>
                <w:p w14:paraId="65822978">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项目VOCs物料</w:t>
                  </w:r>
                  <w:r>
                    <w:rPr>
                      <w:rFonts w:hint="eastAsia" w:ascii="Times New Roman" w:hAnsi="Times New Roman" w:eastAsia="宋体" w:cs="Times New Roman"/>
                      <w:color w:val="000000" w:themeColor="text1"/>
                      <w:sz w:val="21"/>
                      <w:szCs w:val="21"/>
                      <w14:textFill>
                        <w14:solidFill>
                          <w14:schemeClr w14:val="tx1"/>
                        </w14:solidFill>
                      </w14:textFill>
                    </w:rPr>
                    <w:t>主要为沥青，</w:t>
                  </w:r>
                  <w:r>
                    <w:rPr>
                      <w:rFonts w:ascii="Times New Roman" w:hAnsi="Times New Roman" w:eastAsia="宋体" w:cs="Times New Roman"/>
                      <w:color w:val="000000" w:themeColor="text1"/>
                      <w:sz w:val="21"/>
                      <w:szCs w:val="21"/>
                      <w14:textFill>
                        <w14:solidFill>
                          <w14:schemeClr w14:val="tx1"/>
                        </w14:solidFill>
                      </w14:textFill>
                    </w:rPr>
                    <w:t>储存于密闭储罐</w:t>
                  </w:r>
                  <w:r>
                    <w:rPr>
                      <w:rFonts w:hint="eastAsia" w:ascii="Times New Roman" w:hAnsi="Times New Roman" w:eastAsia="宋体" w:cs="Times New Roman"/>
                      <w:color w:val="000000" w:themeColor="text1"/>
                      <w:sz w:val="21"/>
                      <w:szCs w:val="21"/>
                      <w14:textFill>
                        <w14:solidFill>
                          <w14:schemeClr w14:val="tx1"/>
                        </w14:solidFill>
                      </w14:textFill>
                    </w:rPr>
                    <w:t>内</w:t>
                  </w:r>
                  <w:r>
                    <w:rPr>
                      <w:rFonts w:ascii="Times New Roman" w:hAnsi="Times New Roman" w:eastAsia="宋体" w:cs="Times New Roman"/>
                      <w:color w:val="000000" w:themeColor="text1"/>
                      <w:sz w:val="21"/>
                      <w:szCs w:val="21"/>
                      <w14:textFill>
                        <w14:solidFill>
                          <w14:schemeClr w14:val="tx1"/>
                        </w14:solidFill>
                      </w14:textFill>
                    </w:rPr>
                    <w:t>。</w:t>
                  </w:r>
                </w:p>
              </w:tc>
              <w:tc>
                <w:tcPr>
                  <w:tcW w:w="810" w:type="dxa"/>
                  <w:vAlign w:val="center"/>
                </w:tcPr>
                <w:p w14:paraId="7C9E2BB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r w14:paraId="7798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vAlign w:val="center"/>
                </w:tcPr>
                <w:p w14:paraId="0E1A248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p>
              </w:tc>
              <w:tc>
                <w:tcPr>
                  <w:tcW w:w="3510" w:type="dxa"/>
                  <w:vAlign w:val="center"/>
                </w:tcPr>
                <w:p w14:paraId="35D78E86">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（二）盛装VOCs物料的容器或包装袋应存放于室内，或存放于设置有雨棚、遮阳和防渗设施的专用场地。盛装VOCs 物料的容器或包装袋在非取用状态时应加盖、封口，保持密闭。</w:t>
                  </w:r>
                </w:p>
              </w:tc>
              <w:tc>
                <w:tcPr>
                  <w:tcW w:w="2298" w:type="dxa"/>
                  <w:vAlign w:val="center"/>
                </w:tcPr>
                <w:p w14:paraId="4EF7A736">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项目VOCs物料储存于密闭储罐</w:t>
                  </w:r>
                  <w:r>
                    <w:rPr>
                      <w:rFonts w:hint="eastAsia" w:ascii="Times New Roman" w:hAnsi="Times New Roman" w:eastAsia="宋体" w:cs="Times New Roman"/>
                      <w:color w:val="000000" w:themeColor="text1"/>
                      <w:sz w:val="21"/>
                      <w:szCs w:val="21"/>
                      <w14:textFill>
                        <w14:solidFill>
                          <w14:schemeClr w14:val="tx1"/>
                        </w14:solidFill>
                      </w14:textFill>
                    </w:rPr>
                    <w:t>内</w:t>
                  </w:r>
                  <w:r>
                    <w:rPr>
                      <w:rFonts w:ascii="Times New Roman" w:hAnsi="Times New Roman" w:eastAsia="宋体" w:cs="Times New Roman"/>
                      <w:color w:val="000000" w:themeColor="text1"/>
                      <w:sz w:val="21"/>
                      <w:szCs w:val="21"/>
                      <w14:textFill>
                        <w14:solidFill>
                          <w14:schemeClr w14:val="tx1"/>
                        </w14:solidFill>
                      </w14:textFill>
                    </w:rPr>
                    <w:t>。</w:t>
                  </w:r>
                </w:p>
              </w:tc>
              <w:tc>
                <w:tcPr>
                  <w:tcW w:w="810" w:type="dxa"/>
                  <w:vAlign w:val="center"/>
                </w:tcPr>
                <w:p w14:paraId="14EB98B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r w14:paraId="47D2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Align w:val="center"/>
                </w:tcPr>
                <w:p w14:paraId="5B70C7E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VOCs物料转移和输送无组织排放控制要求</w:t>
                  </w:r>
                </w:p>
              </w:tc>
              <w:tc>
                <w:tcPr>
                  <w:tcW w:w="3510" w:type="dxa"/>
                  <w:vAlign w:val="center"/>
                </w:tcPr>
                <w:p w14:paraId="0420ACC1">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（一）液态VOCs物料应采用密闭管道输送。采用非管道输送方式转移液态VOCs物料时应采用密闭容器、罐车。</w:t>
                  </w:r>
                </w:p>
              </w:tc>
              <w:tc>
                <w:tcPr>
                  <w:tcW w:w="2298" w:type="dxa"/>
                  <w:vAlign w:val="center"/>
                </w:tcPr>
                <w:p w14:paraId="1A88BEAC">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项目液态VOCs物料采用密闭</w:t>
                  </w:r>
                  <w:r>
                    <w:rPr>
                      <w:rFonts w:hint="eastAsia" w:ascii="Times New Roman" w:hAnsi="Times New Roman" w:eastAsia="宋体" w:cs="Times New Roman"/>
                      <w:color w:val="000000" w:themeColor="text1"/>
                      <w:sz w:val="21"/>
                      <w:szCs w:val="21"/>
                      <w14:textFill>
                        <w14:solidFill>
                          <w14:schemeClr w14:val="tx1"/>
                        </w14:solidFill>
                      </w14:textFill>
                    </w:rPr>
                    <w:t>管道输送</w:t>
                  </w:r>
                  <w:r>
                    <w:rPr>
                      <w:rFonts w:ascii="Times New Roman" w:hAnsi="Times New Roman" w:eastAsia="宋体" w:cs="Times New Roman"/>
                      <w:color w:val="000000" w:themeColor="text1"/>
                      <w:sz w:val="21"/>
                      <w:szCs w:val="21"/>
                      <w14:textFill>
                        <w14:solidFill>
                          <w14:schemeClr w14:val="tx1"/>
                        </w14:solidFill>
                      </w14:textFill>
                    </w:rPr>
                    <w:t>。</w:t>
                  </w:r>
                </w:p>
              </w:tc>
              <w:tc>
                <w:tcPr>
                  <w:tcW w:w="810" w:type="dxa"/>
                  <w:vAlign w:val="center"/>
                </w:tcPr>
                <w:p w14:paraId="40C4AB8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r w14:paraId="76FD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Align w:val="center"/>
                </w:tcPr>
                <w:p w14:paraId="069C6229">
                  <w:pPr>
                    <w:pStyle w:val="27"/>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工艺过程VOCs无组织排放控制要求</w:t>
                  </w:r>
                </w:p>
              </w:tc>
              <w:tc>
                <w:tcPr>
                  <w:tcW w:w="3510" w:type="dxa"/>
                  <w:vAlign w:val="center"/>
                </w:tcPr>
                <w:p w14:paraId="5AC3A804">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（一）液态VOCs物料应采用密闭管道输送方式或采用高位槽（罐）、桶泵等给料方式密闭投加，无法密闭投加的，应在密闭空间内操作，或进行局部气体收集，废气应排至除尘设施、VOCs废气收集处理系统。</w:t>
                  </w:r>
                </w:p>
              </w:tc>
              <w:tc>
                <w:tcPr>
                  <w:tcW w:w="2298" w:type="dxa"/>
                  <w:vAlign w:val="center"/>
                </w:tcPr>
                <w:p w14:paraId="5052EBD3">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项目液态VOCs物料采用密闭管道输送方式密闭投加。</w:t>
                  </w:r>
                </w:p>
              </w:tc>
              <w:tc>
                <w:tcPr>
                  <w:tcW w:w="810" w:type="dxa"/>
                  <w:vAlign w:val="center"/>
                </w:tcPr>
                <w:p w14:paraId="3408E22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r w14:paraId="13EC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Align w:val="center"/>
                </w:tcPr>
                <w:p w14:paraId="5C289A78">
                  <w:pPr>
                    <w:pStyle w:val="27"/>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lang w:val="en-US"/>
                      <w14:textFill>
                        <w14:solidFill>
                          <w14:schemeClr w14:val="tx1"/>
                        </w14:solidFill>
                      </w14:textFill>
                    </w:rPr>
                    <w:t>敞开液面</w:t>
                  </w:r>
                  <w:r>
                    <w:rPr>
                      <w:rFonts w:ascii="Times New Roman" w:hAnsi="Times New Roman" w:eastAsia="宋体" w:cs="Times New Roman"/>
                      <w:color w:val="000000" w:themeColor="text1"/>
                      <w:sz w:val="21"/>
                      <w:szCs w:val="21"/>
                      <w14:textFill>
                        <w14:solidFill>
                          <w14:schemeClr w14:val="tx1"/>
                        </w14:solidFill>
                      </w14:textFill>
                    </w:rPr>
                    <w:t>VOCs无组织排放控制要求</w:t>
                  </w:r>
                </w:p>
              </w:tc>
              <w:tc>
                <w:tcPr>
                  <w:tcW w:w="3510" w:type="dxa"/>
                  <w:vAlign w:val="center"/>
                </w:tcPr>
                <w:p w14:paraId="5C3FF8B9">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（一）对于工艺过程排放的含VOCs废水，集输系统应符合下列规定之一：a</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采用密闭管道输送，接入口和排出口采取与环境空气隔离的措施。</w:t>
                  </w:r>
                  <w:r>
                    <w:rPr>
                      <w:rFonts w:hint="eastAsia" w:ascii="Times New Roman" w:hAnsi="Times New Roman" w:eastAsia="宋体" w:cs="Times New Roman"/>
                      <w:color w:val="000000" w:themeColor="text1"/>
                      <w:sz w:val="21"/>
                      <w:szCs w:val="21"/>
                      <w:lang w:val="en-US"/>
                      <w14:textFill>
                        <w14:solidFill>
                          <w14:schemeClr w14:val="tx1"/>
                        </w14:solidFill>
                      </w14:textFill>
                    </w:rPr>
                    <w:t>b</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采用沟渠输送，若敞开液面上方100mm处VOCs检测浓度≥200μmol/mol，应加盖密闭，接入口和排出口采取与环境空气隔离的措施。</w:t>
                  </w:r>
                </w:p>
              </w:tc>
              <w:tc>
                <w:tcPr>
                  <w:tcW w:w="2298" w:type="dxa"/>
                  <w:vAlign w:val="center"/>
                </w:tcPr>
                <w:p w14:paraId="09AFAC97">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eastAsia" w:ascii="Times New Roman" w:hAnsi="Times New Roman" w:eastAsia="宋体" w:cs="Times New Roman"/>
                      <w:color w:val="000000" w:themeColor="text1"/>
                      <w:sz w:val="21"/>
                      <w:szCs w:val="21"/>
                      <w14:textFill>
                        <w14:solidFill>
                          <w14:schemeClr w14:val="tx1"/>
                        </w14:solidFill>
                      </w14:textFill>
                    </w:rPr>
                    <w:t>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含</w:t>
                  </w:r>
                  <w:r>
                    <w:rPr>
                      <w:rFonts w:ascii="Times New Roman" w:hAnsi="Times New Roman" w:eastAsia="宋体" w:cs="Times New Roman"/>
                      <w:color w:val="000000" w:themeColor="text1"/>
                      <w:sz w:val="21"/>
                      <w:szCs w:val="21"/>
                      <w14:textFill>
                        <w14:solidFill>
                          <w14:schemeClr w14:val="tx1"/>
                        </w14:solidFill>
                      </w14:textFill>
                    </w:rPr>
                    <w:t>VOCs废水</w:t>
                  </w:r>
                  <w:r>
                    <w:rPr>
                      <w:rFonts w:hint="eastAsia" w:ascii="Times New Roman" w:hAnsi="Times New Roman" w:eastAsia="宋体" w:cs="Times New Roman"/>
                      <w:color w:val="000000" w:themeColor="text1"/>
                      <w:sz w:val="21"/>
                      <w:szCs w:val="21"/>
                      <w14:textFill>
                        <w14:solidFill>
                          <w14:schemeClr w14:val="tx1"/>
                        </w14:solidFill>
                      </w14:textFill>
                    </w:rPr>
                    <w:t>产生</w:t>
                  </w:r>
                  <w:r>
                    <w:rPr>
                      <w:rFonts w:ascii="Times New Roman" w:hAnsi="Times New Roman" w:eastAsia="宋体" w:cs="Times New Roman"/>
                      <w:color w:val="000000" w:themeColor="text1"/>
                      <w:sz w:val="21"/>
                      <w:szCs w:val="21"/>
                      <w14:textFill>
                        <w14:solidFill>
                          <w14:schemeClr w14:val="tx1"/>
                        </w14:solidFill>
                      </w14:textFill>
                    </w:rPr>
                    <w:t>。</w:t>
                  </w:r>
                </w:p>
              </w:tc>
              <w:tc>
                <w:tcPr>
                  <w:tcW w:w="810" w:type="dxa"/>
                  <w:vAlign w:val="center"/>
                </w:tcPr>
                <w:p w14:paraId="0BE27ED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r w14:paraId="7E64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restart"/>
                  <w:vAlign w:val="center"/>
                </w:tcPr>
                <w:p w14:paraId="73777AAE">
                  <w:pPr>
                    <w:pStyle w:val="27"/>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s="Times New Roman"/>
                      <w:color w:val="000000" w:themeColor="text1"/>
                      <w:sz w:val="21"/>
                      <w:szCs w:val="21"/>
                      <w:lang w:val="en-US"/>
                      <w14:textFill>
                        <w14:solidFill>
                          <w14:schemeClr w14:val="tx1"/>
                        </w14:solidFill>
                      </w14:textFill>
                    </w:rPr>
                  </w:pPr>
                  <w:r>
                    <w:rPr>
                      <w:rFonts w:ascii="Times New Roman" w:hAnsi="Times New Roman" w:eastAsia="宋体" w:cs="Times New Roman"/>
                      <w:color w:val="000000" w:themeColor="text1"/>
                      <w:sz w:val="21"/>
                      <w:szCs w:val="21"/>
                      <w:lang w:val="en-US"/>
                      <w14:textFill>
                        <w14:solidFill>
                          <w14:schemeClr w14:val="tx1"/>
                        </w14:solidFill>
                      </w14:textFill>
                    </w:rPr>
                    <w:t>VOCs无组织排放废气收集处理系统要求</w:t>
                  </w:r>
                </w:p>
              </w:tc>
              <w:tc>
                <w:tcPr>
                  <w:tcW w:w="3510" w:type="dxa"/>
                  <w:vAlign w:val="center"/>
                </w:tcPr>
                <w:p w14:paraId="037D4AB2">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（一）VOCs 废气收集处理系统应与生产工艺设备同步运行。VOCs 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298" w:type="dxa"/>
                  <w:vAlign w:val="center"/>
                </w:tcPr>
                <w:p w14:paraId="7F3119F8">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项目VOCs废气收集处理系统与生产工艺设备同步运行。废气收集处理系统发生故障或检修时，对应的生产工艺设备能够停止运行，待检修完毕后同步投入使用。</w:t>
                  </w:r>
                </w:p>
              </w:tc>
              <w:tc>
                <w:tcPr>
                  <w:tcW w:w="810" w:type="dxa"/>
                  <w:vAlign w:val="center"/>
                </w:tcPr>
                <w:p w14:paraId="3EB77E1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r w14:paraId="1861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vAlign w:val="center"/>
                </w:tcPr>
                <w:p w14:paraId="74C6C476">
                  <w:pPr>
                    <w:pStyle w:val="27"/>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s="Times New Roman"/>
                      <w:color w:val="000000" w:themeColor="text1"/>
                      <w:sz w:val="21"/>
                      <w:szCs w:val="21"/>
                      <w:lang w:val="en-US"/>
                      <w14:textFill>
                        <w14:solidFill>
                          <w14:schemeClr w14:val="tx1"/>
                        </w14:solidFill>
                      </w14:textFill>
                    </w:rPr>
                  </w:pPr>
                </w:p>
              </w:tc>
              <w:tc>
                <w:tcPr>
                  <w:tcW w:w="3510" w:type="dxa"/>
                  <w:vAlign w:val="center"/>
                </w:tcPr>
                <w:p w14:paraId="25623610">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（二）废气收集系统排风罩（集气罩）的设置应符合GB/T16758的规定。</w:t>
                  </w:r>
                </w:p>
              </w:tc>
              <w:tc>
                <w:tcPr>
                  <w:tcW w:w="2298" w:type="dxa"/>
                  <w:vAlign w:val="center"/>
                </w:tcPr>
                <w:p w14:paraId="4A6DF67B">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项目废气收集系统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集气</w:t>
                  </w:r>
                  <w:r>
                    <w:rPr>
                      <w:rFonts w:ascii="Times New Roman" w:hAnsi="Times New Roman" w:eastAsia="宋体" w:cs="Times New Roman"/>
                      <w:color w:val="000000" w:themeColor="text1"/>
                      <w:sz w:val="21"/>
                      <w:szCs w:val="21"/>
                      <w14:textFill>
                        <w14:solidFill>
                          <w14:schemeClr w14:val="tx1"/>
                        </w14:solidFill>
                      </w14:textFill>
                    </w:rPr>
                    <w:t>罩的设置符合</w:t>
                  </w:r>
                  <w:r>
                    <w:rPr>
                      <w:rFonts w:hint="eastAsia" w:ascii="Times New Roman" w:hAnsi="Times New Roman" w:eastAsia="宋体" w:cs="Times New Roman"/>
                      <w:color w:val="000000" w:themeColor="text1"/>
                      <w:sz w:val="21"/>
                      <w:szCs w:val="21"/>
                      <w14:textFill>
                        <w14:solidFill>
                          <w14:schemeClr w14:val="tx1"/>
                        </w14:solidFill>
                      </w14:textFill>
                    </w:rPr>
                    <w:t>《排风罩的分类及技术条件》（</w:t>
                  </w:r>
                  <w:r>
                    <w:rPr>
                      <w:rFonts w:ascii="Times New Roman" w:hAnsi="Times New Roman" w:eastAsia="宋体" w:cs="Times New Roman"/>
                      <w:color w:val="000000" w:themeColor="text1"/>
                      <w:sz w:val="21"/>
                      <w:szCs w:val="21"/>
                      <w14:textFill>
                        <w14:solidFill>
                          <w14:schemeClr w14:val="tx1"/>
                        </w14:solidFill>
                      </w14:textFill>
                    </w:rPr>
                    <w:t>GB/T16758</w:t>
                  </w:r>
                  <w:r>
                    <w:rPr>
                      <w:rFonts w:hint="eastAsia" w:ascii="Times New Roman" w:hAnsi="Times New Roman" w:eastAsia="宋体" w:cs="Times New Roman"/>
                      <w:color w:val="000000" w:themeColor="text1"/>
                      <w:sz w:val="21"/>
                      <w:szCs w:val="21"/>
                      <w:lang w:val="en-US"/>
                      <w14:textFill>
                        <w14:solidFill>
                          <w14:schemeClr w14:val="tx1"/>
                        </w14:solidFill>
                      </w14:textFill>
                    </w:rPr>
                    <w:t>-2008</w:t>
                  </w:r>
                  <w:r>
                    <w:rPr>
                      <w:rFonts w:hint="eastAsia"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的规定。</w:t>
                  </w:r>
                </w:p>
              </w:tc>
              <w:tc>
                <w:tcPr>
                  <w:tcW w:w="810" w:type="dxa"/>
                  <w:vAlign w:val="center"/>
                </w:tcPr>
                <w:p w14:paraId="3EAD524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r w14:paraId="00F4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vAlign w:val="center"/>
                </w:tcPr>
                <w:p w14:paraId="6B53CAED">
                  <w:pPr>
                    <w:pStyle w:val="27"/>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s="Times New Roman"/>
                      <w:color w:val="000000" w:themeColor="text1"/>
                      <w:sz w:val="21"/>
                      <w:szCs w:val="21"/>
                      <w:lang w:val="en-US"/>
                      <w14:textFill>
                        <w14:solidFill>
                          <w14:schemeClr w14:val="tx1"/>
                        </w14:solidFill>
                      </w14:textFill>
                    </w:rPr>
                  </w:pPr>
                </w:p>
              </w:tc>
              <w:tc>
                <w:tcPr>
                  <w:tcW w:w="3510" w:type="dxa"/>
                  <w:vAlign w:val="center"/>
                </w:tcPr>
                <w:p w14:paraId="4568FE4B">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（三）废气收集系统的输送管道应密闭。</w:t>
                  </w:r>
                </w:p>
              </w:tc>
              <w:tc>
                <w:tcPr>
                  <w:tcW w:w="2298" w:type="dxa"/>
                  <w:vAlign w:val="center"/>
                </w:tcPr>
                <w:p w14:paraId="3B67765C">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项目废气收集系统的输送管道</w:t>
                  </w:r>
                  <w:r>
                    <w:rPr>
                      <w:rFonts w:ascii="Times New Roman" w:hAnsi="Times New Roman" w:eastAsia="宋体" w:cs="Times New Roman"/>
                      <w:color w:val="000000" w:themeColor="text1"/>
                      <w:sz w:val="21"/>
                      <w:szCs w:val="21"/>
                      <w:lang w:val="en-US"/>
                      <w14:textFill>
                        <w14:solidFill>
                          <w14:schemeClr w14:val="tx1"/>
                        </w14:solidFill>
                      </w14:textFill>
                    </w:rPr>
                    <w:t>为</w:t>
                  </w:r>
                  <w:r>
                    <w:rPr>
                      <w:rFonts w:ascii="Times New Roman" w:hAnsi="Times New Roman" w:eastAsia="宋体" w:cs="Times New Roman"/>
                      <w:color w:val="000000" w:themeColor="text1"/>
                      <w:sz w:val="21"/>
                      <w:szCs w:val="21"/>
                      <w14:textFill>
                        <w14:solidFill>
                          <w14:schemeClr w14:val="tx1"/>
                        </w14:solidFill>
                      </w14:textFill>
                    </w:rPr>
                    <w:t>密闭</w:t>
                  </w:r>
                  <w:r>
                    <w:rPr>
                      <w:rFonts w:hint="eastAsia" w:ascii="Times New Roman" w:hAnsi="Times New Roman" w:eastAsia="宋体" w:cs="Times New Roman"/>
                      <w:color w:val="000000" w:themeColor="text1"/>
                      <w:sz w:val="21"/>
                      <w:szCs w:val="21"/>
                      <w14:textFill>
                        <w14:solidFill>
                          <w14:schemeClr w14:val="tx1"/>
                        </w14:solidFill>
                      </w14:textFill>
                    </w:rPr>
                    <w:t>管道</w:t>
                  </w:r>
                  <w:r>
                    <w:rPr>
                      <w:rFonts w:ascii="Times New Roman" w:hAnsi="Times New Roman" w:eastAsia="宋体" w:cs="Times New Roman"/>
                      <w:color w:val="000000" w:themeColor="text1"/>
                      <w:sz w:val="21"/>
                      <w:szCs w:val="21"/>
                      <w14:textFill>
                        <w14:solidFill>
                          <w14:schemeClr w14:val="tx1"/>
                        </w14:solidFill>
                      </w14:textFill>
                    </w:rPr>
                    <w:t>。</w:t>
                  </w:r>
                </w:p>
              </w:tc>
              <w:tc>
                <w:tcPr>
                  <w:tcW w:w="810" w:type="dxa"/>
                  <w:vAlign w:val="center"/>
                </w:tcPr>
                <w:p w14:paraId="1E293DC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r w14:paraId="0D9A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vAlign w:val="center"/>
                </w:tcPr>
                <w:p w14:paraId="7E7EED43">
                  <w:pPr>
                    <w:pStyle w:val="27"/>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s="Times New Roman"/>
                      <w:color w:val="000000" w:themeColor="text1"/>
                      <w:sz w:val="21"/>
                      <w:szCs w:val="21"/>
                      <w:lang w:val="en-US"/>
                      <w14:textFill>
                        <w14:solidFill>
                          <w14:schemeClr w14:val="tx1"/>
                        </w14:solidFill>
                      </w14:textFill>
                    </w:rPr>
                  </w:pPr>
                </w:p>
              </w:tc>
              <w:tc>
                <w:tcPr>
                  <w:tcW w:w="3510" w:type="dxa"/>
                  <w:vAlign w:val="center"/>
                </w:tcPr>
                <w:p w14:paraId="4CECC0B3">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（四）VOCs废气收集处理系统污染物排放应符合GB16297或相关行业排放标准的规定。</w:t>
                  </w:r>
                </w:p>
              </w:tc>
              <w:tc>
                <w:tcPr>
                  <w:tcW w:w="2298" w:type="dxa"/>
                  <w:vAlign w:val="center"/>
                </w:tcPr>
                <w:p w14:paraId="23ACC730">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项目VOCs废气收集处理系统污染物排放符合</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w:t>
                  </w:r>
                  <w:r>
                    <w:rPr>
                      <w:rFonts w:ascii="Times New Roman" w:hAnsi="Times New Roman" w:eastAsia="宋体" w:cs="Times New Roman"/>
                      <w:color w:val="000000" w:themeColor="text1"/>
                      <w:sz w:val="21"/>
                      <w:szCs w:val="21"/>
                      <w14:textFill>
                        <w14:solidFill>
                          <w14:schemeClr w14:val="tx1"/>
                        </w14:solidFill>
                      </w14:textFill>
                    </w:rPr>
                    <w:t>的规定。</w:t>
                  </w:r>
                </w:p>
              </w:tc>
              <w:tc>
                <w:tcPr>
                  <w:tcW w:w="810" w:type="dxa"/>
                  <w:vAlign w:val="center"/>
                </w:tcPr>
                <w:p w14:paraId="3D9B9BD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r w14:paraId="09BC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vMerge w:val="continue"/>
                  <w:vAlign w:val="center"/>
                </w:tcPr>
                <w:p w14:paraId="505C9AE3">
                  <w:pPr>
                    <w:pStyle w:val="27"/>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ascii="Times New Roman" w:hAnsi="Times New Roman" w:eastAsia="宋体" w:cs="Times New Roman"/>
                      <w:color w:val="000000" w:themeColor="text1"/>
                      <w:sz w:val="21"/>
                      <w:szCs w:val="21"/>
                      <w:lang w:val="en-US"/>
                      <w14:textFill>
                        <w14:solidFill>
                          <w14:schemeClr w14:val="tx1"/>
                        </w14:solidFill>
                      </w14:textFill>
                    </w:rPr>
                  </w:pPr>
                </w:p>
              </w:tc>
              <w:tc>
                <w:tcPr>
                  <w:tcW w:w="3510" w:type="dxa"/>
                  <w:vAlign w:val="center"/>
                </w:tcPr>
                <w:p w14:paraId="6D9CC280">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（五）收集的废气中NMHC初始排放速率≥3kg/h时，应配置VOCs处理设施，处理效率不应低于80%；对于重点地区，收集的废气中NMHC初始排放</w:t>
                  </w:r>
                  <w:r>
                    <w:rPr>
                      <w:rFonts w:hint="eastAsia" w:ascii="Times New Roman" w:hAnsi="Times New Roman" w:eastAsia="宋体" w:cs="Times New Roman"/>
                      <w:color w:val="000000" w:themeColor="text1"/>
                      <w:sz w:val="21"/>
                      <w:szCs w:val="21"/>
                      <w14:textFill>
                        <w14:solidFill>
                          <w14:schemeClr w14:val="tx1"/>
                        </w14:solidFill>
                      </w14:textFill>
                    </w:rPr>
                    <w:t>速度</w:t>
                  </w:r>
                  <w:r>
                    <w:rPr>
                      <w:rFonts w:ascii="Times New Roman" w:hAnsi="Times New Roman" w:eastAsia="宋体" w:cs="Times New Roman"/>
                      <w:color w:val="000000" w:themeColor="text1"/>
                      <w:sz w:val="21"/>
                      <w:szCs w:val="21"/>
                      <w14:textFill>
                        <w14:solidFill>
                          <w14:schemeClr w14:val="tx1"/>
                        </w14:solidFill>
                      </w14:textFill>
                    </w:rPr>
                    <w:t>≥2kg/h时，应配置VOCs处理设施，处理效率不应低于80%；采用的原辅材料符合国家有关低VOCs含量产品规定的除外。</w:t>
                  </w:r>
                </w:p>
              </w:tc>
              <w:tc>
                <w:tcPr>
                  <w:tcW w:w="2298" w:type="dxa"/>
                  <w:vAlign w:val="center"/>
                </w:tcPr>
                <w:p w14:paraId="0E04B837">
                  <w:pPr>
                    <w:pStyle w:val="27"/>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项目收集的废气中</w:t>
                  </w:r>
                  <w:r>
                    <w:rPr>
                      <w:rFonts w:ascii="Times New Roman" w:hAnsi="Times New Roman" w:eastAsia="宋体" w:cs="Times New Roman"/>
                      <w:color w:val="000000" w:themeColor="text1"/>
                      <w:sz w:val="21"/>
                      <w:szCs w:val="21"/>
                      <w:highlight w:val="none"/>
                      <w:lang w:val="en-US"/>
                      <w14:textFill>
                        <w14:solidFill>
                          <w14:schemeClr w14:val="tx1"/>
                        </w14:solidFill>
                      </w14:textFill>
                    </w:rPr>
                    <w:t>非甲烷总烃</w:t>
                  </w:r>
                  <w:r>
                    <w:rPr>
                      <w:rFonts w:ascii="Times New Roman" w:hAnsi="Times New Roman" w:eastAsia="宋体" w:cs="Times New Roman"/>
                      <w:color w:val="000000" w:themeColor="text1"/>
                      <w:sz w:val="21"/>
                      <w:szCs w:val="21"/>
                      <w:highlight w:val="none"/>
                      <w14:textFill>
                        <w14:solidFill>
                          <w14:schemeClr w14:val="tx1"/>
                        </w14:solidFill>
                      </w14:textFill>
                    </w:rPr>
                    <w:t>初始排放速率</w:t>
                  </w:r>
                  <w:r>
                    <w:rPr>
                      <w:rFonts w:hint="eastAsia" w:ascii="Times New Roman" w:hAnsi="Times New Roman" w:eastAsia="宋体" w:cs="Times New Roman"/>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14:textFill>
                        <w14:solidFill>
                          <w14:schemeClr w14:val="tx1"/>
                        </w14:solidFill>
                      </w14:textFill>
                    </w:rPr>
                    <w:t>3</w:t>
                  </w:r>
                  <w:r>
                    <w:rPr>
                      <w:rFonts w:ascii="Times New Roman" w:hAnsi="Times New Roman" w:eastAsia="宋体" w:cs="Times New Roman"/>
                      <w:color w:val="000000" w:themeColor="text1"/>
                      <w:sz w:val="21"/>
                      <w:szCs w:val="21"/>
                      <w:highlight w:val="none"/>
                      <w14:textFill>
                        <w14:solidFill>
                          <w14:schemeClr w14:val="tx1"/>
                        </w14:solidFill>
                      </w14:textFill>
                    </w:rPr>
                    <w:t>kg/h</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建设单位配备</w:t>
                  </w:r>
                  <w:r>
                    <w:rPr>
                      <w:rFonts w:hint="eastAsia" w:cs="Times New Roman"/>
                      <w:b w:val="0"/>
                      <w:bCs w:val="0"/>
                      <w:color w:val="auto"/>
                      <w:kern w:val="0"/>
                      <w:sz w:val="21"/>
                      <w:szCs w:val="21"/>
                      <w:highlight w:val="none"/>
                      <w:lang w:val="en-US" w:eastAsia="zh-CN" w:bidi="ar"/>
                    </w:rPr>
                    <w:t>“电捕焦油器+活性炭吸附”</w:t>
                  </w:r>
                  <w:r>
                    <w:rPr>
                      <w:rFonts w:ascii="Times New Roman" w:hAnsi="Times New Roman" w:eastAsia="宋体" w:cs="Times New Roman"/>
                      <w:color w:val="000000" w:themeColor="text1"/>
                      <w:sz w:val="21"/>
                      <w:szCs w:val="21"/>
                      <w:lang w:val="en-US"/>
                      <w14:textFill>
                        <w14:solidFill>
                          <w14:schemeClr w14:val="tx1"/>
                        </w14:solidFill>
                      </w14:textFill>
                    </w:rPr>
                    <w:t>装置</w:t>
                  </w:r>
                  <w:r>
                    <w:rPr>
                      <w:rFonts w:hint="eastAsia" w:ascii="Times New Roman" w:hAnsi="Times New Roman" w:eastAsia="宋体" w:cs="Times New Roman"/>
                      <w:color w:val="000000" w:themeColor="text1"/>
                      <w:sz w:val="21"/>
                      <w:szCs w:val="21"/>
                      <w:lang w:val="en-US"/>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14:textFill>
                        <w14:solidFill>
                          <w14:schemeClr w14:val="tx1"/>
                        </w14:solidFill>
                      </w14:textFill>
                    </w:rPr>
                    <w:t>吸附效率</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w:t>
                  </w:r>
                  <w:r>
                    <w:rPr>
                      <w:rFonts w:hint="eastAsia" w:ascii="Times New Roman" w:hAnsi="Times New Roman" w:eastAsia="宋体" w:cs="Times New Roman"/>
                      <w:color w:val="000000" w:themeColor="text1"/>
                      <w:sz w:val="21"/>
                      <w:szCs w:val="21"/>
                      <w:lang w:val="en-US"/>
                      <w14:textFill>
                        <w14:solidFill>
                          <w14:schemeClr w14:val="tx1"/>
                        </w14:solidFill>
                      </w14:textFill>
                    </w:rPr>
                    <w:t>。</w:t>
                  </w:r>
                </w:p>
              </w:tc>
              <w:tc>
                <w:tcPr>
                  <w:tcW w:w="810" w:type="dxa"/>
                  <w:vAlign w:val="center"/>
                </w:tcPr>
                <w:p w14:paraId="02E3A90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14:textFill>
                        <w14:solidFill>
                          <w14:schemeClr w14:val="tx1"/>
                        </w14:solidFill>
                      </w14:textFill>
                    </w:rPr>
                    <w:t>符合</w:t>
                  </w:r>
                </w:p>
              </w:tc>
            </w:tr>
          </w:tbl>
          <w:p w14:paraId="4BA7F934">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b/>
                <w:bCs/>
                <w:kern w:val="0"/>
                <w:szCs w:val="24"/>
                <w:shd w:val="clear" w:color="auto" w:fill="FFFFFF"/>
              </w:rPr>
            </w:pPr>
            <w:r>
              <w:rPr>
                <w:rFonts w:hint="eastAsia"/>
                <w:kern w:val="0"/>
                <w:szCs w:val="24"/>
                <w:shd w:val="clear" w:color="auto" w:fill="FFFFFF"/>
                <w:lang w:val="en-US" w:eastAsia="zh-CN"/>
              </w:rPr>
              <w:t>综上分析</w:t>
            </w:r>
            <w:r>
              <w:rPr>
                <w:kern w:val="0"/>
                <w:szCs w:val="24"/>
                <w:shd w:val="clear" w:color="auto" w:fill="FFFFFF"/>
              </w:rPr>
              <w:t>，本项目符合《挥发性有机物无组织排放控制标准》（GB37822-2019）的要求。</w:t>
            </w:r>
          </w:p>
          <w:p w14:paraId="5DED9FD6">
            <w:pPr>
              <w:keepNext w:val="0"/>
              <w:keepLines w:val="0"/>
              <w:widowControl/>
              <w:numPr>
                <w:ilvl w:val="0"/>
                <w:numId w:val="0"/>
              </w:numPr>
              <w:suppressLineNumbers w:val="0"/>
              <w:jc w:val="left"/>
            </w:pPr>
            <w:r>
              <w:rPr>
                <w:rFonts w:hint="eastAsia" w:cs="Times New Roman"/>
                <w:b/>
                <w:bCs/>
                <w:color w:val="auto"/>
                <w:kern w:val="0"/>
                <w:sz w:val="24"/>
                <w:szCs w:val="24"/>
                <w:lang w:val="en-US" w:eastAsia="zh-CN" w:bidi="ar"/>
              </w:rPr>
              <w:t>八</w:t>
            </w:r>
            <w:r>
              <w:rPr>
                <w:rFonts w:hint="eastAsia" w:ascii="Times New Roman" w:hAnsi="Times New Roman" w:eastAsia="宋体" w:cs="Times New Roman"/>
                <w:b/>
                <w:bCs/>
                <w:color w:val="auto"/>
                <w:kern w:val="0"/>
                <w:sz w:val="24"/>
                <w:szCs w:val="24"/>
                <w:lang w:val="en-US" w:eastAsia="zh-CN" w:bidi="ar"/>
              </w:rPr>
              <w:t>、与</w:t>
            </w:r>
            <w:r>
              <w:rPr>
                <w:rFonts w:hint="eastAsia"/>
                <w:b/>
                <w:bCs/>
                <w:kern w:val="0"/>
                <w:szCs w:val="24"/>
                <w:shd w:val="clear" w:color="auto" w:fill="FFFFFF"/>
              </w:rPr>
              <w:t>《云南省重点行业挥发性有机物综合治理实施方案》</w:t>
            </w:r>
            <w:r>
              <w:rPr>
                <w:rFonts w:hint="default" w:ascii="Times New Roman" w:hAnsi="Times New Roman" w:cs="Times New Roman"/>
                <w:b/>
                <w:bCs/>
                <w:kern w:val="0"/>
                <w:szCs w:val="24"/>
                <w:shd w:val="clear" w:color="auto" w:fill="FFFFFF"/>
                <w:lang w:eastAsia="zh-CN"/>
              </w:rPr>
              <w:t>（</w:t>
            </w:r>
            <w:r>
              <w:rPr>
                <w:rFonts w:hint="eastAsia" w:ascii="Times New Roman" w:hAnsi="Times New Roman" w:cs="Times New Roman"/>
                <w:b/>
                <w:bCs/>
                <w:kern w:val="0"/>
                <w:szCs w:val="24"/>
                <w:shd w:val="clear" w:color="auto" w:fill="FFFFFF"/>
                <w:lang w:val="en-US" w:eastAsia="zh-CN"/>
              </w:rPr>
              <w:t>云环通</w:t>
            </w:r>
            <w:r>
              <w:rPr>
                <w:rFonts w:hint="default" w:ascii="Times New Roman" w:hAnsi="Times New Roman" w:eastAsia="微软雅黑" w:cs="Times New Roman"/>
                <w:b/>
                <w:bCs/>
                <w:kern w:val="0"/>
                <w:szCs w:val="24"/>
                <w:shd w:val="clear" w:color="auto" w:fill="FFFFFF"/>
                <w:lang w:eastAsia="zh-CN"/>
              </w:rPr>
              <w:t>〔</w:t>
            </w:r>
            <w:r>
              <w:rPr>
                <w:rFonts w:hint="default" w:ascii="Times New Roman" w:hAnsi="Times New Roman" w:eastAsia="微软雅黑" w:cs="Times New Roman"/>
                <w:b/>
                <w:bCs/>
                <w:kern w:val="0"/>
                <w:szCs w:val="24"/>
                <w:shd w:val="clear" w:color="auto" w:fill="FFFFFF"/>
                <w:lang w:val="en-US" w:eastAsia="zh-CN"/>
              </w:rPr>
              <w:t>2019</w:t>
            </w:r>
            <w:r>
              <w:rPr>
                <w:rFonts w:hint="default" w:ascii="Times New Roman" w:hAnsi="Times New Roman" w:eastAsia="微软雅黑" w:cs="Times New Roman"/>
                <w:b/>
                <w:bCs/>
                <w:kern w:val="0"/>
                <w:szCs w:val="24"/>
                <w:shd w:val="clear" w:color="auto" w:fill="FFFFFF"/>
                <w:lang w:eastAsia="zh-CN"/>
              </w:rPr>
              <w:t>〕</w:t>
            </w:r>
            <w:r>
              <w:rPr>
                <w:rFonts w:hint="default" w:ascii="Times New Roman" w:hAnsi="Times New Roman" w:eastAsia="微软雅黑" w:cs="Times New Roman"/>
                <w:b/>
                <w:bCs/>
                <w:kern w:val="0"/>
                <w:szCs w:val="24"/>
                <w:shd w:val="clear" w:color="auto" w:fill="FFFFFF"/>
                <w:lang w:val="en-US" w:eastAsia="zh-CN"/>
              </w:rPr>
              <w:t>125号</w:t>
            </w:r>
            <w:r>
              <w:rPr>
                <w:rFonts w:hint="default" w:ascii="Times New Roman" w:hAnsi="Times New Roman" w:cs="Times New Roman"/>
                <w:b/>
                <w:bCs/>
                <w:kern w:val="0"/>
                <w:szCs w:val="24"/>
                <w:shd w:val="clear" w:color="auto" w:fill="FFFFFF"/>
                <w:lang w:eastAsia="zh-CN"/>
              </w:rPr>
              <w:t>）</w:t>
            </w:r>
            <w:r>
              <w:rPr>
                <w:rFonts w:hint="default" w:ascii="Times New Roman" w:hAnsi="Times New Roman" w:cs="Times New Roman"/>
                <w:b/>
                <w:bCs/>
                <w:lang w:val="en-US" w:eastAsia="zh-CN"/>
              </w:rPr>
              <w:t>符</w:t>
            </w:r>
            <w:r>
              <w:rPr>
                <w:rFonts w:hint="eastAsia"/>
                <w:b/>
                <w:bCs/>
                <w:lang w:val="en-US" w:eastAsia="zh-CN"/>
              </w:rPr>
              <w:t>合性分析</w:t>
            </w:r>
          </w:p>
          <w:p w14:paraId="268DF861">
            <w:pPr>
              <w:widowControl/>
              <w:ind w:firstLine="480"/>
              <w:rPr>
                <w:kern w:val="0"/>
                <w:szCs w:val="24"/>
                <w:lang w:bidi="ar"/>
              </w:rPr>
            </w:pPr>
            <w:r>
              <w:rPr>
                <w:rFonts w:hint="eastAsia"/>
                <w:kern w:val="0"/>
                <w:szCs w:val="24"/>
                <w:lang w:val="en-US" w:eastAsia="zh-CN" w:bidi="ar"/>
              </w:rPr>
              <w:t>本项目与</w:t>
            </w:r>
            <w:r>
              <w:rPr>
                <w:rFonts w:hint="eastAsia"/>
                <w:kern w:val="0"/>
                <w:szCs w:val="24"/>
                <w:lang w:bidi="ar"/>
              </w:rPr>
              <w:t>《云南省重点行业挥发性有机物综合治理实施方案》</w:t>
            </w:r>
            <w:r>
              <w:rPr>
                <w:kern w:val="0"/>
                <w:szCs w:val="24"/>
                <w:lang w:bidi="ar"/>
              </w:rPr>
              <w:t>相关符合性分析</w:t>
            </w:r>
            <w:r>
              <w:rPr>
                <w:rFonts w:hint="eastAsia"/>
                <w:kern w:val="0"/>
                <w:szCs w:val="24"/>
                <w:lang w:val="en-US" w:eastAsia="zh-CN" w:bidi="ar"/>
              </w:rPr>
              <w:t>详见下表</w:t>
            </w:r>
            <w:r>
              <w:rPr>
                <w:kern w:val="0"/>
                <w:szCs w:val="24"/>
                <w:lang w:bidi="ar"/>
              </w:rPr>
              <w:t>1-</w:t>
            </w:r>
            <w:r>
              <w:rPr>
                <w:rFonts w:hint="eastAsia"/>
                <w:kern w:val="0"/>
                <w:szCs w:val="24"/>
                <w:lang w:val="en-US" w:eastAsia="zh-CN" w:bidi="ar"/>
              </w:rPr>
              <w:t>8</w:t>
            </w:r>
            <w:r>
              <w:rPr>
                <w:kern w:val="0"/>
                <w:szCs w:val="24"/>
                <w:lang w:bidi="ar"/>
              </w:rPr>
              <w:t>。</w:t>
            </w:r>
          </w:p>
          <w:p w14:paraId="1883253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sz w:val="21"/>
                <w:szCs w:val="24"/>
              </w:rPr>
            </w:pPr>
            <w:r>
              <w:rPr>
                <w:b/>
                <w:bCs/>
                <w:kern w:val="0"/>
                <w:sz w:val="21"/>
                <w:szCs w:val="21"/>
                <w:lang w:bidi="ar"/>
              </w:rPr>
              <w:t>表1-</w:t>
            </w:r>
            <w:r>
              <w:rPr>
                <w:rFonts w:hint="eastAsia"/>
                <w:b/>
                <w:bCs/>
                <w:kern w:val="0"/>
                <w:sz w:val="21"/>
                <w:szCs w:val="21"/>
                <w:lang w:val="en-US" w:eastAsia="zh-CN" w:bidi="ar"/>
              </w:rPr>
              <w:t xml:space="preserve">8 </w:t>
            </w:r>
            <w:r>
              <w:rPr>
                <w:b/>
                <w:bCs/>
                <w:kern w:val="0"/>
                <w:sz w:val="21"/>
                <w:szCs w:val="21"/>
                <w:lang w:bidi="ar"/>
              </w:rPr>
              <w:t xml:space="preserve"> 与《云南省重点行业挥发性有机物综合治理实施方案的通知》</w:t>
            </w:r>
            <w:r>
              <w:rPr>
                <w:rFonts w:hint="eastAsia"/>
                <w:b/>
                <w:bCs/>
                <w:kern w:val="0"/>
                <w:sz w:val="21"/>
                <w:szCs w:val="21"/>
                <w:lang w:val="en-US" w:eastAsia="zh-CN" w:bidi="ar"/>
              </w:rPr>
              <w:t>的</w:t>
            </w:r>
            <w:r>
              <w:rPr>
                <w:b/>
                <w:bCs/>
                <w:kern w:val="0"/>
                <w:sz w:val="21"/>
                <w:szCs w:val="21"/>
                <w:lang w:bidi="ar"/>
              </w:rPr>
              <w:t>符合性</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1"/>
              <w:gridCol w:w="2313"/>
              <w:gridCol w:w="991"/>
            </w:tblGrid>
            <w:tr w14:paraId="0228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pct"/>
                  <w:vAlign w:val="center"/>
                </w:tcPr>
                <w:p w14:paraId="5F9C2117">
                  <w:pPr>
                    <w:widowControl/>
                    <w:spacing w:line="288" w:lineRule="auto"/>
                    <w:ind w:firstLine="0" w:firstLineChars="0"/>
                    <w:jc w:val="center"/>
                    <w:rPr>
                      <w:b/>
                      <w:bCs/>
                      <w:kern w:val="0"/>
                      <w:sz w:val="21"/>
                      <w:szCs w:val="21"/>
                      <w:shd w:val="clear" w:color="auto" w:fill="FFFFFF"/>
                    </w:rPr>
                  </w:pPr>
                  <w:r>
                    <w:rPr>
                      <w:b/>
                      <w:bCs/>
                      <w:kern w:val="0"/>
                      <w:sz w:val="21"/>
                      <w:szCs w:val="21"/>
                      <w:lang w:bidi="ar"/>
                    </w:rPr>
                    <w:t>方案要求</w:t>
                  </w:r>
                </w:p>
              </w:tc>
              <w:tc>
                <w:tcPr>
                  <w:tcW w:w="1328" w:type="pct"/>
                  <w:vAlign w:val="center"/>
                </w:tcPr>
                <w:p w14:paraId="4D88CD3E">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本项目情况</w:t>
                  </w:r>
                </w:p>
              </w:tc>
              <w:tc>
                <w:tcPr>
                  <w:tcW w:w="569" w:type="pct"/>
                  <w:vAlign w:val="center"/>
                </w:tcPr>
                <w:p w14:paraId="784714B8">
                  <w:pPr>
                    <w:spacing w:line="288" w:lineRule="auto"/>
                    <w:ind w:firstLine="0" w:firstLineChars="0"/>
                    <w:jc w:val="center"/>
                    <w:rPr>
                      <w:b/>
                      <w:bCs/>
                      <w:kern w:val="0"/>
                      <w:sz w:val="21"/>
                      <w:szCs w:val="21"/>
                      <w:shd w:val="clear" w:color="auto" w:fill="FFFFFF"/>
                    </w:rPr>
                  </w:pPr>
                  <w:r>
                    <w:rPr>
                      <w:b/>
                      <w:bCs/>
                      <w:kern w:val="0"/>
                      <w:sz w:val="21"/>
                      <w:szCs w:val="21"/>
                      <w:shd w:val="clear" w:color="auto" w:fill="FFFFFF"/>
                    </w:rPr>
                    <w:t>符合性</w:t>
                  </w:r>
                </w:p>
              </w:tc>
            </w:tr>
            <w:tr w14:paraId="2CBC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pct"/>
                  <w:vAlign w:val="center"/>
                </w:tcPr>
                <w:p w14:paraId="630A1D9B">
                  <w:pPr>
                    <w:spacing w:line="288" w:lineRule="auto"/>
                    <w:ind w:firstLine="0" w:firstLineChars="0"/>
                    <w:jc w:val="both"/>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鼓励加快低VOCs含量涂料、油墨、胶粘剂等研发和生产。</w:t>
                  </w:r>
                </w:p>
                <w:p w14:paraId="27EC5AE4">
                  <w:pPr>
                    <w:spacing w:line="288" w:lineRule="auto"/>
                    <w:ind w:firstLine="0" w:firstLineChars="0"/>
                    <w:jc w:val="both"/>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　　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328" w:type="pct"/>
                  <w:vAlign w:val="center"/>
                </w:tcPr>
                <w:p w14:paraId="26DEEC2E">
                  <w:pPr>
                    <w:spacing w:line="288" w:lineRule="auto"/>
                    <w:ind w:firstLine="0" w:firstLineChars="0"/>
                    <w:jc w:val="both"/>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项目涉VOCs物料主要是沥青，属于低VOCs物料。项目不使用其他高VOCs油墨、胶粘剂、清洗剂及涂料等。</w:t>
                  </w:r>
                  <w:r>
                    <w:rPr>
                      <w:rFonts w:hint="default" w:ascii="Times New Roman" w:hAnsi="Times New Roman" w:eastAsia="宋体" w:cs="Times New Roman"/>
                      <w:b w:val="0"/>
                      <w:bCs w:val="0"/>
                      <w:color w:val="auto"/>
                      <w:kern w:val="0"/>
                      <w:sz w:val="21"/>
                      <w:szCs w:val="21"/>
                      <w:highlight w:val="none"/>
                      <w:lang w:val="en-US" w:eastAsia="zh-CN" w:bidi="ar"/>
                    </w:rPr>
                    <w:t>项目生产过程产生的VOCs经</w:t>
                  </w:r>
                  <w:r>
                    <w:rPr>
                      <w:rFonts w:hint="eastAsia" w:cs="Times New Roman"/>
                      <w:b w:val="0"/>
                      <w:bCs w:val="0"/>
                      <w:color w:val="auto"/>
                      <w:kern w:val="0"/>
                      <w:sz w:val="21"/>
                      <w:szCs w:val="21"/>
                      <w:highlight w:val="none"/>
                      <w:lang w:val="en-US" w:eastAsia="zh-CN" w:bidi="ar"/>
                    </w:rPr>
                    <w:t>“电捕焦油器+活性炭吸附”</w:t>
                  </w:r>
                  <w:r>
                    <w:rPr>
                      <w:rFonts w:hint="eastAsia" w:ascii="Times New Roman" w:hAnsi="Times New Roman" w:eastAsia="宋体" w:cs="Times New Roman"/>
                      <w:b w:val="0"/>
                      <w:bCs w:val="0"/>
                      <w:color w:val="auto"/>
                      <w:kern w:val="0"/>
                      <w:sz w:val="21"/>
                      <w:szCs w:val="21"/>
                      <w:highlight w:val="none"/>
                      <w:lang w:val="en-US" w:eastAsia="zh-CN" w:bidi="ar"/>
                    </w:rPr>
                    <w:t>处理装置处理后</w:t>
                  </w:r>
                  <w:r>
                    <w:rPr>
                      <w:rFonts w:hint="default" w:ascii="Times New Roman" w:hAnsi="Times New Roman" w:eastAsia="宋体" w:cs="Times New Roman"/>
                      <w:b w:val="0"/>
                      <w:bCs w:val="0"/>
                      <w:color w:val="auto"/>
                      <w:kern w:val="0"/>
                      <w:sz w:val="21"/>
                      <w:szCs w:val="21"/>
                      <w:highlight w:val="none"/>
                      <w:lang w:val="en-US" w:eastAsia="zh-CN" w:bidi="ar"/>
                    </w:rPr>
                    <w:t>有组织</w:t>
                  </w:r>
                  <w:r>
                    <w:rPr>
                      <w:rFonts w:hint="eastAsia" w:ascii="Times New Roman" w:hAnsi="Times New Roman" w:eastAsia="宋体" w:cs="Times New Roman"/>
                      <w:b w:val="0"/>
                      <w:bCs w:val="0"/>
                      <w:color w:val="auto"/>
                      <w:kern w:val="0"/>
                      <w:sz w:val="21"/>
                      <w:szCs w:val="21"/>
                      <w:highlight w:val="none"/>
                      <w:lang w:val="en-US" w:eastAsia="zh-CN" w:bidi="ar"/>
                    </w:rPr>
                    <w:t>达标</w:t>
                  </w:r>
                  <w:r>
                    <w:rPr>
                      <w:rFonts w:hint="default" w:ascii="Times New Roman" w:hAnsi="Times New Roman" w:eastAsia="宋体" w:cs="Times New Roman"/>
                      <w:b w:val="0"/>
                      <w:bCs w:val="0"/>
                      <w:color w:val="auto"/>
                      <w:kern w:val="0"/>
                      <w:sz w:val="21"/>
                      <w:szCs w:val="21"/>
                      <w:highlight w:val="none"/>
                      <w:lang w:val="en-US" w:eastAsia="zh-CN" w:bidi="ar"/>
                    </w:rPr>
                    <w:t>排放</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569" w:type="pct"/>
                  <w:vAlign w:val="center"/>
                </w:tcPr>
                <w:p w14:paraId="2647E848">
                  <w:pPr>
                    <w:spacing w:line="288" w:lineRule="auto"/>
                    <w:ind w:firstLine="0" w:firstLineChars="0"/>
                    <w:jc w:val="center"/>
                    <w:rPr>
                      <w:rFonts w:hint="eastAsia" w:eastAsia="宋体"/>
                      <w:color w:val="0000FF"/>
                      <w:kern w:val="0"/>
                      <w:sz w:val="21"/>
                      <w:szCs w:val="21"/>
                      <w:shd w:val="clear" w:color="auto" w:fill="FFFFFF"/>
                      <w:lang w:val="en-US" w:eastAsia="zh-CN"/>
                    </w:rPr>
                  </w:pPr>
                  <w:r>
                    <w:rPr>
                      <w:rFonts w:hint="eastAsia"/>
                      <w:color w:val="auto"/>
                      <w:kern w:val="0"/>
                      <w:sz w:val="21"/>
                      <w:szCs w:val="21"/>
                      <w:shd w:val="clear" w:color="auto" w:fill="FFFFFF"/>
                      <w:lang w:val="en-US" w:eastAsia="zh-CN"/>
                    </w:rPr>
                    <w:t>符合</w:t>
                  </w:r>
                </w:p>
              </w:tc>
            </w:tr>
            <w:tr w14:paraId="09B9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pct"/>
                </w:tcPr>
                <w:p w14:paraId="43C7B309">
                  <w:pPr>
                    <w:widowControl/>
                    <w:spacing w:line="288" w:lineRule="auto"/>
                    <w:ind w:firstLine="0" w:firstLineChars="0"/>
                    <w:jc w:val="left"/>
                    <w:rPr>
                      <w:sz w:val="21"/>
                      <w:szCs w:val="21"/>
                    </w:rPr>
                  </w:pPr>
                  <w:r>
                    <w:rPr>
                      <w:kern w:val="0"/>
                      <w:sz w:val="21"/>
                      <w:szCs w:val="21"/>
                      <w:lang w:bidi="ar"/>
                    </w:rPr>
                    <w:t xml:space="preserve">（二）全面加强无组织排放控制 </w:t>
                  </w:r>
                </w:p>
                <w:p w14:paraId="527DD347">
                  <w:pPr>
                    <w:widowControl/>
                    <w:spacing w:line="288" w:lineRule="auto"/>
                    <w:ind w:firstLine="0" w:firstLineChars="0"/>
                    <w:jc w:val="left"/>
                    <w:rPr>
                      <w:b/>
                      <w:bCs/>
                      <w:kern w:val="0"/>
                      <w:sz w:val="21"/>
                      <w:szCs w:val="21"/>
                      <w:shd w:val="clear" w:color="auto" w:fill="FFFFFF"/>
                    </w:rPr>
                  </w:pPr>
                  <w:r>
                    <w:rPr>
                      <w:kern w:val="0"/>
                      <w:sz w:val="21"/>
                      <w:szCs w:val="21"/>
                      <w:lang w:bidi="ar"/>
                    </w:rPr>
                    <w:t>重点对含VOCs物料（包括含VOCs原辅料、含VOCs产品、含VOCs废料以及有机聚合物材料等）储存、转移和输送、设备与管线组件泄漏、敞开液面散逸以及工业过程等五类排放源实施管控，通过采取设备与场所密闭、工艺改进、废气有效收集等措施，削减VOCs无组织排放。加强设备与场所密闭管理。含VOCs物料应储存与密闭容器、包装袋，高效密闭储罐，封闭式储库、料仓等。含VOCs物料转移和输送，应采用密闭管道或密闭容器、罐车等。高VOCs含量废水（废水液面上方100毫升处VOCs检测浓度超过200ppm，其中，重点区域超过100ppm，以碳计）的集输、储存和处理过程，应加盖密闭。含VOCs物料生产和使用过程，应采取有效收集措施或在密闭空间中操作。推进使用先进生产工艺。通过采用全密闭、连续化、自动化等生产技术，以及高效工艺与设备等，减少工艺过程无组织排放。挥发性有机液体装载优先采用底部装载方式。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328" w:type="pct"/>
                  <w:vAlign w:val="center"/>
                </w:tcPr>
                <w:p w14:paraId="32D28360">
                  <w:pPr>
                    <w:spacing w:line="288" w:lineRule="auto"/>
                    <w:ind w:firstLine="0" w:firstLineChars="0"/>
                    <w:jc w:val="both"/>
                    <w:rPr>
                      <w:color w:val="0000FF"/>
                      <w:sz w:val="21"/>
                      <w:szCs w:val="21"/>
                    </w:rPr>
                  </w:pPr>
                  <w:r>
                    <w:rPr>
                      <w:rFonts w:hint="default" w:ascii="Times New Roman" w:hAnsi="Times New Roman" w:eastAsia="宋体" w:cs="Times New Roman"/>
                      <w:color w:val="auto"/>
                      <w:sz w:val="21"/>
                      <w:szCs w:val="21"/>
                      <w:highlight w:val="none"/>
                    </w:rPr>
                    <w:t>项目VOCs物料</w:t>
                  </w:r>
                  <w:r>
                    <w:rPr>
                      <w:rFonts w:hint="default" w:ascii="Times New Roman" w:hAnsi="Times New Roman" w:eastAsia="宋体" w:cs="Times New Roman"/>
                      <w:color w:val="auto"/>
                      <w:sz w:val="21"/>
                      <w:szCs w:val="21"/>
                      <w:highlight w:val="none"/>
                      <w:lang w:eastAsia="zh-CN"/>
                    </w:rPr>
                    <w:t>主要为沥青，</w:t>
                  </w:r>
                  <w:r>
                    <w:rPr>
                      <w:rFonts w:hint="default" w:ascii="Times New Roman" w:hAnsi="Times New Roman" w:eastAsia="宋体" w:cs="Times New Roman"/>
                      <w:color w:val="auto"/>
                      <w:sz w:val="21"/>
                      <w:szCs w:val="21"/>
                      <w:highlight w:val="none"/>
                    </w:rPr>
                    <w:t>储存于密闭</w:t>
                  </w:r>
                  <w:r>
                    <w:rPr>
                      <w:rFonts w:hint="default" w:ascii="Times New Roman" w:hAnsi="Times New Roman" w:eastAsia="宋体" w:cs="Times New Roman"/>
                      <w:color w:val="auto"/>
                      <w:sz w:val="21"/>
                      <w:szCs w:val="21"/>
                    </w:rPr>
                    <w:t>储罐</w:t>
                  </w:r>
                  <w:r>
                    <w:rPr>
                      <w:rFonts w:hint="default" w:ascii="Times New Roman" w:hAnsi="Times New Roman" w:eastAsia="宋体" w:cs="Times New Roman"/>
                      <w:color w:val="auto"/>
                      <w:sz w:val="21"/>
                      <w:szCs w:val="21"/>
                      <w:lang w:eastAsia="zh-CN"/>
                    </w:rPr>
                    <w:t>内，</w:t>
                  </w:r>
                  <w:r>
                    <w:rPr>
                      <w:rFonts w:hint="default" w:ascii="Times New Roman" w:hAnsi="Times New Roman" w:eastAsia="宋体" w:cs="Times New Roman"/>
                      <w:color w:val="auto"/>
                      <w:sz w:val="21"/>
                      <w:szCs w:val="21"/>
                    </w:rPr>
                    <w:t>采用密闭管道输送方式给料方式密闭投加</w:t>
                  </w:r>
                  <w:r>
                    <w:rPr>
                      <w:rFonts w:hint="eastAsia" w:ascii="Times New Roman" w:hAnsi="Times New Roman" w:eastAsia="宋体" w:cs="Times New Roman"/>
                      <w:color w:val="auto"/>
                      <w:sz w:val="21"/>
                      <w:szCs w:val="21"/>
                      <w:lang w:eastAsia="zh-CN"/>
                    </w:rPr>
                    <w:t>。</w:t>
                  </w:r>
                  <w:r>
                    <w:rPr>
                      <w:color w:val="auto"/>
                      <w:kern w:val="0"/>
                      <w:sz w:val="21"/>
                      <w:szCs w:val="21"/>
                      <w:shd w:val="clear" w:color="auto" w:fill="FFFFFF"/>
                    </w:rPr>
                    <w:t>项目主要为</w:t>
                  </w:r>
                  <w:r>
                    <w:rPr>
                      <w:rFonts w:hint="eastAsia"/>
                      <w:color w:val="auto"/>
                      <w:kern w:val="0"/>
                      <w:sz w:val="21"/>
                      <w:szCs w:val="21"/>
                      <w:shd w:val="clear" w:color="auto" w:fill="FFFFFF"/>
                    </w:rPr>
                    <w:t>沥青混凝土搅拌站建设项目</w:t>
                  </w:r>
                  <w:r>
                    <w:rPr>
                      <w:color w:val="auto"/>
                      <w:kern w:val="0"/>
                      <w:sz w:val="21"/>
                      <w:szCs w:val="21"/>
                      <w:shd w:val="clear" w:color="auto" w:fill="FFFFFF"/>
                    </w:rPr>
                    <w:t>，</w:t>
                  </w:r>
                  <w:r>
                    <w:rPr>
                      <w:color w:val="auto"/>
                      <w:sz w:val="21"/>
                      <w:szCs w:val="21"/>
                    </w:rPr>
                    <w:t>不属于高VOCs排放建设项目。</w:t>
                  </w:r>
                  <w:r>
                    <w:rPr>
                      <w:rFonts w:hint="default" w:ascii="Times New Roman" w:hAnsi="Times New Roman" w:eastAsia="宋体" w:cs="Times New Roman"/>
                      <w:b w:val="0"/>
                      <w:bCs w:val="0"/>
                      <w:color w:val="auto"/>
                      <w:kern w:val="0"/>
                      <w:sz w:val="21"/>
                      <w:szCs w:val="21"/>
                      <w:lang w:val="en-US" w:eastAsia="zh-CN" w:bidi="ar"/>
                    </w:rPr>
                    <w:t>项目生产过程产生的</w:t>
                  </w:r>
                  <w:r>
                    <w:rPr>
                      <w:rFonts w:hint="default" w:ascii="Times New Roman" w:hAnsi="Times New Roman" w:eastAsia="宋体" w:cs="Times New Roman"/>
                      <w:color w:val="auto"/>
                      <w:sz w:val="21"/>
                      <w:szCs w:val="21"/>
                      <w:highlight w:val="none"/>
                    </w:rPr>
                    <w:t>VOCs</w:t>
                  </w:r>
                  <w:r>
                    <w:rPr>
                      <w:rFonts w:hint="default" w:ascii="Times New Roman" w:hAnsi="Times New Roman" w:eastAsia="宋体" w:cs="Times New Roman"/>
                      <w:color w:val="auto"/>
                      <w:sz w:val="21"/>
                      <w:szCs w:val="21"/>
                      <w:highlight w:val="none"/>
                      <w:lang w:eastAsia="zh-CN"/>
                    </w:rPr>
                    <w:t>经</w:t>
                  </w:r>
                  <w:r>
                    <w:rPr>
                      <w:rFonts w:hint="eastAsia" w:cs="Times New Roman"/>
                      <w:b w:val="0"/>
                      <w:bCs w:val="0"/>
                      <w:color w:val="auto"/>
                      <w:kern w:val="0"/>
                      <w:sz w:val="21"/>
                      <w:szCs w:val="21"/>
                      <w:highlight w:val="none"/>
                      <w:lang w:val="en-US" w:eastAsia="zh-CN" w:bidi="ar"/>
                    </w:rPr>
                    <w:t>“电捕焦油器+活性炭吸附”处理后通过1根15m排气筒DA003</w:t>
                  </w:r>
                  <w:r>
                    <w:rPr>
                      <w:rFonts w:hint="default" w:ascii="Times New Roman" w:hAnsi="Times New Roman" w:eastAsia="宋体" w:cs="Times New Roman"/>
                      <w:b w:val="0"/>
                      <w:bCs w:val="0"/>
                      <w:color w:val="auto"/>
                      <w:kern w:val="0"/>
                      <w:sz w:val="21"/>
                      <w:szCs w:val="21"/>
                      <w:lang w:val="en-US" w:eastAsia="zh-CN" w:bidi="ar"/>
                    </w:rPr>
                    <w:t>有组织</w:t>
                  </w:r>
                  <w:r>
                    <w:rPr>
                      <w:rFonts w:hint="eastAsia" w:cs="Times New Roman"/>
                      <w:b w:val="0"/>
                      <w:bCs w:val="0"/>
                      <w:color w:val="auto"/>
                      <w:kern w:val="0"/>
                      <w:sz w:val="21"/>
                      <w:szCs w:val="21"/>
                      <w:lang w:val="en-US" w:eastAsia="zh-CN" w:bidi="ar"/>
                    </w:rPr>
                    <w:t>达标</w:t>
                  </w:r>
                  <w:r>
                    <w:rPr>
                      <w:rFonts w:hint="default" w:ascii="Times New Roman" w:hAnsi="Times New Roman" w:eastAsia="宋体" w:cs="Times New Roman"/>
                      <w:b w:val="0"/>
                      <w:bCs w:val="0"/>
                      <w:color w:val="auto"/>
                      <w:kern w:val="0"/>
                      <w:sz w:val="21"/>
                      <w:szCs w:val="21"/>
                      <w:lang w:val="en-US" w:eastAsia="zh-CN" w:bidi="ar"/>
                    </w:rPr>
                    <w:t>排放</w:t>
                  </w:r>
                  <w:r>
                    <w:rPr>
                      <w:color w:val="auto"/>
                      <w:sz w:val="21"/>
                      <w:szCs w:val="21"/>
                    </w:rPr>
                    <w:t>。</w:t>
                  </w:r>
                </w:p>
                <w:p w14:paraId="57FB6AE9">
                  <w:pPr>
                    <w:spacing w:line="288" w:lineRule="auto"/>
                    <w:ind w:firstLine="0" w:firstLineChars="0"/>
                    <w:jc w:val="both"/>
                    <w:rPr>
                      <w:rFonts w:hint="eastAsia" w:eastAsia="宋体"/>
                      <w:b/>
                      <w:bCs/>
                      <w:kern w:val="0"/>
                      <w:sz w:val="21"/>
                      <w:szCs w:val="21"/>
                      <w:shd w:val="clear" w:color="auto" w:fill="FFFFFF"/>
                      <w:lang w:val="en-US" w:eastAsia="zh-CN"/>
                    </w:rPr>
                  </w:pPr>
                  <w:r>
                    <w:rPr>
                      <w:rFonts w:hint="eastAsia" w:cs="Times New Roman"/>
                      <w:b w:val="0"/>
                      <w:bCs w:val="0"/>
                      <w:color w:val="auto"/>
                      <w:kern w:val="0"/>
                      <w:sz w:val="21"/>
                      <w:szCs w:val="21"/>
                      <w:lang w:val="en-US" w:eastAsia="zh-CN" w:bidi="ar"/>
                    </w:rPr>
                    <w:t>项目</w:t>
                  </w:r>
                  <w:r>
                    <w:rPr>
                      <w:rFonts w:hint="eastAsia" w:ascii="Times New Roman" w:hAnsi="Times New Roman" w:eastAsia="宋体" w:cs="Times New Roman"/>
                      <w:b w:val="0"/>
                      <w:bCs w:val="0"/>
                      <w:color w:val="auto"/>
                      <w:kern w:val="0"/>
                      <w:sz w:val="21"/>
                      <w:szCs w:val="21"/>
                      <w:lang w:val="en-US" w:eastAsia="zh-CN" w:bidi="ar"/>
                    </w:rPr>
                    <w:t>沥青储罐、</w:t>
                  </w:r>
                  <w:r>
                    <w:rPr>
                      <w:rFonts w:hint="eastAsia" w:cs="Times New Roman"/>
                      <w:color w:val="auto"/>
                      <w:kern w:val="0"/>
                      <w:sz w:val="21"/>
                      <w:szCs w:val="21"/>
                      <w:lang w:val="en-US" w:eastAsia="zh-CN" w:bidi="ar"/>
                    </w:rPr>
                    <w:t>柴</w:t>
                  </w:r>
                  <w:r>
                    <w:rPr>
                      <w:rFonts w:hint="eastAsia" w:ascii="Times New Roman" w:hAnsi="Times New Roman" w:eastAsia="宋体" w:cs="Times New Roman"/>
                      <w:b w:val="0"/>
                      <w:bCs w:val="0"/>
                      <w:color w:val="auto"/>
                      <w:kern w:val="0"/>
                      <w:sz w:val="21"/>
                      <w:szCs w:val="21"/>
                      <w:lang w:val="en-US" w:eastAsia="zh-CN" w:bidi="ar"/>
                    </w:rPr>
                    <w:t>油储罐、搅拌器均为密闭空间。</w:t>
                  </w:r>
                </w:p>
              </w:tc>
              <w:tc>
                <w:tcPr>
                  <w:tcW w:w="569" w:type="pct"/>
                  <w:vAlign w:val="center"/>
                </w:tcPr>
                <w:p w14:paraId="708DC48B">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2617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pct"/>
                </w:tcPr>
                <w:p w14:paraId="3FF59812">
                  <w:pPr>
                    <w:widowControl/>
                    <w:spacing w:line="288" w:lineRule="auto"/>
                    <w:ind w:firstLine="0" w:firstLineChars="0"/>
                    <w:jc w:val="left"/>
                    <w:rPr>
                      <w:sz w:val="21"/>
                      <w:szCs w:val="21"/>
                    </w:rPr>
                  </w:pPr>
                  <w:r>
                    <w:rPr>
                      <w:kern w:val="0"/>
                      <w:sz w:val="21"/>
                      <w:szCs w:val="21"/>
                      <w:lang w:bidi="ar"/>
                    </w:rPr>
                    <w:t xml:space="preserve">（三）推进建设适宜高效的治污设施 </w:t>
                  </w:r>
                </w:p>
                <w:p w14:paraId="77118293">
                  <w:pPr>
                    <w:widowControl/>
                    <w:spacing w:line="288" w:lineRule="auto"/>
                    <w:ind w:firstLine="0" w:firstLineChars="0"/>
                    <w:jc w:val="left"/>
                    <w:rPr>
                      <w:b/>
                      <w:bCs/>
                      <w:kern w:val="0"/>
                      <w:sz w:val="21"/>
                      <w:szCs w:val="21"/>
                      <w:shd w:val="clear" w:color="auto" w:fill="FFFFFF"/>
                    </w:rPr>
                  </w:pPr>
                  <w:r>
                    <w:rPr>
                      <w:kern w:val="0"/>
                      <w:sz w:val="21"/>
                      <w:szCs w:val="21"/>
                      <w:lang w:bidi="ar"/>
                    </w:rPr>
                    <w:t>鼓励企业采用多种技术的组合工艺，提高VOCs治理效率。低浓度、大风量废气，宜采用沸石转轮吸附、活性炭吸附、减风增浓等浓缩技术，提高VOCs浓度后净化处理</w:t>
                  </w:r>
                </w:p>
              </w:tc>
              <w:tc>
                <w:tcPr>
                  <w:tcW w:w="1328" w:type="pct"/>
                  <w:vMerge w:val="restart"/>
                  <w:vAlign w:val="center"/>
                </w:tcPr>
                <w:p w14:paraId="2BC51340">
                  <w:pPr>
                    <w:spacing w:line="288" w:lineRule="auto"/>
                    <w:ind w:firstLine="0" w:firstLineChars="0"/>
                    <w:jc w:val="both"/>
                    <w:rPr>
                      <w:b/>
                      <w:bCs/>
                      <w:kern w:val="0"/>
                      <w:sz w:val="21"/>
                      <w:szCs w:val="21"/>
                      <w:shd w:val="clear" w:color="auto" w:fill="FFFFFF"/>
                    </w:rPr>
                  </w:pPr>
                  <w:r>
                    <w:rPr>
                      <w:rFonts w:hint="default" w:ascii="Times New Roman" w:hAnsi="Times New Roman" w:eastAsia="宋体" w:cs="Times New Roman"/>
                      <w:b w:val="0"/>
                      <w:bCs w:val="0"/>
                      <w:color w:val="auto"/>
                      <w:kern w:val="0"/>
                      <w:sz w:val="21"/>
                      <w:szCs w:val="21"/>
                      <w:highlight w:val="none"/>
                      <w:lang w:val="en-US" w:eastAsia="zh-CN" w:bidi="ar"/>
                    </w:rPr>
                    <w:t>项目生产过程产生的VOCs经</w:t>
                  </w:r>
                  <w:r>
                    <w:rPr>
                      <w:rFonts w:hint="eastAsia" w:cs="Times New Roman"/>
                      <w:b w:val="0"/>
                      <w:bCs w:val="0"/>
                      <w:color w:val="auto"/>
                      <w:kern w:val="0"/>
                      <w:sz w:val="21"/>
                      <w:szCs w:val="21"/>
                      <w:highlight w:val="none"/>
                      <w:lang w:val="en-US" w:eastAsia="zh-CN" w:bidi="ar"/>
                    </w:rPr>
                    <w:t>“电捕焦油器+活性炭吸附”</w:t>
                  </w:r>
                  <w:r>
                    <w:rPr>
                      <w:rFonts w:hint="eastAsia" w:ascii="Times New Roman" w:hAnsi="Times New Roman" w:eastAsia="宋体" w:cs="Times New Roman"/>
                      <w:b w:val="0"/>
                      <w:bCs w:val="0"/>
                      <w:color w:val="auto"/>
                      <w:kern w:val="0"/>
                      <w:sz w:val="21"/>
                      <w:szCs w:val="21"/>
                      <w:highlight w:val="none"/>
                      <w:lang w:val="en-US" w:eastAsia="zh-CN" w:bidi="ar"/>
                    </w:rPr>
                    <w:t>处理后</w:t>
                  </w:r>
                  <w:r>
                    <w:rPr>
                      <w:rFonts w:hint="default" w:ascii="Times New Roman" w:hAnsi="Times New Roman" w:eastAsia="宋体" w:cs="Times New Roman"/>
                      <w:b w:val="0"/>
                      <w:bCs w:val="0"/>
                      <w:color w:val="auto"/>
                      <w:kern w:val="0"/>
                      <w:sz w:val="21"/>
                      <w:szCs w:val="21"/>
                      <w:highlight w:val="none"/>
                      <w:lang w:val="en-US" w:eastAsia="zh-CN" w:bidi="ar"/>
                    </w:rPr>
                    <w:t>有组织</w:t>
                  </w:r>
                  <w:r>
                    <w:rPr>
                      <w:rFonts w:hint="eastAsia" w:ascii="Times New Roman" w:hAnsi="Times New Roman" w:eastAsia="宋体" w:cs="Times New Roman"/>
                      <w:b w:val="0"/>
                      <w:bCs w:val="0"/>
                      <w:color w:val="auto"/>
                      <w:kern w:val="0"/>
                      <w:sz w:val="21"/>
                      <w:szCs w:val="21"/>
                      <w:highlight w:val="none"/>
                      <w:lang w:val="en-US" w:eastAsia="zh-CN" w:bidi="ar"/>
                    </w:rPr>
                    <w:t>达标</w:t>
                  </w:r>
                  <w:r>
                    <w:rPr>
                      <w:rFonts w:hint="default" w:ascii="Times New Roman" w:hAnsi="Times New Roman" w:eastAsia="宋体" w:cs="Times New Roman"/>
                      <w:b w:val="0"/>
                      <w:bCs w:val="0"/>
                      <w:color w:val="auto"/>
                      <w:kern w:val="0"/>
                      <w:sz w:val="21"/>
                      <w:szCs w:val="21"/>
                      <w:highlight w:val="none"/>
                      <w:lang w:val="en-US" w:eastAsia="zh-CN" w:bidi="ar"/>
                    </w:rPr>
                    <w:t>排放</w:t>
                  </w:r>
                  <w:r>
                    <w:rPr>
                      <w:rFonts w:hint="eastAsia" w:ascii="Times New Roman" w:hAnsi="Times New Roman" w:eastAsia="宋体" w:cs="Times New Roman"/>
                      <w:b w:val="0"/>
                      <w:bCs w:val="0"/>
                      <w:color w:val="auto"/>
                      <w:kern w:val="0"/>
                      <w:sz w:val="21"/>
                      <w:szCs w:val="21"/>
                      <w:highlight w:val="none"/>
                      <w:lang w:val="en-US" w:eastAsia="zh-CN" w:bidi="ar"/>
                    </w:rPr>
                    <w:t>。</w:t>
                  </w:r>
                </w:p>
              </w:tc>
              <w:tc>
                <w:tcPr>
                  <w:tcW w:w="569" w:type="pct"/>
                  <w:vAlign w:val="center"/>
                </w:tcPr>
                <w:p w14:paraId="55EAA320">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r w14:paraId="709F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2" w:type="pct"/>
                </w:tcPr>
                <w:p w14:paraId="24CDA45A">
                  <w:pPr>
                    <w:widowControl/>
                    <w:spacing w:line="288" w:lineRule="auto"/>
                    <w:ind w:firstLine="0" w:firstLineChars="0"/>
                    <w:jc w:val="left"/>
                    <w:rPr>
                      <w:b/>
                      <w:bCs/>
                      <w:kern w:val="0"/>
                      <w:sz w:val="21"/>
                      <w:szCs w:val="21"/>
                      <w:shd w:val="clear" w:color="auto" w:fill="FFFFFF"/>
                    </w:rPr>
                  </w:pPr>
                  <w:r>
                    <w:rPr>
                      <w:kern w:val="0"/>
                      <w:sz w:val="21"/>
                      <w:szCs w:val="21"/>
                      <w:lang w:bidi="ar"/>
                    </w:rPr>
                    <w:t>加强非正常工况废气排放控制。退料、吹扫、清洗等过程应加强含VOCs物料回收工作，产生的VOCs废气要加大收集处理力度。开车阶段产生的易挥发性不合格产品应收集至中间储罐等装置。</w:t>
                  </w:r>
                </w:p>
              </w:tc>
              <w:tc>
                <w:tcPr>
                  <w:tcW w:w="1328" w:type="pct"/>
                  <w:vMerge w:val="continue"/>
                  <w:vAlign w:val="center"/>
                </w:tcPr>
                <w:p w14:paraId="65617DD5">
                  <w:pPr>
                    <w:spacing w:line="288" w:lineRule="auto"/>
                    <w:ind w:firstLine="0" w:firstLineChars="0"/>
                    <w:jc w:val="center"/>
                    <w:rPr>
                      <w:b/>
                      <w:bCs/>
                      <w:kern w:val="0"/>
                      <w:sz w:val="21"/>
                      <w:szCs w:val="21"/>
                      <w:shd w:val="clear" w:color="auto" w:fill="FFFFFF"/>
                    </w:rPr>
                  </w:pPr>
                </w:p>
              </w:tc>
              <w:tc>
                <w:tcPr>
                  <w:tcW w:w="569" w:type="pct"/>
                  <w:vAlign w:val="center"/>
                </w:tcPr>
                <w:p w14:paraId="415C0532">
                  <w:pPr>
                    <w:spacing w:line="288" w:lineRule="auto"/>
                    <w:ind w:firstLine="0" w:firstLineChars="0"/>
                    <w:jc w:val="center"/>
                    <w:rPr>
                      <w:kern w:val="0"/>
                      <w:sz w:val="21"/>
                      <w:szCs w:val="21"/>
                      <w:shd w:val="clear" w:color="auto" w:fill="FFFFFF"/>
                    </w:rPr>
                  </w:pPr>
                  <w:r>
                    <w:rPr>
                      <w:kern w:val="0"/>
                      <w:sz w:val="21"/>
                      <w:szCs w:val="21"/>
                      <w:shd w:val="clear" w:color="auto" w:fill="FFFFFF"/>
                    </w:rPr>
                    <w:t>符合</w:t>
                  </w:r>
                </w:p>
              </w:tc>
            </w:tr>
          </w:tbl>
          <w:p w14:paraId="0EC612D7">
            <w:pPr>
              <w:keepNext w:val="0"/>
              <w:keepLines w:val="0"/>
              <w:pageBreakBefore w:val="0"/>
              <w:widowControl w:val="0"/>
              <w:kinsoku/>
              <w:wordWrap/>
              <w:overflowPunct/>
              <w:topLinePunct w:val="0"/>
              <w:autoSpaceDE/>
              <w:autoSpaceDN/>
              <w:bidi w:val="0"/>
              <w:adjustRightInd/>
              <w:snapToGrid/>
              <w:spacing w:before="157" w:beforeLines="50"/>
              <w:ind w:firstLine="480"/>
              <w:jc w:val="left"/>
              <w:textAlignment w:val="auto"/>
              <w:rPr>
                <w:b/>
                <w:bCs/>
              </w:rPr>
            </w:pPr>
            <w:r>
              <w:rPr>
                <w:rFonts w:hint="eastAsia"/>
                <w:kern w:val="0"/>
                <w:szCs w:val="24"/>
                <w:shd w:val="clear" w:color="auto" w:fill="FFFFFF"/>
                <w:lang w:val="en-US" w:eastAsia="zh-CN"/>
              </w:rPr>
              <w:t>综上分析</w:t>
            </w:r>
            <w:r>
              <w:rPr>
                <w:kern w:val="0"/>
                <w:szCs w:val="24"/>
                <w:shd w:val="clear" w:color="auto" w:fill="FFFFFF"/>
              </w:rPr>
              <w:t>，本项目符合</w:t>
            </w:r>
            <w:r>
              <w:rPr>
                <w:rFonts w:hint="eastAsia"/>
                <w:kern w:val="0"/>
                <w:szCs w:val="24"/>
                <w:lang w:bidi="ar"/>
              </w:rPr>
              <w:t>《云南省重点行业挥发性有机物综合治理实施方案》</w:t>
            </w:r>
            <w:r>
              <w:rPr>
                <w:kern w:val="0"/>
                <w:szCs w:val="24"/>
                <w:shd w:val="clear" w:color="auto" w:fill="FFFFFF"/>
              </w:rPr>
              <w:t>的要求。</w:t>
            </w:r>
          </w:p>
          <w:p w14:paraId="5807191B">
            <w:pPr>
              <w:keepNext w:val="0"/>
              <w:keepLines w:val="0"/>
              <w:widowControl/>
              <w:numPr>
                <w:ilvl w:val="0"/>
                <w:numId w:val="0"/>
              </w:numPr>
              <w:suppressLineNumbers w:val="0"/>
              <w:jc w:val="left"/>
            </w:pPr>
            <w:r>
              <w:rPr>
                <w:rFonts w:hint="eastAsia" w:cs="Times New Roman"/>
                <w:b/>
                <w:bCs/>
                <w:color w:val="auto"/>
                <w:kern w:val="0"/>
                <w:sz w:val="24"/>
                <w:szCs w:val="24"/>
                <w:lang w:val="en-US" w:eastAsia="zh-CN" w:bidi="ar"/>
              </w:rPr>
              <w:t>九</w:t>
            </w:r>
            <w:r>
              <w:rPr>
                <w:rFonts w:hint="eastAsia" w:ascii="Times New Roman" w:hAnsi="Times New Roman" w:eastAsia="宋体" w:cs="Times New Roman"/>
                <w:b/>
                <w:bCs/>
                <w:color w:val="auto"/>
                <w:kern w:val="0"/>
                <w:sz w:val="24"/>
                <w:szCs w:val="24"/>
                <w:lang w:val="en-US" w:eastAsia="zh-CN" w:bidi="ar"/>
              </w:rPr>
              <w:t>、与</w:t>
            </w:r>
            <w:r>
              <w:rPr>
                <w:rFonts w:hint="eastAsia"/>
                <w:b/>
                <w:bCs/>
              </w:rPr>
              <w:t>《昆明市大气污染防治条例》</w:t>
            </w:r>
            <w:r>
              <w:rPr>
                <w:rFonts w:hint="default" w:ascii="Times New Roman" w:hAnsi="Times New Roman" w:cs="Times New Roman"/>
                <w:b/>
                <w:bCs/>
                <w:lang w:val="en-US" w:eastAsia="zh-CN"/>
              </w:rPr>
              <w:t>符</w:t>
            </w:r>
            <w:r>
              <w:rPr>
                <w:rFonts w:hint="eastAsia"/>
                <w:b/>
                <w:bCs/>
                <w:lang w:val="en-US" w:eastAsia="zh-CN"/>
              </w:rPr>
              <w:t>合性分析</w:t>
            </w:r>
          </w:p>
          <w:p w14:paraId="672084D0">
            <w:pPr>
              <w:ind w:firstLine="480"/>
              <w:jc w:val="left"/>
              <w:rPr>
                <w:bCs/>
                <w:kern w:val="44"/>
                <w:szCs w:val="30"/>
              </w:rPr>
            </w:pPr>
            <w:r>
              <w:rPr>
                <w:rFonts w:hint="eastAsia"/>
                <w:bCs/>
                <w:kern w:val="44"/>
                <w:szCs w:val="30"/>
              </w:rPr>
              <w:t>2020 年11 月25 日，云南省第十三届人民代表大会常务委员会第二十一次会议审查通过了《昆明市大气污染防治条例》，自2021 年3 月1 日起正式施行。本项目与《昆明市大气污染防治条例》符合性分析详见表1-</w:t>
            </w:r>
            <w:r>
              <w:rPr>
                <w:rFonts w:hint="eastAsia"/>
                <w:bCs/>
                <w:kern w:val="44"/>
                <w:szCs w:val="30"/>
                <w:lang w:val="en-US" w:eastAsia="zh-CN"/>
              </w:rPr>
              <w:t>9</w:t>
            </w:r>
            <w:r>
              <w:rPr>
                <w:rFonts w:hint="eastAsia"/>
                <w:bCs/>
                <w:kern w:val="44"/>
                <w:szCs w:val="30"/>
              </w:rPr>
              <w:t>。</w:t>
            </w:r>
          </w:p>
          <w:p w14:paraId="225B43F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sz w:val="21"/>
                <w:szCs w:val="21"/>
              </w:rPr>
            </w:pPr>
            <w:r>
              <w:rPr>
                <w:rFonts w:hint="eastAsia"/>
                <w:b/>
                <w:bCs/>
                <w:sz w:val="21"/>
                <w:szCs w:val="21"/>
              </w:rPr>
              <w:t>表1-</w:t>
            </w:r>
            <w:r>
              <w:rPr>
                <w:rFonts w:hint="eastAsia"/>
                <w:b/>
                <w:bCs/>
                <w:sz w:val="21"/>
                <w:szCs w:val="21"/>
                <w:lang w:val="en-US" w:eastAsia="zh-CN"/>
              </w:rPr>
              <w:t xml:space="preserve">9 </w:t>
            </w:r>
            <w:r>
              <w:rPr>
                <w:rFonts w:hint="eastAsia"/>
                <w:b/>
                <w:bCs/>
                <w:sz w:val="21"/>
                <w:szCs w:val="21"/>
              </w:rPr>
              <w:t xml:space="preserve"> 项目与《昆明市大气污染防治条例》符合性分析</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948"/>
              <w:gridCol w:w="3119"/>
              <w:gridCol w:w="920"/>
            </w:tblGrid>
            <w:tr w14:paraId="4683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59CE45F0">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b/>
                      <w:bCs/>
                      <w:kern w:val="0"/>
                      <w:sz w:val="21"/>
                      <w:szCs w:val="21"/>
                    </w:rPr>
                  </w:pPr>
                  <w:r>
                    <w:rPr>
                      <w:rFonts w:hint="eastAsia" w:cs="宋体"/>
                      <w:b/>
                      <w:bCs/>
                      <w:kern w:val="0"/>
                      <w:sz w:val="21"/>
                      <w:szCs w:val="21"/>
                    </w:rPr>
                    <w:t>序号</w:t>
                  </w:r>
                </w:p>
              </w:tc>
              <w:tc>
                <w:tcPr>
                  <w:tcW w:w="3948" w:type="dxa"/>
                  <w:vAlign w:val="center"/>
                </w:tcPr>
                <w:p w14:paraId="595DF7AE">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b/>
                      <w:bCs/>
                      <w:kern w:val="0"/>
                      <w:sz w:val="21"/>
                      <w:szCs w:val="21"/>
                    </w:rPr>
                  </w:pPr>
                  <w:r>
                    <w:rPr>
                      <w:rFonts w:hint="eastAsia" w:cs="宋体"/>
                      <w:b/>
                      <w:bCs/>
                      <w:kern w:val="0"/>
                      <w:sz w:val="21"/>
                      <w:szCs w:val="21"/>
                    </w:rPr>
                    <w:t>《昆明市大气污染防治条例》要求</w:t>
                  </w:r>
                </w:p>
              </w:tc>
              <w:tc>
                <w:tcPr>
                  <w:tcW w:w="3119" w:type="dxa"/>
                  <w:vAlign w:val="center"/>
                </w:tcPr>
                <w:p w14:paraId="04F3B2D8">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b/>
                      <w:bCs/>
                      <w:kern w:val="0"/>
                      <w:sz w:val="21"/>
                      <w:szCs w:val="21"/>
                    </w:rPr>
                  </w:pPr>
                  <w:r>
                    <w:rPr>
                      <w:rFonts w:hint="eastAsia" w:cs="宋体"/>
                      <w:b/>
                      <w:bCs/>
                      <w:kern w:val="0"/>
                      <w:sz w:val="21"/>
                      <w:szCs w:val="21"/>
                    </w:rPr>
                    <w:t>本项目情况</w:t>
                  </w:r>
                </w:p>
              </w:tc>
              <w:tc>
                <w:tcPr>
                  <w:tcW w:w="920" w:type="dxa"/>
                  <w:vAlign w:val="center"/>
                </w:tcPr>
                <w:p w14:paraId="1420B9C6">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b/>
                      <w:bCs/>
                      <w:kern w:val="0"/>
                      <w:sz w:val="21"/>
                      <w:szCs w:val="21"/>
                    </w:rPr>
                  </w:pPr>
                  <w:r>
                    <w:rPr>
                      <w:rFonts w:hint="eastAsia" w:cs="宋体"/>
                      <w:b/>
                      <w:bCs/>
                      <w:kern w:val="0"/>
                      <w:sz w:val="21"/>
                      <w:szCs w:val="21"/>
                    </w:rPr>
                    <w:t>符合性</w:t>
                  </w:r>
                </w:p>
              </w:tc>
            </w:tr>
            <w:tr w14:paraId="471A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43DDC90D">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cs="宋体"/>
                      <w:kern w:val="0"/>
                      <w:sz w:val="21"/>
                      <w:szCs w:val="21"/>
                    </w:rPr>
                    <w:t>1</w:t>
                  </w:r>
                </w:p>
              </w:tc>
              <w:tc>
                <w:tcPr>
                  <w:tcW w:w="3948" w:type="dxa"/>
                  <w:vAlign w:val="center"/>
                </w:tcPr>
                <w:p w14:paraId="2E76E173">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kern w:val="0"/>
                      <w:sz w:val="21"/>
                      <w:szCs w:val="21"/>
                    </w:rPr>
                  </w:pPr>
                  <w:r>
                    <w:rPr>
                      <w:rFonts w:hint="eastAsia" w:cs="宋体"/>
                      <w:kern w:val="0"/>
                      <w:sz w:val="21"/>
                      <w:szCs w:val="21"/>
                    </w:rPr>
                    <w:t>第十五条排放大气污染物的企业事业单位和其他生产经营者应当加强精细化管理，严格按照有关规定，配套建设、使用和维护大气污染防治装备。</w:t>
                  </w:r>
                </w:p>
              </w:tc>
              <w:tc>
                <w:tcPr>
                  <w:tcW w:w="3119" w:type="dxa"/>
                  <w:vAlign w:val="center"/>
                </w:tcPr>
                <w:p w14:paraId="21B3B792">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kern w:val="0"/>
                      <w:sz w:val="21"/>
                      <w:szCs w:val="21"/>
                    </w:rPr>
                  </w:pPr>
                  <w:r>
                    <w:rPr>
                      <w:rFonts w:hint="eastAsia" w:cs="宋体"/>
                      <w:color w:val="auto"/>
                      <w:kern w:val="0"/>
                      <w:sz w:val="21"/>
                      <w:szCs w:val="21"/>
                    </w:rPr>
                    <w:t>本项目沥青加热、搅拌工序产生的沥青烟、苯并</w:t>
                  </w:r>
                  <w:r>
                    <w:rPr>
                      <w:rFonts w:hint="default" w:ascii="Times New Roman" w:hAnsi="Times New Roman" w:cs="Times New Roman"/>
                      <w:b w:val="0"/>
                      <w:bCs w:val="0"/>
                      <w:color w:val="auto"/>
                      <w:sz w:val="21"/>
                      <w:szCs w:val="21"/>
                      <w:highlight w:val="none"/>
                    </w:rPr>
                    <w:t>[a]</w:t>
                  </w:r>
                  <w:r>
                    <w:rPr>
                      <w:rFonts w:hint="eastAsia" w:cs="宋体"/>
                      <w:color w:val="auto"/>
                      <w:kern w:val="0"/>
                      <w:sz w:val="21"/>
                      <w:szCs w:val="21"/>
                    </w:rPr>
                    <w:t>芘</w:t>
                  </w:r>
                  <w:r>
                    <w:rPr>
                      <w:rFonts w:hint="eastAsia" w:cs="宋体"/>
                      <w:color w:val="auto"/>
                      <w:kern w:val="0"/>
                      <w:sz w:val="21"/>
                      <w:szCs w:val="21"/>
                      <w:lang w:eastAsia="zh-CN"/>
                    </w:rPr>
                    <w:t>、</w:t>
                  </w:r>
                  <w:r>
                    <w:rPr>
                      <w:rFonts w:hint="eastAsia" w:cs="宋体"/>
                      <w:color w:val="auto"/>
                      <w:kern w:val="0"/>
                      <w:sz w:val="21"/>
                      <w:szCs w:val="21"/>
                      <w:lang w:val="en-US" w:eastAsia="zh-CN"/>
                    </w:rPr>
                    <w:t>非甲烷总烃</w:t>
                  </w:r>
                  <w:r>
                    <w:rPr>
                      <w:rFonts w:hint="eastAsia"/>
                      <w:color w:val="auto"/>
                      <w:sz w:val="21"/>
                      <w:szCs w:val="21"/>
                      <w:highlight w:val="none"/>
                      <w:lang w:val="en-US" w:eastAsia="zh-CN"/>
                    </w:rPr>
                    <w:t>收集后</w:t>
                  </w:r>
                  <w:r>
                    <w:rPr>
                      <w:rFonts w:hint="default" w:ascii="Times New Roman" w:hAnsi="Times New Roman" w:eastAsia="宋体" w:cs="Times New Roman"/>
                      <w:b w:val="0"/>
                      <w:bCs w:val="0"/>
                      <w:color w:val="auto"/>
                      <w:kern w:val="0"/>
                      <w:sz w:val="21"/>
                      <w:szCs w:val="21"/>
                      <w:highlight w:val="none"/>
                      <w:lang w:val="en-US" w:eastAsia="zh-CN" w:bidi="ar"/>
                    </w:rPr>
                    <w:t>经</w:t>
                  </w:r>
                  <w:r>
                    <w:rPr>
                      <w:rFonts w:hint="eastAsia" w:cs="Times New Roman"/>
                      <w:b w:val="0"/>
                      <w:bCs w:val="0"/>
                      <w:color w:val="auto"/>
                      <w:kern w:val="0"/>
                      <w:sz w:val="21"/>
                      <w:szCs w:val="21"/>
                      <w:highlight w:val="none"/>
                      <w:lang w:val="en-US" w:eastAsia="zh-CN" w:bidi="ar"/>
                    </w:rPr>
                    <w:t>“电捕焦油器+活性炭吸附”</w:t>
                  </w:r>
                  <w:r>
                    <w:rPr>
                      <w:rFonts w:hint="eastAsia"/>
                      <w:color w:val="auto"/>
                      <w:sz w:val="21"/>
                      <w:szCs w:val="21"/>
                      <w:highlight w:val="none"/>
                      <w:lang w:val="en-US" w:eastAsia="zh-CN"/>
                    </w:rPr>
                    <w:t>处理后达标排放</w:t>
                  </w:r>
                  <w:r>
                    <w:rPr>
                      <w:rFonts w:hint="eastAsia" w:cs="宋体"/>
                      <w:color w:val="auto"/>
                      <w:kern w:val="0"/>
                      <w:sz w:val="21"/>
                      <w:szCs w:val="21"/>
                    </w:rPr>
                    <w:t>。</w:t>
                  </w:r>
                </w:p>
              </w:tc>
              <w:tc>
                <w:tcPr>
                  <w:tcW w:w="920" w:type="dxa"/>
                  <w:vAlign w:val="center"/>
                </w:tcPr>
                <w:p w14:paraId="069617C3">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hint="eastAsia" w:cs="宋体"/>
                      <w:kern w:val="0"/>
                      <w:sz w:val="21"/>
                      <w:szCs w:val="21"/>
                    </w:rPr>
                    <w:t>符合</w:t>
                  </w:r>
                </w:p>
              </w:tc>
            </w:tr>
            <w:tr w14:paraId="5F94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674" w:type="dxa"/>
                  <w:vAlign w:val="center"/>
                </w:tcPr>
                <w:p w14:paraId="54D8AF7D">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cs="宋体"/>
                      <w:kern w:val="0"/>
                      <w:sz w:val="21"/>
                      <w:szCs w:val="21"/>
                    </w:rPr>
                    <w:t>2</w:t>
                  </w:r>
                </w:p>
              </w:tc>
              <w:tc>
                <w:tcPr>
                  <w:tcW w:w="3948" w:type="dxa"/>
                  <w:vAlign w:val="center"/>
                </w:tcPr>
                <w:p w14:paraId="17D11F7C">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color w:val="auto"/>
                      <w:kern w:val="0"/>
                      <w:sz w:val="21"/>
                      <w:szCs w:val="21"/>
                    </w:rPr>
                  </w:pPr>
                  <w:r>
                    <w:rPr>
                      <w:rFonts w:hint="eastAsia" w:cs="宋体"/>
                      <w:color w:val="auto"/>
                      <w:kern w:val="0"/>
                      <w:sz w:val="21"/>
                      <w:szCs w:val="21"/>
                    </w:rPr>
                    <w:t>第十六条向大气排放污染物的企业事业单位和其他生产经营者，应当按照有关规定设置大气污染物排放口。</w:t>
                  </w:r>
                </w:p>
              </w:tc>
              <w:tc>
                <w:tcPr>
                  <w:tcW w:w="3119" w:type="dxa"/>
                  <w:vAlign w:val="center"/>
                </w:tcPr>
                <w:p w14:paraId="4CB1A00D">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hint="eastAsia" w:eastAsia="宋体" w:cs="宋体"/>
                      <w:color w:val="auto"/>
                      <w:kern w:val="0"/>
                      <w:sz w:val="21"/>
                      <w:szCs w:val="21"/>
                      <w:lang w:eastAsia="zh-CN"/>
                    </w:rPr>
                  </w:pPr>
                  <w:r>
                    <w:rPr>
                      <w:rFonts w:hint="eastAsia" w:cs="宋体"/>
                      <w:color w:val="auto"/>
                      <w:kern w:val="0"/>
                      <w:sz w:val="21"/>
                      <w:szCs w:val="21"/>
                    </w:rPr>
                    <w:t>本环评要求</w:t>
                  </w:r>
                  <w:r>
                    <w:rPr>
                      <w:rFonts w:hint="eastAsia" w:cs="宋体"/>
                      <w:color w:val="auto"/>
                      <w:kern w:val="0"/>
                      <w:sz w:val="21"/>
                      <w:szCs w:val="21"/>
                      <w:lang w:val="en-US" w:eastAsia="zh-CN"/>
                    </w:rPr>
                    <w:t>项目对生产废气排气筒DA001、DA002、DA003</w:t>
                  </w:r>
                  <w:r>
                    <w:rPr>
                      <w:rFonts w:hint="eastAsia" w:cs="宋体"/>
                      <w:color w:val="auto"/>
                      <w:kern w:val="0"/>
                      <w:sz w:val="21"/>
                      <w:szCs w:val="21"/>
                    </w:rPr>
                    <w:t>设置规范化排气筒</w:t>
                  </w:r>
                  <w:r>
                    <w:rPr>
                      <w:rFonts w:hint="eastAsia" w:cs="宋体"/>
                      <w:color w:val="auto"/>
                      <w:kern w:val="0"/>
                      <w:sz w:val="21"/>
                      <w:szCs w:val="21"/>
                      <w:lang w:eastAsia="zh-CN"/>
                    </w:rPr>
                    <w:t>。</w:t>
                  </w:r>
                </w:p>
              </w:tc>
              <w:tc>
                <w:tcPr>
                  <w:tcW w:w="920" w:type="dxa"/>
                  <w:vAlign w:val="center"/>
                </w:tcPr>
                <w:p w14:paraId="555601EA">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hint="eastAsia" w:cs="宋体"/>
                      <w:kern w:val="0"/>
                      <w:sz w:val="21"/>
                      <w:szCs w:val="21"/>
                    </w:rPr>
                    <w:t>符合</w:t>
                  </w:r>
                </w:p>
              </w:tc>
            </w:tr>
            <w:tr w14:paraId="7E56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59C57CC6">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cs="宋体"/>
                      <w:kern w:val="0"/>
                      <w:sz w:val="21"/>
                      <w:szCs w:val="21"/>
                    </w:rPr>
                    <w:t>3</w:t>
                  </w:r>
                </w:p>
              </w:tc>
              <w:tc>
                <w:tcPr>
                  <w:tcW w:w="3948" w:type="dxa"/>
                  <w:vAlign w:val="center"/>
                </w:tcPr>
                <w:p w14:paraId="0850A434">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kern w:val="0"/>
                      <w:sz w:val="21"/>
                      <w:szCs w:val="21"/>
                    </w:rPr>
                  </w:pPr>
                  <w:r>
                    <w:rPr>
                      <w:rFonts w:hint="eastAsia" w:cs="宋体"/>
                      <w:kern w:val="0"/>
                      <w:sz w:val="21"/>
                      <w:szCs w:val="21"/>
                    </w:rPr>
                    <w:t>第二十六条下列产生含挥发性有机物废气的生产和服务活动，应当在密闭空间或者设备中进行，并按照规定安装、使用污染防治设施；无法密闭的，应当采取高效处理措施减少废气排放。①石油炼制及有机化学品、合成树脂、合成纤维、合成橡胶等行业；②制药、农药、涂料、油墨、胶粘剂、橡胶和塑料加工等行业；③汽车、家具、集装箱、电子产品、工程机械等行业；④塑料软包装印刷、印铁制罐等行业；⑤其他产生挥发性有机物的生产和服务活动。</w:t>
                  </w:r>
                </w:p>
              </w:tc>
              <w:tc>
                <w:tcPr>
                  <w:tcW w:w="3119" w:type="dxa"/>
                  <w:vAlign w:val="center"/>
                </w:tcPr>
                <w:p w14:paraId="18B8246D">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color w:val="auto"/>
                      <w:kern w:val="0"/>
                      <w:sz w:val="21"/>
                      <w:szCs w:val="21"/>
                    </w:rPr>
                  </w:pPr>
                  <w:r>
                    <w:rPr>
                      <w:rFonts w:hint="eastAsia"/>
                      <w:color w:val="auto"/>
                      <w:sz w:val="21"/>
                      <w:szCs w:val="21"/>
                      <w:highlight w:val="none"/>
                      <w:lang w:val="en-US" w:eastAsia="zh-CN"/>
                    </w:rPr>
                    <w:t>项目涉VOCs物料主要是原材料沥青，沥青在沥青储罐中密闭暂存，通过管道密闭输送，沥青混凝土生产后经罐车直接密闭运输</w:t>
                  </w:r>
                  <w:r>
                    <w:rPr>
                      <w:rFonts w:hint="eastAsia" w:cs="宋体"/>
                      <w:color w:val="auto"/>
                      <w:kern w:val="0"/>
                      <w:sz w:val="21"/>
                      <w:szCs w:val="21"/>
                    </w:rPr>
                    <w:t>。</w:t>
                  </w:r>
                </w:p>
              </w:tc>
              <w:tc>
                <w:tcPr>
                  <w:tcW w:w="920" w:type="dxa"/>
                  <w:vAlign w:val="center"/>
                </w:tcPr>
                <w:p w14:paraId="6B5A32A7">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hint="eastAsia" w:cs="宋体"/>
                      <w:kern w:val="0"/>
                      <w:sz w:val="21"/>
                      <w:szCs w:val="21"/>
                    </w:rPr>
                    <w:t>符合</w:t>
                  </w:r>
                </w:p>
              </w:tc>
            </w:tr>
            <w:tr w14:paraId="68A9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4" w:type="dxa"/>
                  <w:vAlign w:val="center"/>
                </w:tcPr>
                <w:p w14:paraId="637AD6D0">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hint="eastAsia" w:cs="宋体"/>
                      <w:kern w:val="0"/>
                      <w:sz w:val="21"/>
                      <w:szCs w:val="21"/>
                    </w:rPr>
                    <w:t>4</w:t>
                  </w:r>
                </w:p>
              </w:tc>
              <w:tc>
                <w:tcPr>
                  <w:tcW w:w="3948" w:type="dxa"/>
                  <w:vAlign w:val="center"/>
                </w:tcPr>
                <w:p w14:paraId="7AD57D0E">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kern w:val="0"/>
                      <w:sz w:val="21"/>
                      <w:szCs w:val="21"/>
                    </w:rPr>
                  </w:pPr>
                  <w:r>
                    <w:rPr>
                      <w:rFonts w:hint="eastAsia" w:cs="宋体"/>
                      <w:kern w:val="0"/>
                      <w:sz w:val="21"/>
                      <w:szCs w:val="21"/>
                    </w:rPr>
                    <w:t>第二十七条生产、进口、销售和使用含挥发性有机物原材料和产品的，其挥发性有机物含量应当符合质量标准或者要求。</w:t>
                  </w:r>
                </w:p>
                <w:p w14:paraId="7A8FDA8D">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kern w:val="0"/>
                      <w:sz w:val="21"/>
                      <w:szCs w:val="21"/>
                    </w:rPr>
                  </w:pPr>
                  <w:r>
                    <w:rPr>
                      <w:rFonts w:hint="eastAsia" w:cs="宋体"/>
                      <w:kern w:val="0"/>
                      <w:sz w:val="21"/>
                      <w:szCs w:val="21"/>
                    </w:rPr>
                    <w:t>工业涂装企业应当使用低挥发性有机物含量的涂料，并建立台账，记录生产原料、辅料的使用量、废弃量、去向以及挥发性有机物含量。台账保存期限不得少于3年。</w:t>
                  </w:r>
                </w:p>
              </w:tc>
              <w:tc>
                <w:tcPr>
                  <w:tcW w:w="3119" w:type="dxa"/>
                  <w:vAlign w:val="center"/>
                </w:tcPr>
                <w:p w14:paraId="7BC05020">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left"/>
                    <w:textAlignment w:val="auto"/>
                    <w:rPr>
                      <w:rFonts w:cs="宋体"/>
                      <w:kern w:val="0"/>
                      <w:sz w:val="21"/>
                      <w:szCs w:val="21"/>
                    </w:rPr>
                  </w:pPr>
                  <w:r>
                    <w:rPr>
                      <w:rFonts w:hint="eastAsia"/>
                      <w:color w:val="auto"/>
                      <w:sz w:val="21"/>
                      <w:szCs w:val="21"/>
                      <w:highlight w:val="none"/>
                      <w:lang w:val="en-US" w:eastAsia="zh-CN"/>
                    </w:rPr>
                    <w:t>项目涉VOCs物料主要是原材料沥青，沥青在沥青储罐中密闭暂存，通过管道密闭输送，沥青混凝土生产后经罐车直接密闭运输</w:t>
                  </w:r>
                  <w:r>
                    <w:rPr>
                      <w:rFonts w:hint="eastAsia" w:cs="宋体"/>
                      <w:color w:val="auto"/>
                      <w:kern w:val="0"/>
                      <w:sz w:val="21"/>
                      <w:szCs w:val="21"/>
                    </w:rPr>
                    <w:t>。</w:t>
                  </w:r>
                </w:p>
              </w:tc>
              <w:tc>
                <w:tcPr>
                  <w:tcW w:w="920" w:type="dxa"/>
                  <w:vAlign w:val="center"/>
                </w:tcPr>
                <w:p w14:paraId="1BCED40A">
                  <w:pPr>
                    <w:keepNext w:val="0"/>
                    <w:keepLines w:val="0"/>
                    <w:pageBreakBefore w:val="0"/>
                    <w:widowControl w:val="0"/>
                    <w:kinsoku/>
                    <w:wordWrap/>
                    <w:overflowPunct/>
                    <w:topLinePunct w:val="0"/>
                    <w:autoSpaceDE w:val="0"/>
                    <w:autoSpaceDN w:val="0"/>
                    <w:bidi w:val="0"/>
                    <w:adjustRightInd/>
                    <w:snapToGrid/>
                    <w:spacing w:line="360" w:lineRule="exact"/>
                    <w:ind w:firstLine="0" w:firstLineChars="0"/>
                    <w:jc w:val="center"/>
                    <w:textAlignment w:val="auto"/>
                    <w:rPr>
                      <w:rFonts w:cs="宋体"/>
                      <w:kern w:val="0"/>
                      <w:sz w:val="21"/>
                      <w:szCs w:val="21"/>
                    </w:rPr>
                  </w:pPr>
                  <w:r>
                    <w:rPr>
                      <w:rFonts w:hint="eastAsia" w:cs="宋体"/>
                      <w:kern w:val="0"/>
                      <w:sz w:val="21"/>
                      <w:szCs w:val="21"/>
                    </w:rPr>
                    <w:t>符合</w:t>
                  </w:r>
                </w:p>
              </w:tc>
            </w:tr>
          </w:tbl>
          <w:p w14:paraId="6A88AF40">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b/>
                <w:bCs/>
              </w:rPr>
            </w:pPr>
            <w:r>
              <w:rPr>
                <w:rFonts w:hint="eastAsia"/>
                <w:bCs/>
                <w:kern w:val="44"/>
                <w:szCs w:val="30"/>
                <w:lang w:val="en-US" w:eastAsia="zh-CN"/>
              </w:rPr>
              <w:t>综上分析</w:t>
            </w:r>
            <w:r>
              <w:rPr>
                <w:bCs/>
                <w:kern w:val="44"/>
                <w:szCs w:val="30"/>
              </w:rPr>
              <w:t>，本项目符合《</w:t>
            </w:r>
            <w:r>
              <w:rPr>
                <w:rFonts w:hint="eastAsia"/>
                <w:bCs/>
                <w:kern w:val="44"/>
                <w:szCs w:val="30"/>
              </w:rPr>
              <w:t>昆明市大气污染防治条例</w:t>
            </w:r>
            <w:r>
              <w:rPr>
                <w:bCs/>
                <w:kern w:val="44"/>
                <w:szCs w:val="30"/>
              </w:rPr>
              <w:t>》的要求。</w:t>
            </w:r>
          </w:p>
          <w:p w14:paraId="1D28BF1A">
            <w:pPr>
              <w:keepNext w:val="0"/>
              <w:keepLines w:val="0"/>
              <w:widowControl/>
              <w:numPr>
                <w:ilvl w:val="0"/>
                <w:numId w:val="0"/>
              </w:numPr>
              <w:suppressLineNumbers w:val="0"/>
              <w:jc w:val="left"/>
            </w:pPr>
            <w:r>
              <w:rPr>
                <w:rFonts w:hint="eastAsia" w:cs="Times New Roman"/>
                <w:b/>
                <w:bCs/>
                <w:color w:val="auto"/>
                <w:kern w:val="0"/>
                <w:sz w:val="24"/>
                <w:szCs w:val="24"/>
                <w:lang w:val="en-US" w:eastAsia="zh-CN" w:bidi="ar"/>
              </w:rPr>
              <w:t>十</w:t>
            </w:r>
            <w:r>
              <w:rPr>
                <w:rFonts w:hint="eastAsia" w:ascii="Times New Roman" w:hAnsi="Times New Roman" w:eastAsia="宋体" w:cs="Times New Roman"/>
                <w:b/>
                <w:bCs/>
                <w:color w:val="auto"/>
                <w:kern w:val="0"/>
                <w:sz w:val="24"/>
                <w:szCs w:val="24"/>
                <w:lang w:val="en-US" w:eastAsia="zh-CN" w:bidi="ar"/>
              </w:rPr>
              <w:t>、与</w:t>
            </w:r>
            <w:r>
              <w:rPr>
                <w:rFonts w:hint="eastAsia"/>
                <w:b/>
                <w:bCs/>
              </w:rPr>
              <w:t>《关于印发云南寻甸产业园区外工业项目管理工作方案的通知》（寻政办发</w:t>
            </w:r>
            <w:r>
              <w:rPr>
                <w:rFonts w:hint="eastAsia"/>
                <w:b/>
                <w:szCs w:val="21"/>
              </w:rPr>
              <w:t>〔2024〕</w:t>
            </w:r>
            <w:r>
              <w:rPr>
                <w:b/>
                <w:szCs w:val="21"/>
              </w:rPr>
              <w:t>34</w:t>
            </w:r>
            <w:r>
              <w:rPr>
                <w:rFonts w:hint="eastAsia"/>
                <w:b/>
                <w:szCs w:val="21"/>
              </w:rPr>
              <w:t>号</w:t>
            </w:r>
            <w:r>
              <w:rPr>
                <w:rFonts w:hint="eastAsia"/>
                <w:b/>
                <w:bCs/>
              </w:rPr>
              <w:t>）</w:t>
            </w:r>
            <w:r>
              <w:rPr>
                <w:rFonts w:hint="default" w:ascii="Times New Roman" w:hAnsi="Times New Roman" w:cs="Times New Roman"/>
                <w:b/>
                <w:bCs/>
                <w:lang w:val="en-US" w:eastAsia="zh-CN"/>
              </w:rPr>
              <w:t>符</w:t>
            </w:r>
            <w:r>
              <w:rPr>
                <w:rFonts w:hint="eastAsia"/>
                <w:b/>
                <w:bCs/>
                <w:lang w:val="en-US" w:eastAsia="zh-CN"/>
              </w:rPr>
              <w:t>合性分析</w:t>
            </w:r>
          </w:p>
          <w:p w14:paraId="75CF0920">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bCs/>
                <w:kern w:val="44"/>
                <w:sz w:val="24"/>
                <w:szCs w:val="30"/>
                <w:lang w:val="en-US" w:eastAsia="zh-CN" w:bidi="ar-SA"/>
              </w:rPr>
            </w:pPr>
            <w:r>
              <w:rPr>
                <w:rFonts w:hint="eastAsia" w:ascii="Times New Roman" w:hAnsi="Times New Roman" w:eastAsia="宋体" w:cs="Times New Roman"/>
                <w:bCs/>
                <w:kern w:val="44"/>
                <w:sz w:val="24"/>
                <w:szCs w:val="30"/>
                <w:lang w:val="en-US" w:eastAsia="zh-CN" w:bidi="ar-SA"/>
              </w:rPr>
              <w:t>本项目与《关于印发云南寻甸产业园区外工业项目管理工作方案的通知》符合性分析详见下表1-</w:t>
            </w:r>
            <w:r>
              <w:rPr>
                <w:rFonts w:hint="eastAsia" w:cs="Times New Roman"/>
                <w:bCs/>
                <w:kern w:val="44"/>
                <w:sz w:val="24"/>
                <w:szCs w:val="30"/>
                <w:lang w:val="en-US" w:eastAsia="zh-CN" w:bidi="ar-SA"/>
              </w:rPr>
              <w:t>10</w:t>
            </w:r>
            <w:r>
              <w:rPr>
                <w:rFonts w:hint="eastAsia" w:ascii="Times New Roman" w:hAnsi="Times New Roman" w:eastAsia="宋体" w:cs="Times New Roman"/>
                <w:bCs/>
                <w:kern w:val="44"/>
                <w:sz w:val="24"/>
                <w:szCs w:val="30"/>
                <w:lang w:val="en-US" w:eastAsia="zh-CN" w:bidi="ar-SA"/>
              </w:rPr>
              <w:t>。</w:t>
            </w:r>
          </w:p>
          <w:p w14:paraId="67353148">
            <w:pPr>
              <w:pStyle w:val="5"/>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表1-</w:t>
            </w:r>
            <w:r>
              <w:rPr>
                <w:rFonts w:hint="eastAsia" w:cs="Times New Roman"/>
                <w:b/>
                <w:bCs/>
                <w:kern w:val="2"/>
                <w:sz w:val="21"/>
                <w:szCs w:val="21"/>
                <w:lang w:val="en-US" w:eastAsia="zh-CN" w:bidi="ar-SA"/>
              </w:rPr>
              <w:t>10</w:t>
            </w:r>
            <w:r>
              <w:rPr>
                <w:rFonts w:hint="eastAsia" w:ascii="Times New Roman" w:hAnsi="Times New Roman" w:eastAsia="宋体" w:cs="Times New Roman"/>
                <w:b/>
                <w:bCs/>
                <w:kern w:val="2"/>
                <w:sz w:val="21"/>
                <w:szCs w:val="21"/>
                <w:lang w:val="en-US" w:eastAsia="zh-CN" w:bidi="ar-SA"/>
              </w:rPr>
              <w:t xml:space="preserve">  与《关于印发云南寻甸产业园区外工业项目管理工作方案的通知》符合性分析</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4349"/>
              <w:gridCol w:w="3068"/>
              <w:gridCol w:w="598"/>
            </w:tblGrid>
            <w:tr w14:paraId="48521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052" w:type="dxa"/>
                  <w:gridSpan w:val="2"/>
                  <w:vAlign w:val="center"/>
                </w:tcPr>
                <w:p w14:paraId="6F1635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rFonts w:hint="eastAsia"/>
                      <w:b/>
                      <w:bCs/>
                      <w:sz w:val="21"/>
                      <w:szCs w:val="21"/>
                    </w:rPr>
                    <w:t>《关于印发云南寻甸产业园区外工业项目管理工作方案的通知》（寻政办发〔2024〕34号）要求</w:t>
                  </w:r>
                </w:p>
              </w:tc>
              <w:tc>
                <w:tcPr>
                  <w:tcW w:w="3068" w:type="dxa"/>
                  <w:vAlign w:val="center"/>
                </w:tcPr>
                <w:p w14:paraId="42188B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rFonts w:hint="eastAsia"/>
                      <w:b/>
                      <w:bCs/>
                      <w:sz w:val="21"/>
                      <w:szCs w:val="21"/>
                    </w:rPr>
                    <w:t>本项目情况</w:t>
                  </w:r>
                </w:p>
              </w:tc>
              <w:tc>
                <w:tcPr>
                  <w:tcW w:w="598" w:type="dxa"/>
                  <w:vAlign w:val="center"/>
                </w:tcPr>
                <w:p w14:paraId="42BF84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rFonts w:hint="eastAsia"/>
                      <w:b/>
                      <w:bCs/>
                      <w:sz w:val="21"/>
                      <w:szCs w:val="21"/>
                    </w:rPr>
                    <w:t>符合性</w:t>
                  </w:r>
                </w:p>
              </w:tc>
            </w:tr>
            <w:tr w14:paraId="5BD1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1" w:hRule="atLeast"/>
                <w:jc w:val="center"/>
              </w:trPr>
              <w:tc>
                <w:tcPr>
                  <w:tcW w:w="703" w:type="dxa"/>
                  <w:vAlign w:val="center"/>
                </w:tcPr>
                <w:p w14:paraId="1193B5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sz w:val="21"/>
                      <w:szCs w:val="21"/>
                    </w:rPr>
                    <w:t>一、总体要求</w:t>
                  </w:r>
                </w:p>
              </w:tc>
              <w:tc>
                <w:tcPr>
                  <w:tcW w:w="4349" w:type="dxa"/>
                  <w:vAlign w:val="center"/>
                </w:tcPr>
                <w:p w14:paraId="6AA33BC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sz w:val="21"/>
                      <w:szCs w:val="21"/>
                    </w:rPr>
                  </w:pPr>
                  <w:r>
                    <w:rPr>
                      <w:rFonts w:hint="eastAsia"/>
                      <w:sz w:val="21"/>
                      <w:szCs w:val="21"/>
                    </w:rPr>
                    <w:t xml:space="preserve">凡新建、引进的制造业项目和企业 原则上入园选址发展，园区外原则上不再安排工业项目。对达不到入园条件和标准的农副产品加工、一般加工制造类项目或预拌混凝土搅拌站等不宜入园的特殊行业，须经县人民政府研究同意， 经县科技和工业信息化局备案后， 按程序办理其他有关审批手续。县科技和工业信息化局应按相关程序报市工业和信息化局备案。 经研究同意，可以在园区外建设的工业项目，应在当地注册成立法人企业，其投资强度应不低于200万元/亩，能源消费总量应不高于2000吨标准煤/年，且无重大危险源和重大生态环境隐患。项目用地应为工业用地，不同项目不能在同一选址建设。 </w:t>
                  </w:r>
                </w:p>
              </w:tc>
              <w:tc>
                <w:tcPr>
                  <w:tcW w:w="3068" w:type="dxa"/>
                  <w:vAlign w:val="center"/>
                </w:tcPr>
                <w:p w14:paraId="1339622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eastAsia="宋体"/>
                      <w:sz w:val="21"/>
                      <w:szCs w:val="21"/>
                      <w:lang w:val="en-US" w:eastAsia="zh-CN"/>
                    </w:rPr>
                  </w:pPr>
                  <w:r>
                    <w:rPr>
                      <w:rFonts w:hint="eastAsia"/>
                      <w:sz w:val="21"/>
                      <w:szCs w:val="21"/>
                    </w:rPr>
                    <w:t>项目已取得寻甸回族彝族自治县科学技术和工业信息化局</w:t>
                  </w:r>
                  <w:r>
                    <w:rPr>
                      <w:rFonts w:hint="eastAsia"/>
                      <w:sz w:val="21"/>
                      <w:szCs w:val="21"/>
                      <w:lang w:val="en-US" w:eastAsia="zh-CN"/>
                    </w:rPr>
                    <w:t>出具的《</w:t>
                  </w:r>
                  <w:r>
                    <w:rPr>
                      <w:rFonts w:hint="eastAsia"/>
                      <w:sz w:val="21"/>
                      <w:szCs w:val="21"/>
                    </w:rPr>
                    <w:t>关于寻甸福兴宏盛土石方工程有限公司10万吨/年沥青混凝土搅拌站建设项目不进工业园区选址的批复</w:t>
                  </w:r>
                  <w:r>
                    <w:rPr>
                      <w:rFonts w:hint="eastAsia"/>
                      <w:sz w:val="21"/>
                      <w:szCs w:val="21"/>
                      <w:lang w:val="en-US" w:eastAsia="zh-CN"/>
                    </w:rPr>
                    <w:t>》</w:t>
                  </w:r>
                  <w:r>
                    <w:rPr>
                      <w:rFonts w:hint="eastAsia"/>
                      <w:sz w:val="21"/>
                      <w:szCs w:val="21"/>
                    </w:rPr>
                    <w:t>（寻科工信复〔202</w:t>
                  </w:r>
                  <w:r>
                    <w:rPr>
                      <w:rFonts w:hint="eastAsia"/>
                      <w:sz w:val="21"/>
                      <w:szCs w:val="21"/>
                      <w:lang w:val="en-US" w:eastAsia="zh-CN"/>
                    </w:rPr>
                    <w:t>5</w:t>
                  </w:r>
                  <w:r>
                    <w:rPr>
                      <w:rFonts w:hint="eastAsia"/>
                      <w:sz w:val="21"/>
                      <w:szCs w:val="21"/>
                    </w:rPr>
                    <w:t>〕</w:t>
                  </w:r>
                  <w:r>
                    <w:rPr>
                      <w:rFonts w:hint="eastAsia"/>
                      <w:sz w:val="21"/>
                      <w:szCs w:val="21"/>
                      <w:lang w:val="en-US" w:eastAsia="zh-CN"/>
                    </w:rPr>
                    <w:t>6</w:t>
                  </w:r>
                  <w:r>
                    <w:rPr>
                      <w:rFonts w:hint="eastAsia"/>
                      <w:sz w:val="21"/>
                      <w:szCs w:val="21"/>
                    </w:rPr>
                    <w:t>号），项目</w:t>
                  </w:r>
                  <w:r>
                    <w:rPr>
                      <w:rFonts w:hint="eastAsia"/>
                      <w:sz w:val="21"/>
                      <w:szCs w:val="21"/>
                      <w:lang w:val="en-US" w:eastAsia="zh-CN"/>
                    </w:rPr>
                    <w:t>计划投资896.17</w:t>
                  </w:r>
                  <w:r>
                    <w:rPr>
                      <w:rFonts w:hint="eastAsia"/>
                      <w:sz w:val="21"/>
                      <w:szCs w:val="21"/>
                    </w:rPr>
                    <w:t>万</w:t>
                  </w:r>
                  <w:r>
                    <w:rPr>
                      <w:rFonts w:hint="eastAsia"/>
                      <w:sz w:val="21"/>
                      <w:szCs w:val="21"/>
                      <w:lang w:val="en-US" w:eastAsia="zh-CN"/>
                    </w:rPr>
                    <w:t>元，占地面积1500m</w:t>
                  </w:r>
                  <w:r>
                    <w:rPr>
                      <w:rFonts w:hint="eastAsia"/>
                      <w:sz w:val="21"/>
                      <w:szCs w:val="21"/>
                      <w:vertAlign w:val="superscript"/>
                      <w:lang w:val="en-US" w:eastAsia="zh-CN"/>
                    </w:rPr>
                    <w:t>2</w:t>
                  </w:r>
                  <w:r>
                    <w:rPr>
                      <w:rFonts w:hint="eastAsia"/>
                      <w:sz w:val="21"/>
                      <w:szCs w:val="21"/>
                    </w:rPr>
                    <w:t>，项目投资能够达到单位面积投资强度的要求，能源消费主要为</w:t>
                  </w:r>
                  <w:r>
                    <w:rPr>
                      <w:rFonts w:hint="eastAsia" w:cs="Times New Roman"/>
                      <w:color w:val="auto"/>
                      <w:kern w:val="0"/>
                      <w:sz w:val="21"/>
                      <w:szCs w:val="21"/>
                      <w:lang w:val="en-US" w:eastAsia="zh-CN" w:bidi="ar"/>
                    </w:rPr>
                    <w:t>柴</w:t>
                  </w:r>
                  <w:r>
                    <w:rPr>
                      <w:rFonts w:hint="eastAsia"/>
                      <w:sz w:val="21"/>
                      <w:szCs w:val="21"/>
                      <w:lang w:val="en-US" w:eastAsia="zh-CN"/>
                    </w:rPr>
                    <w:t>油</w:t>
                  </w:r>
                  <w:r>
                    <w:rPr>
                      <w:rFonts w:hint="eastAsia"/>
                      <w:sz w:val="21"/>
                      <w:szCs w:val="21"/>
                    </w:rPr>
                    <w:t>，消耗不高于2000吨标准煤/年，项目无重大危险源和重大生态环境隐患。</w:t>
                  </w:r>
                  <w:r>
                    <w:rPr>
                      <w:rFonts w:hint="eastAsia" w:ascii="Times New Roman" w:hAnsi="Times New Roman" w:eastAsia="宋体" w:cs="Times New Roman"/>
                      <w:sz w:val="21"/>
                      <w:szCs w:val="21"/>
                    </w:rPr>
                    <w:t>项目用地</w:t>
                  </w:r>
                  <w:r>
                    <w:rPr>
                      <w:rFonts w:hint="eastAsia" w:ascii="Times New Roman" w:hAnsi="Times New Roman" w:eastAsia="宋体" w:cs="Times New Roman"/>
                      <w:sz w:val="21"/>
                      <w:szCs w:val="21"/>
                      <w:lang w:val="en-US" w:eastAsia="zh-CN"/>
                    </w:rPr>
                    <w:t>租赁云南龙泉矿业开发有限公司采石场用地范围内的空地建设。</w:t>
                  </w:r>
                </w:p>
              </w:tc>
              <w:tc>
                <w:tcPr>
                  <w:tcW w:w="598" w:type="dxa"/>
                  <w:vAlign w:val="center"/>
                </w:tcPr>
                <w:p w14:paraId="1B77BE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sz w:val="21"/>
                      <w:szCs w:val="21"/>
                    </w:rPr>
                    <w:t>符合</w:t>
                  </w:r>
                </w:p>
              </w:tc>
            </w:tr>
            <w:tr w14:paraId="7454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9" w:hRule="atLeast"/>
                <w:jc w:val="center"/>
              </w:trPr>
              <w:tc>
                <w:tcPr>
                  <w:tcW w:w="703" w:type="dxa"/>
                  <w:vAlign w:val="center"/>
                </w:tcPr>
                <w:p w14:paraId="7F1C537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b/>
                      <w:bCs/>
                      <w:sz w:val="21"/>
                      <w:szCs w:val="21"/>
                    </w:rPr>
                  </w:pPr>
                  <w:r>
                    <w:rPr>
                      <w:rFonts w:hint="eastAsia"/>
                      <w:sz w:val="21"/>
                      <w:szCs w:val="21"/>
                    </w:rPr>
                    <w:t>二、园区外工业项目类别</w:t>
                  </w:r>
                </w:p>
              </w:tc>
              <w:tc>
                <w:tcPr>
                  <w:tcW w:w="4349" w:type="dxa"/>
                  <w:vAlign w:val="center"/>
                </w:tcPr>
                <w:p w14:paraId="0D6F46CC">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(一) 农副产品初加工项目</w:t>
                  </w:r>
                  <w:r>
                    <w:rPr>
                      <w:rFonts w:hint="eastAsia"/>
                      <w:sz w:val="21"/>
                      <w:szCs w:val="21"/>
                      <w:lang w:eastAsia="zh-CN"/>
                    </w:rPr>
                    <w:t>；</w:t>
                  </w:r>
                </w:p>
                <w:p w14:paraId="5411088F">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(二) 原材料采用本地矿产、林产资源的制造业项目</w:t>
                  </w:r>
                  <w:r>
                    <w:rPr>
                      <w:rFonts w:hint="eastAsia"/>
                      <w:sz w:val="21"/>
                      <w:szCs w:val="21"/>
                      <w:lang w:eastAsia="zh-CN"/>
                    </w:rPr>
                    <w:t>；</w:t>
                  </w:r>
                </w:p>
                <w:p w14:paraId="1A78A9A0">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(三) 矿产资源开采项目</w:t>
                  </w:r>
                  <w:r>
                    <w:rPr>
                      <w:rFonts w:hint="eastAsia"/>
                      <w:sz w:val="21"/>
                      <w:szCs w:val="21"/>
                      <w:lang w:eastAsia="zh-CN"/>
                    </w:rPr>
                    <w:t>；</w:t>
                  </w:r>
                </w:p>
                <w:p w14:paraId="5D0E167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(四) 风力发电、光伏发电等新能源发电和储能项目</w:t>
                  </w:r>
                  <w:r>
                    <w:rPr>
                      <w:rFonts w:hint="eastAsia"/>
                      <w:sz w:val="21"/>
                      <w:szCs w:val="21"/>
                      <w:lang w:eastAsia="zh-CN"/>
                    </w:rPr>
                    <w:t>；</w:t>
                  </w:r>
                </w:p>
                <w:p w14:paraId="6D274DDC">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(五) 免烧砖、石料、混凝土搅拌站等建材生产项目</w:t>
                  </w:r>
                  <w:r>
                    <w:rPr>
                      <w:rFonts w:hint="eastAsia"/>
                      <w:sz w:val="21"/>
                      <w:szCs w:val="21"/>
                      <w:lang w:eastAsia="zh-CN"/>
                    </w:rPr>
                    <w:t>；</w:t>
                  </w:r>
                </w:p>
                <w:p w14:paraId="75667712">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(六) 农业农村经济建设、社会发展需要的村集体经济项目</w:t>
                  </w:r>
                  <w:r>
                    <w:rPr>
                      <w:rFonts w:hint="eastAsia"/>
                      <w:sz w:val="21"/>
                      <w:szCs w:val="21"/>
                      <w:lang w:eastAsia="zh-CN"/>
                    </w:rPr>
                    <w:t>；</w:t>
                  </w:r>
                </w:p>
                <w:p w14:paraId="5E1C206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(七) 昆发〔2021〕12 号文件印发前已建成的园区外工业企业进行的技改、转型或租赁建设的制造业项目</w:t>
                  </w:r>
                  <w:r>
                    <w:rPr>
                      <w:rFonts w:hint="eastAsia"/>
                      <w:sz w:val="21"/>
                      <w:szCs w:val="21"/>
                      <w:lang w:eastAsia="zh-CN"/>
                    </w:rPr>
                    <w:t>；</w:t>
                  </w:r>
                </w:p>
                <w:p w14:paraId="51F0C72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18"/>
                      <w:szCs w:val="18"/>
                      <w:lang w:eastAsia="zh-CN"/>
                    </w:rPr>
                  </w:pPr>
                  <w:r>
                    <w:rPr>
                      <w:rFonts w:hint="eastAsia"/>
                      <w:sz w:val="21"/>
                      <w:szCs w:val="21"/>
                    </w:rPr>
                    <w:t>(八) 其他达不到入园条件和标准的手工业和一般加工制造类项目</w:t>
                  </w:r>
                  <w:r>
                    <w:rPr>
                      <w:rFonts w:hint="eastAsia"/>
                      <w:sz w:val="21"/>
                      <w:szCs w:val="21"/>
                      <w:lang w:eastAsia="zh-CN"/>
                    </w:rPr>
                    <w:t>；</w:t>
                  </w:r>
                </w:p>
                <w:p w14:paraId="7CBBAD4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b/>
                      <w:bCs/>
                      <w:sz w:val="21"/>
                      <w:szCs w:val="21"/>
                    </w:rPr>
                  </w:pPr>
                  <w:r>
                    <w:rPr>
                      <w:rFonts w:hint="eastAsia"/>
                      <w:sz w:val="21"/>
                      <w:szCs w:val="21"/>
                    </w:rPr>
                    <w:t xml:space="preserve"> (九) 经县人民政府研究同意的其他工业项目。 </w:t>
                  </w:r>
                </w:p>
              </w:tc>
              <w:tc>
                <w:tcPr>
                  <w:tcW w:w="3068" w:type="dxa"/>
                  <w:vAlign w:val="center"/>
                </w:tcPr>
                <w:p w14:paraId="46F2CEDD">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本项目属于（五）混凝土搅拌站项目</w:t>
                  </w:r>
                  <w:r>
                    <w:rPr>
                      <w:rFonts w:hint="eastAsia"/>
                      <w:sz w:val="21"/>
                      <w:szCs w:val="21"/>
                      <w:lang w:eastAsia="zh-CN"/>
                    </w:rPr>
                    <w:t>，</w:t>
                  </w:r>
                  <w:r>
                    <w:rPr>
                      <w:rFonts w:hint="eastAsia"/>
                      <w:sz w:val="21"/>
                      <w:szCs w:val="21"/>
                    </w:rPr>
                    <w:t>已取得寻甸回族彝族自治县科学技术和工业信息化局</w:t>
                  </w:r>
                  <w:r>
                    <w:rPr>
                      <w:rFonts w:hint="eastAsia"/>
                      <w:sz w:val="21"/>
                      <w:szCs w:val="21"/>
                      <w:lang w:val="en-US" w:eastAsia="zh-CN"/>
                    </w:rPr>
                    <w:t>出具的《</w:t>
                  </w:r>
                  <w:r>
                    <w:rPr>
                      <w:rFonts w:hint="eastAsia"/>
                      <w:sz w:val="21"/>
                      <w:szCs w:val="21"/>
                    </w:rPr>
                    <w:t>关于寻甸福兴宏盛土石方工程有限公司10万吨/年沥青混凝土搅拌站建设项目不进工业园区选址的批复</w:t>
                  </w:r>
                  <w:r>
                    <w:rPr>
                      <w:rFonts w:hint="eastAsia"/>
                      <w:sz w:val="21"/>
                      <w:szCs w:val="21"/>
                      <w:lang w:val="en-US" w:eastAsia="zh-CN"/>
                    </w:rPr>
                    <w:t>》</w:t>
                  </w:r>
                  <w:r>
                    <w:rPr>
                      <w:rFonts w:hint="eastAsia"/>
                      <w:sz w:val="21"/>
                      <w:szCs w:val="21"/>
                    </w:rPr>
                    <w:t>（寻科工信复〔202</w:t>
                  </w:r>
                  <w:r>
                    <w:rPr>
                      <w:rFonts w:hint="eastAsia"/>
                      <w:sz w:val="21"/>
                      <w:szCs w:val="21"/>
                      <w:lang w:val="en-US" w:eastAsia="zh-CN"/>
                    </w:rPr>
                    <w:t>5</w:t>
                  </w:r>
                  <w:r>
                    <w:rPr>
                      <w:rFonts w:hint="eastAsia"/>
                      <w:sz w:val="21"/>
                      <w:szCs w:val="21"/>
                    </w:rPr>
                    <w:t>〕</w:t>
                  </w:r>
                  <w:r>
                    <w:rPr>
                      <w:rFonts w:hint="eastAsia"/>
                      <w:sz w:val="21"/>
                      <w:szCs w:val="21"/>
                      <w:lang w:val="en-US" w:eastAsia="zh-CN"/>
                    </w:rPr>
                    <w:t>6</w:t>
                  </w:r>
                  <w:r>
                    <w:rPr>
                      <w:rFonts w:hint="eastAsia"/>
                      <w:sz w:val="21"/>
                      <w:szCs w:val="21"/>
                    </w:rPr>
                    <w:t>号）</w:t>
                  </w:r>
                  <w:r>
                    <w:rPr>
                      <w:rFonts w:hint="eastAsia"/>
                      <w:sz w:val="21"/>
                      <w:szCs w:val="21"/>
                      <w:lang w:eastAsia="zh-CN"/>
                    </w:rPr>
                    <w:t>。</w:t>
                  </w:r>
                </w:p>
              </w:tc>
              <w:tc>
                <w:tcPr>
                  <w:tcW w:w="598" w:type="dxa"/>
                  <w:vAlign w:val="center"/>
                </w:tcPr>
                <w:p w14:paraId="6BF6C0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sz w:val="21"/>
                      <w:szCs w:val="21"/>
                    </w:rPr>
                    <w:t>符合</w:t>
                  </w:r>
                </w:p>
              </w:tc>
            </w:tr>
            <w:tr w14:paraId="47510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dxa"/>
                  <w:vAlign w:val="center"/>
                </w:tcPr>
                <w:p w14:paraId="6A41376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b/>
                      <w:bCs/>
                      <w:sz w:val="21"/>
                      <w:szCs w:val="21"/>
                    </w:rPr>
                  </w:pPr>
                  <w:r>
                    <w:rPr>
                      <w:rFonts w:hint="eastAsia"/>
                      <w:sz w:val="21"/>
                      <w:szCs w:val="21"/>
                    </w:rPr>
                    <w:t>三、相关政策要求</w:t>
                  </w:r>
                </w:p>
              </w:tc>
              <w:tc>
                <w:tcPr>
                  <w:tcW w:w="4349" w:type="dxa"/>
                  <w:vAlign w:val="center"/>
                </w:tcPr>
                <w:p w14:paraId="7C50E8D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sz w:val="21"/>
                      <w:szCs w:val="21"/>
                    </w:rPr>
                  </w:pPr>
                  <w:r>
                    <w:rPr>
                      <w:rFonts w:hint="eastAsia"/>
                      <w:sz w:val="21"/>
                      <w:szCs w:val="21"/>
                    </w:rPr>
                    <w:t>(一) 项目类别属于《产业结构调整指导目录( 2024年本)》明确的限制类、淘汰类的，不予办理审查备案</w:t>
                  </w:r>
                  <w:r>
                    <w:rPr>
                      <w:rFonts w:hint="eastAsia"/>
                      <w:sz w:val="21"/>
                      <w:szCs w:val="21"/>
                      <w:lang w:eastAsia="zh-CN"/>
                    </w:rPr>
                    <w:t>；</w:t>
                  </w:r>
                  <w:r>
                    <w:rPr>
                      <w:rFonts w:hint="eastAsia"/>
                      <w:sz w:val="21"/>
                      <w:szCs w:val="21"/>
                    </w:rPr>
                    <w:t xml:space="preserve"> </w:t>
                  </w:r>
                </w:p>
                <w:p w14:paraId="23CE988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(二) 项目需符合寻甸回族彝族自治县经济社会发展规划、产业布局规划和乡镇(街道)发展规划</w:t>
                  </w:r>
                  <w:r>
                    <w:rPr>
                      <w:rFonts w:hint="eastAsia"/>
                      <w:sz w:val="21"/>
                      <w:szCs w:val="21"/>
                      <w:lang w:eastAsia="zh-CN"/>
                    </w:rPr>
                    <w:t>；</w:t>
                  </w:r>
                </w:p>
                <w:p w14:paraId="7EB48426">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eastAsia="宋体"/>
                      <w:sz w:val="21"/>
                      <w:szCs w:val="21"/>
                      <w:lang w:eastAsia="zh-CN"/>
                    </w:rPr>
                  </w:pPr>
                  <w:r>
                    <w:rPr>
                      <w:rFonts w:hint="eastAsia"/>
                      <w:sz w:val="21"/>
                      <w:szCs w:val="21"/>
                    </w:rPr>
                    <w:t>(三) 项目选址位于牛栏江流域保护区、清水海水源保护区、黑颈鹤自然保护区范围内的，按照相关法律法规执行</w:t>
                  </w:r>
                  <w:r>
                    <w:rPr>
                      <w:rFonts w:hint="eastAsia"/>
                      <w:sz w:val="21"/>
                      <w:szCs w:val="21"/>
                      <w:lang w:eastAsia="zh-CN"/>
                    </w:rPr>
                    <w:t>；</w:t>
                  </w:r>
                </w:p>
                <w:p w14:paraId="7220672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sz w:val="21"/>
                      <w:szCs w:val="21"/>
                    </w:rPr>
                  </w:pPr>
                  <w:r>
                    <w:rPr>
                      <w:rFonts w:hint="eastAsia"/>
                      <w:sz w:val="21"/>
                      <w:szCs w:val="21"/>
                    </w:rPr>
                    <w:t xml:space="preserve"> (四) 昆发〔2021〕12号文件印发前已建成的园区外工业企业进行技改、转型或租赁建设的，原则上不得新增用地</w:t>
                  </w:r>
                  <w:r>
                    <w:rPr>
                      <w:rFonts w:hint="eastAsia"/>
                      <w:sz w:val="21"/>
                      <w:szCs w:val="21"/>
                      <w:lang w:eastAsia="zh-CN"/>
                    </w:rPr>
                    <w:t>；</w:t>
                  </w:r>
                  <w:r>
                    <w:rPr>
                      <w:rFonts w:hint="eastAsia"/>
                      <w:sz w:val="21"/>
                      <w:szCs w:val="21"/>
                    </w:rPr>
                    <w:t xml:space="preserve"> </w:t>
                  </w:r>
                </w:p>
                <w:p w14:paraId="62F6DE5A">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b/>
                      <w:bCs/>
                      <w:sz w:val="21"/>
                      <w:szCs w:val="21"/>
                    </w:rPr>
                  </w:pPr>
                  <w:r>
                    <w:rPr>
                      <w:rFonts w:hint="eastAsia"/>
                      <w:sz w:val="21"/>
                      <w:szCs w:val="21"/>
                    </w:rPr>
                    <w:t>(五) 对新引进工业用地500亩或投资10亿元以下的制造业项目，由县人民政府按照《昆明市人民政府办公厅关于印发昆明市实施工业攻坚项目投资准入标准指导意见(试行)的通知》(昆政办〔 2018 〕92号)对投资强度、税收强度、环保节能等准入指标进行审查，报市工高办备案;对工业用地500亩或投资10亿元以上(含用地500亩或投资10亿元)的重大制造业项目，由县人民政府同市工业和信息化局联合审查。</w:t>
                  </w:r>
                </w:p>
              </w:tc>
              <w:tc>
                <w:tcPr>
                  <w:tcW w:w="3068" w:type="dxa"/>
                  <w:vAlign w:val="center"/>
                </w:tcPr>
                <w:p w14:paraId="33BD198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sz w:val="21"/>
                      <w:szCs w:val="21"/>
                    </w:rPr>
                  </w:pPr>
                  <w:r>
                    <w:rPr>
                      <w:rFonts w:hint="eastAsia"/>
                      <w:sz w:val="21"/>
                      <w:szCs w:val="21"/>
                    </w:rPr>
                    <w:t>本项目为沥青混凝土</w:t>
                  </w:r>
                  <w:r>
                    <w:rPr>
                      <w:rFonts w:hint="eastAsia"/>
                      <w:sz w:val="21"/>
                      <w:szCs w:val="21"/>
                      <w:lang w:val="en-US" w:eastAsia="zh-CN"/>
                    </w:rPr>
                    <w:t>生产</w:t>
                  </w:r>
                  <w:r>
                    <w:rPr>
                      <w:rFonts w:hint="eastAsia"/>
                      <w:sz w:val="21"/>
                      <w:szCs w:val="21"/>
                    </w:rPr>
                    <w:t>项目，根据《产业结构调整指导目录（2024年本）》不属于鼓励类、限制类和淘汰，项目属于允许类，故项目符合国家相关产业政策。且项目于202</w:t>
                  </w:r>
                  <w:r>
                    <w:rPr>
                      <w:rFonts w:hint="eastAsia"/>
                      <w:sz w:val="21"/>
                      <w:szCs w:val="21"/>
                      <w:lang w:val="en-US" w:eastAsia="zh-CN"/>
                    </w:rPr>
                    <w:t>5</w:t>
                  </w:r>
                  <w:r>
                    <w:rPr>
                      <w:rFonts w:hint="eastAsia"/>
                      <w:sz w:val="21"/>
                      <w:szCs w:val="21"/>
                    </w:rPr>
                    <w:t>年</w:t>
                  </w:r>
                  <w:r>
                    <w:rPr>
                      <w:rFonts w:hint="eastAsia"/>
                      <w:sz w:val="21"/>
                      <w:szCs w:val="21"/>
                      <w:lang w:val="en-US" w:eastAsia="zh-CN"/>
                    </w:rPr>
                    <w:t>3</w:t>
                  </w:r>
                  <w:r>
                    <w:rPr>
                      <w:rFonts w:hint="eastAsia"/>
                      <w:sz w:val="21"/>
                      <w:szCs w:val="21"/>
                    </w:rPr>
                    <w:t>月</w:t>
                  </w:r>
                  <w:r>
                    <w:rPr>
                      <w:rFonts w:hint="eastAsia"/>
                      <w:sz w:val="21"/>
                      <w:szCs w:val="21"/>
                      <w:lang w:val="en-US" w:eastAsia="zh-CN"/>
                    </w:rPr>
                    <w:t>19</w:t>
                  </w:r>
                  <w:r>
                    <w:rPr>
                      <w:rFonts w:hint="eastAsia"/>
                      <w:sz w:val="21"/>
                      <w:szCs w:val="21"/>
                    </w:rPr>
                    <w:t>日取得《云南省固定资产投资项目备案证》（项目代码：</w:t>
                  </w:r>
                  <w:r>
                    <w:rPr>
                      <w:rFonts w:hint="eastAsia"/>
                      <w:sz w:val="21"/>
                      <w:szCs w:val="21"/>
                      <w:lang w:val="en-US" w:eastAsia="zh-CN"/>
                    </w:rPr>
                    <w:t>2504-530129-04-01-528969</w:t>
                  </w:r>
                  <w:r>
                    <w:rPr>
                      <w:rFonts w:hint="eastAsia"/>
                      <w:sz w:val="21"/>
                      <w:szCs w:val="21"/>
                    </w:rPr>
                    <w:t>）。本项目厂址位于云南省昆明市寻甸县仁德街道道院社区大发古村石头山采石场，</w:t>
                  </w:r>
                  <w:r>
                    <w:rPr>
                      <w:rFonts w:hint="eastAsia"/>
                      <w:color w:val="auto"/>
                      <w:sz w:val="21"/>
                      <w:szCs w:val="21"/>
                      <w:lang w:val="en-US" w:eastAsia="zh-CN"/>
                    </w:rPr>
                    <w:t>选址涉及</w:t>
                  </w:r>
                  <w:r>
                    <w:rPr>
                      <w:rFonts w:hint="eastAsia"/>
                      <w:color w:val="auto"/>
                      <w:sz w:val="21"/>
                      <w:szCs w:val="21"/>
                    </w:rPr>
                    <w:t>牛栏江流域保护区</w:t>
                  </w:r>
                  <w:r>
                    <w:rPr>
                      <w:rFonts w:hint="eastAsia"/>
                      <w:color w:val="auto"/>
                      <w:sz w:val="21"/>
                      <w:szCs w:val="21"/>
                      <w:lang w:eastAsia="zh-CN"/>
                    </w:rPr>
                    <w:t>，</w:t>
                  </w:r>
                  <w:r>
                    <w:rPr>
                      <w:rFonts w:hint="eastAsia"/>
                      <w:color w:val="auto"/>
                      <w:sz w:val="21"/>
                      <w:szCs w:val="21"/>
                      <w:lang w:val="en-US" w:eastAsia="zh-CN"/>
                    </w:rPr>
                    <w:t>严格按照相关法律法规执行</w:t>
                  </w:r>
                  <w:r>
                    <w:rPr>
                      <w:rFonts w:hint="eastAsia"/>
                      <w:color w:val="auto"/>
                      <w:lang w:eastAsia="zh-CN"/>
                    </w:rPr>
                    <w:t>，</w:t>
                  </w:r>
                  <w:r>
                    <w:rPr>
                      <w:rFonts w:hint="eastAsia"/>
                      <w:sz w:val="21"/>
                      <w:szCs w:val="21"/>
                      <w:lang w:val="en-US" w:eastAsia="zh-CN"/>
                    </w:rPr>
                    <w:t>不涉及</w:t>
                  </w:r>
                  <w:r>
                    <w:rPr>
                      <w:rFonts w:hint="eastAsia"/>
                      <w:sz w:val="21"/>
                      <w:szCs w:val="21"/>
                    </w:rPr>
                    <w:t>清水海水源保护区、黑颈鹤自然保护区范围内。</w:t>
                  </w:r>
                </w:p>
              </w:tc>
              <w:tc>
                <w:tcPr>
                  <w:tcW w:w="598" w:type="dxa"/>
                  <w:vAlign w:val="center"/>
                </w:tcPr>
                <w:p w14:paraId="788953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sz w:val="21"/>
                      <w:szCs w:val="21"/>
                    </w:rPr>
                  </w:pPr>
                  <w:r>
                    <w:rPr>
                      <w:rFonts w:hint="eastAsia"/>
                      <w:sz w:val="21"/>
                      <w:szCs w:val="21"/>
                    </w:rPr>
                    <w:t>符合</w:t>
                  </w:r>
                </w:p>
              </w:tc>
            </w:tr>
          </w:tbl>
          <w:p w14:paraId="3119A420">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b/>
                <w:bCs/>
              </w:rPr>
            </w:pPr>
            <w:r>
              <w:rPr>
                <w:rFonts w:hint="eastAsia"/>
                <w:bCs/>
                <w:kern w:val="44"/>
                <w:szCs w:val="30"/>
                <w:lang w:val="en-US" w:eastAsia="zh-CN"/>
              </w:rPr>
              <w:t>综上分析</w:t>
            </w:r>
            <w:r>
              <w:rPr>
                <w:bCs/>
                <w:kern w:val="44"/>
                <w:szCs w:val="30"/>
              </w:rPr>
              <w:t>，本项目符合</w:t>
            </w:r>
            <w:r>
              <w:rPr>
                <w:rFonts w:hint="eastAsia"/>
                <w:bCs/>
                <w:kern w:val="44"/>
                <w:szCs w:val="30"/>
              </w:rPr>
              <w:t>《关于印发云南寻甸产业园区外工业项目管理工作方案的通知》</w:t>
            </w:r>
            <w:r>
              <w:rPr>
                <w:bCs/>
                <w:kern w:val="44"/>
                <w:szCs w:val="30"/>
              </w:rPr>
              <w:t>的要求。</w:t>
            </w:r>
          </w:p>
          <w:p w14:paraId="0CAF353F">
            <w:pPr>
              <w:keepNext w:val="0"/>
              <w:keepLines w:val="0"/>
              <w:widowControl/>
              <w:numPr>
                <w:ilvl w:val="0"/>
                <w:numId w:val="1"/>
              </w:numPr>
              <w:suppressLineNumbers w:val="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与《</w:t>
            </w:r>
            <w:r>
              <w:rPr>
                <w:rFonts w:hint="eastAsia" w:ascii="Times New Roman" w:hAnsi="Times New Roman" w:eastAsia="宋体" w:cs="Times New Roman"/>
                <w:b/>
                <w:bCs/>
                <w:color w:val="auto"/>
                <w:kern w:val="0"/>
                <w:sz w:val="24"/>
                <w:szCs w:val="24"/>
                <w:lang w:val="en-US" w:eastAsia="zh-CN" w:bidi="ar"/>
              </w:rPr>
              <w:t>云南省牛栏江保护条例</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val="en-US" w:eastAsia="zh-CN" w:bidi="ar"/>
              </w:rPr>
              <w:t>相符性</w:t>
            </w:r>
            <w:r>
              <w:rPr>
                <w:rFonts w:hint="default" w:ascii="Times New Roman" w:hAnsi="Times New Roman" w:eastAsia="宋体" w:cs="Times New Roman"/>
                <w:b/>
                <w:bCs/>
                <w:color w:val="auto"/>
                <w:kern w:val="0"/>
                <w:sz w:val="24"/>
                <w:szCs w:val="24"/>
                <w:lang w:val="en-US" w:eastAsia="zh-CN" w:bidi="ar"/>
              </w:rPr>
              <w:t>分析</w:t>
            </w:r>
          </w:p>
          <w:p w14:paraId="2099AFB5">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根据《云南省牛栏江保护条例》，牛栏江德泽水库坝址以上集水区域为牛栏江流域上游保护区，牛栏江德泽水库坝址以下集水区域为牛栏江流域下游保护区。</w:t>
            </w:r>
          </w:p>
          <w:p w14:paraId="24AEB538">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w:t>
            </w:r>
            <w:r>
              <w:rPr>
                <w:rFonts w:hint="eastAsia" w:ascii="Times New Roman" w:hAnsi="Times New Roman" w:eastAsia="宋体" w:cs="Times New Roman"/>
                <w:color w:val="auto"/>
                <w:sz w:val="24"/>
                <w:lang w:eastAsia="zh-CN"/>
              </w:rPr>
              <w:t>项目</w:t>
            </w:r>
            <w:r>
              <w:rPr>
                <w:rFonts w:hint="eastAsia" w:ascii="Times New Roman" w:hAnsi="Times New Roman" w:eastAsia="宋体" w:cs="Times New Roman"/>
                <w:color w:val="auto"/>
                <w:sz w:val="24"/>
                <w:lang w:val="en-US" w:eastAsia="zh-CN"/>
              </w:rPr>
              <w:t>位于寻甸县仁德街道道院社区大发古村石头山采石场内，</w:t>
            </w:r>
            <w:r>
              <w:rPr>
                <w:rFonts w:hint="eastAsia" w:cs="Times New Roman"/>
                <w:color w:val="auto"/>
                <w:sz w:val="24"/>
                <w:lang w:val="en-US" w:eastAsia="zh-CN"/>
              </w:rPr>
              <w:t>位于牛栏江西侧约1.4km，属于</w:t>
            </w:r>
            <w:r>
              <w:rPr>
                <w:rFonts w:hint="eastAsia" w:ascii="Times New Roman" w:hAnsi="Times New Roman" w:eastAsia="宋体" w:cs="Times New Roman"/>
                <w:color w:val="auto"/>
                <w:sz w:val="24"/>
                <w:lang w:val="en-US" w:eastAsia="zh-CN"/>
              </w:rPr>
              <w:t>牛栏江</w:t>
            </w:r>
            <w:r>
              <w:rPr>
                <w:rFonts w:hint="eastAsia" w:cs="Times New Roman"/>
                <w:color w:val="auto"/>
                <w:sz w:val="24"/>
                <w:lang w:val="en-US" w:eastAsia="zh-CN"/>
              </w:rPr>
              <w:t>上</w:t>
            </w:r>
            <w:r>
              <w:rPr>
                <w:rFonts w:hint="eastAsia" w:ascii="Times New Roman" w:hAnsi="Times New Roman" w:eastAsia="宋体" w:cs="Times New Roman"/>
                <w:color w:val="auto"/>
                <w:sz w:val="24"/>
                <w:lang w:val="en-US" w:eastAsia="zh-CN"/>
              </w:rPr>
              <w:t>游</w:t>
            </w:r>
            <w:r>
              <w:rPr>
                <w:rFonts w:hint="eastAsia" w:cs="Times New Roman"/>
                <w:color w:val="auto"/>
                <w:sz w:val="24"/>
                <w:lang w:val="en-US" w:eastAsia="zh-CN"/>
              </w:rPr>
              <w:t>重点污染控制</w:t>
            </w:r>
            <w:r>
              <w:rPr>
                <w:rFonts w:hint="eastAsia" w:ascii="Times New Roman" w:hAnsi="Times New Roman" w:eastAsia="宋体" w:cs="Times New Roman"/>
                <w:color w:val="auto"/>
                <w:sz w:val="24"/>
                <w:lang w:val="en-US" w:eastAsia="zh-CN"/>
              </w:rPr>
              <w:t>区，</w:t>
            </w:r>
            <w:r>
              <w:rPr>
                <w:rFonts w:hint="eastAsia" w:ascii="Times New Roman" w:hAnsi="Times New Roman" w:eastAsia="宋体" w:cs="Times New Roman"/>
                <w:color w:val="auto"/>
                <w:sz w:val="24"/>
                <w:lang w:eastAsia="zh-CN"/>
              </w:rPr>
              <w:t>与《</w:t>
            </w:r>
            <w:r>
              <w:rPr>
                <w:rFonts w:hint="eastAsia" w:ascii="Times New Roman" w:hAnsi="Times New Roman" w:eastAsia="宋体" w:cs="Times New Roman"/>
                <w:color w:val="auto"/>
                <w:sz w:val="24"/>
                <w:lang w:val="en-US" w:eastAsia="zh-CN"/>
              </w:rPr>
              <w:t>云南省牛栏江保护条例</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中相关内容</w:t>
            </w:r>
            <w:r>
              <w:rPr>
                <w:rFonts w:hint="eastAsia" w:ascii="Times New Roman" w:hAnsi="Times New Roman" w:eastAsia="宋体" w:cs="Times New Roman"/>
                <w:color w:val="auto"/>
                <w:sz w:val="24"/>
                <w:lang w:eastAsia="zh-CN"/>
              </w:rPr>
              <w:t>的符合性分析</w:t>
            </w:r>
            <w:r>
              <w:rPr>
                <w:rFonts w:hint="eastAsia" w:ascii="Times New Roman" w:hAnsi="Times New Roman" w:eastAsia="宋体" w:cs="Times New Roman"/>
                <w:color w:val="auto"/>
                <w:sz w:val="24"/>
                <w:lang w:val="en-US" w:eastAsia="zh-CN"/>
              </w:rPr>
              <w:t>详见下表</w:t>
            </w:r>
            <w:r>
              <w:rPr>
                <w:rFonts w:ascii="Times New Roman" w:hAnsi="Times New Roman" w:eastAsia="宋体" w:cs="Times New Roman"/>
                <w:color w:val="auto"/>
                <w:sz w:val="24"/>
              </w:rPr>
              <w:t>1</w:t>
            </w:r>
            <w:r>
              <w:rPr>
                <w:rFonts w:hint="eastAsia" w:ascii="Times New Roman" w:hAnsi="Times New Roman" w:eastAsia="宋体" w:cs="Times New Roman"/>
                <w:color w:val="auto"/>
                <w:sz w:val="24"/>
              </w:rPr>
              <w:t>-</w:t>
            </w:r>
            <w:r>
              <w:rPr>
                <w:rFonts w:hint="eastAsia" w:cs="Times New Roman"/>
                <w:color w:val="auto"/>
                <w:sz w:val="24"/>
                <w:lang w:val="en-US" w:eastAsia="zh-CN"/>
              </w:rPr>
              <w:t>11</w:t>
            </w:r>
            <w:r>
              <w:rPr>
                <w:rFonts w:ascii="Times New Roman" w:hAnsi="Times New Roman" w:eastAsia="宋体" w:cs="Times New Roman"/>
                <w:color w:val="auto"/>
                <w:sz w:val="24"/>
              </w:rPr>
              <w:t>。</w:t>
            </w:r>
          </w:p>
          <w:p w14:paraId="56824B7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11</w:t>
            </w:r>
            <w:r>
              <w:rPr>
                <w:rFonts w:hint="eastAsia" w:ascii="Times New Roman" w:hAnsi="Times New Roman" w:eastAsia="宋体" w:cs="Times New Roman"/>
                <w:b/>
                <w:bCs/>
                <w:color w:val="auto"/>
                <w:kern w:val="0"/>
                <w:sz w:val="21"/>
                <w:szCs w:val="21"/>
                <w:lang w:val="en-US" w:eastAsia="zh-CN" w:bidi="ar"/>
              </w:rPr>
              <w:t xml:space="preserve">  与《云南省牛栏江保护条例》符合性分析</w:t>
            </w:r>
          </w:p>
          <w:tbl>
            <w:tblPr>
              <w:tblStyle w:val="16"/>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3"/>
              <w:gridCol w:w="3189"/>
              <w:gridCol w:w="861"/>
            </w:tblGrid>
            <w:tr w14:paraId="2BC7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623" w:type="dxa"/>
                  <w:noWrap w:val="0"/>
                  <w:vAlign w:val="center"/>
                </w:tcPr>
                <w:p w14:paraId="61B2E34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条例</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要求</w:t>
                  </w:r>
                </w:p>
              </w:tc>
              <w:tc>
                <w:tcPr>
                  <w:tcW w:w="3189" w:type="dxa"/>
                  <w:noWrap w:val="0"/>
                  <w:vAlign w:val="center"/>
                </w:tcPr>
                <w:p w14:paraId="4EB6BDE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861" w:type="dxa"/>
                  <w:noWrap w:val="0"/>
                  <w:vAlign w:val="center"/>
                </w:tcPr>
                <w:p w14:paraId="3FC6A7E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4187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623" w:type="dxa"/>
                  <w:noWrap w:val="0"/>
                  <w:vAlign w:val="center"/>
                </w:tcPr>
                <w:p w14:paraId="755E982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第八条 牛栏江流域水体水质按照《地表水环境质量标准》Ⅲ类水质标准进行保护。</w:t>
                  </w:r>
                </w:p>
              </w:tc>
              <w:tc>
                <w:tcPr>
                  <w:tcW w:w="3189" w:type="dxa"/>
                  <w:noWrap w:val="0"/>
                  <w:vAlign w:val="center"/>
                </w:tcPr>
                <w:p w14:paraId="2B8B23D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根据《2024年度昆明市生态环境状况公报》，牛栏江与2023年相比，牛栏江干流段的四营水文站、崔家庄、七星水文站断面水质类别保持Ⅲ类不变；河口（象鼻山吊桥）断面水质类别保持Ⅱ类不变，满足</w:t>
                  </w:r>
                  <w:r>
                    <w:rPr>
                      <w:rFonts w:hint="default" w:ascii="Times New Roman" w:hAnsi="Times New Roman" w:eastAsia="宋体" w:cs="Times New Roman"/>
                      <w:b w:val="0"/>
                      <w:bCs w:val="0"/>
                      <w:color w:val="auto"/>
                      <w:kern w:val="0"/>
                      <w:sz w:val="21"/>
                      <w:szCs w:val="21"/>
                      <w:vertAlign w:val="baseline"/>
                      <w:lang w:val="en-US" w:eastAsia="zh-CN" w:bidi="ar"/>
                    </w:rPr>
                    <w:t>Ⅲ类</w:t>
                  </w:r>
                  <w:r>
                    <w:rPr>
                      <w:rFonts w:hint="eastAsia" w:cs="Times New Roman"/>
                      <w:b w:val="0"/>
                      <w:bCs w:val="0"/>
                      <w:color w:val="auto"/>
                      <w:kern w:val="0"/>
                      <w:sz w:val="21"/>
                      <w:szCs w:val="21"/>
                      <w:vertAlign w:val="baseline"/>
                      <w:lang w:val="en-US" w:eastAsia="zh-CN" w:bidi="ar"/>
                    </w:rPr>
                    <w:t>标准，本项目不向外排水，不会影响其水质。</w:t>
                  </w:r>
                </w:p>
              </w:tc>
              <w:tc>
                <w:tcPr>
                  <w:tcW w:w="861" w:type="dxa"/>
                  <w:noWrap w:val="0"/>
                  <w:vAlign w:val="center"/>
                </w:tcPr>
                <w:p w14:paraId="1119DBC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04DE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623" w:type="dxa"/>
                  <w:noWrap w:val="0"/>
                  <w:vAlign w:val="center"/>
                </w:tcPr>
                <w:p w14:paraId="6703373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第二十八条 牛栏江流域内的污水处理厂和重点污染排放工业企业应当安装水污染物排放自动监测设备，与环境保护行政主管部门的监控设备联网，并保证监测设备正常运行。</w:t>
                  </w:r>
                </w:p>
              </w:tc>
              <w:tc>
                <w:tcPr>
                  <w:tcW w:w="3189" w:type="dxa"/>
                  <w:noWrap w:val="0"/>
                  <w:vAlign w:val="center"/>
                </w:tcPr>
                <w:p w14:paraId="57C2348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本项目为沥</w:t>
                  </w:r>
                  <w:r>
                    <w:rPr>
                      <w:rFonts w:hint="eastAsia"/>
                      <w:color w:val="auto"/>
                      <w:sz w:val="21"/>
                      <w:szCs w:val="21"/>
                    </w:rPr>
                    <w:t>青混凝土</w:t>
                  </w:r>
                  <w:r>
                    <w:rPr>
                      <w:rFonts w:hint="eastAsia"/>
                      <w:color w:val="auto"/>
                      <w:sz w:val="21"/>
                      <w:szCs w:val="21"/>
                      <w:lang w:val="en-US" w:eastAsia="zh-CN"/>
                    </w:rPr>
                    <w:t>生产</w:t>
                  </w:r>
                  <w:r>
                    <w:rPr>
                      <w:rFonts w:hint="eastAsia"/>
                      <w:color w:val="auto"/>
                      <w:sz w:val="21"/>
                      <w:szCs w:val="21"/>
                    </w:rPr>
                    <w:t>项目</w:t>
                  </w:r>
                  <w:r>
                    <w:rPr>
                      <w:rFonts w:hint="eastAsia" w:ascii="Times New Roman" w:hAnsi="Times New Roman" w:eastAsia="宋体" w:cs="Times New Roman"/>
                      <w:b w:val="0"/>
                      <w:bCs w:val="0"/>
                      <w:color w:val="auto"/>
                      <w:kern w:val="0"/>
                      <w:sz w:val="21"/>
                      <w:szCs w:val="21"/>
                      <w:vertAlign w:val="baseline"/>
                      <w:lang w:val="en-US" w:eastAsia="zh-CN" w:bidi="ar"/>
                    </w:rPr>
                    <w:t>，生产过程中无废水外排。</w:t>
                  </w:r>
                </w:p>
              </w:tc>
              <w:tc>
                <w:tcPr>
                  <w:tcW w:w="861" w:type="dxa"/>
                  <w:noWrap w:val="0"/>
                  <w:vAlign w:val="center"/>
                </w:tcPr>
                <w:p w14:paraId="2288AD8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76F3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623" w:type="dxa"/>
                  <w:noWrap w:val="0"/>
                  <w:vAlign w:val="center"/>
                </w:tcPr>
                <w:p w14:paraId="5AF872B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第二十九条 县级以上人民政府应当组织建设城镇生活垃圾分类收集、转运和集中处理设施，对生活垃圾进行安全处置；对人畜粪便、生活垃圾等废弃物进行资源化、减量化、无害化处理和农田固体废弃物的资源化利用。</w:t>
                  </w:r>
                </w:p>
              </w:tc>
              <w:tc>
                <w:tcPr>
                  <w:tcW w:w="3189" w:type="dxa"/>
                  <w:noWrap w:val="0"/>
                  <w:vAlign w:val="center"/>
                </w:tcPr>
                <w:p w14:paraId="7BED8082">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本项目产生的生活垃圾均得到合理处置。</w:t>
                  </w:r>
                </w:p>
              </w:tc>
              <w:tc>
                <w:tcPr>
                  <w:tcW w:w="861" w:type="dxa"/>
                  <w:noWrap w:val="0"/>
                  <w:vAlign w:val="center"/>
                </w:tcPr>
                <w:p w14:paraId="5EC6B40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517D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623" w:type="dxa"/>
                  <w:noWrap w:val="0"/>
                  <w:vAlign w:val="center"/>
                </w:tcPr>
                <w:p w14:paraId="0FD2775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第三十三条 重点污染控制区内除重点水源涵养区禁止的行为外，还禁止下列行为：</w:t>
                  </w:r>
                </w:p>
                <w:p w14:paraId="1E9D953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（一）新建、扩建工业园区；</w:t>
                  </w:r>
                </w:p>
                <w:p w14:paraId="5547A27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（二）新建、扩建重点水污染物排放的工业项目；</w:t>
                  </w:r>
                </w:p>
                <w:p w14:paraId="5BF88D9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（三）新建、改建、扩建经营性陵园、公墓。</w:t>
                  </w:r>
                </w:p>
              </w:tc>
              <w:tc>
                <w:tcPr>
                  <w:tcW w:w="3189" w:type="dxa"/>
                  <w:noWrap w:val="0"/>
                  <w:vAlign w:val="center"/>
                </w:tcPr>
                <w:p w14:paraId="3A27725B">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本项目</w:t>
                  </w:r>
                  <w:r>
                    <w:rPr>
                      <w:rFonts w:hint="eastAsia" w:ascii="Times New Roman" w:hAnsi="Times New Roman" w:eastAsia="宋体" w:cs="Times New Roman"/>
                      <w:b w:val="0"/>
                      <w:bCs w:val="0"/>
                      <w:color w:val="auto"/>
                      <w:kern w:val="0"/>
                      <w:sz w:val="21"/>
                      <w:szCs w:val="21"/>
                      <w:vertAlign w:val="baseline"/>
                      <w:lang w:val="en-US" w:eastAsia="zh-CN" w:bidi="ar"/>
                    </w:rPr>
                    <w:t>为沥</w:t>
                  </w:r>
                  <w:r>
                    <w:rPr>
                      <w:rFonts w:hint="eastAsia"/>
                      <w:color w:val="auto"/>
                      <w:sz w:val="21"/>
                      <w:szCs w:val="21"/>
                    </w:rPr>
                    <w:t>青混凝土</w:t>
                  </w:r>
                  <w:r>
                    <w:rPr>
                      <w:rFonts w:hint="eastAsia"/>
                      <w:color w:val="auto"/>
                      <w:sz w:val="21"/>
                      <w:szCs w:val="21"/>
                      <w:lang w:val="en-US" w:eastAsia="zh-CN"/>
                    </w:rPr>
                    <w:t>生产</w:t>
                  </w:r>
                  <w:r>
                    <w:rPr>
                      <w:rFonts w:hint="eastAsia"/>
                      <w:color w:val="auto"/>
                      <w:sz w:val="21"/>
                      <w:szCs w:val="21"/>
                    </w:rPr>
                    <w:t>项目</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不属于工业园区、</w:t>
                  </w:r>
                  <w:r>
                    <w:rPr>
                      <w:rFonts w:hint="default" w:ascii="Times New Roman" w:hAnsi="Times New Roman" w:eastAsia="宋体" w:cs="Times New Roman"/>
                      <w:b w:val="0"/>
                      <w:bCs w:val="0"/>
                      <w:color w:val="auto"/>
                      <w:kern w:val="0"/>
                      <w:sz w:val="21"/>
                      <w:szCs w:val="21"/>
                      <w:vertAlign w:val="baseline"/>
                      <w:lang w:val="en-US" w:eastAsia="zh-CN" w:bidi="ar"/>
                    </w:rPr>
                    <w:t>经营性陵园、公墓</w:t>
                  </w:r>
                  <w:r>
                    <w:rPr>
                      <w:rFonts w:hint="eastAsia" w:cs="Times New Roman"/>
                      <w:b w:val="0"/>
                      <w:bCs w:val="0"/>
                      <w:color w:val="auto"/>
                      <w:kern w:val="0"/>
                      <w:sz w:val="21"/>
                      <w:szCs w:val="21"/>
                      <w:vertAlign w:val="baseline"/>
                      <w:lang w:val="en-US" w:eastAsia="zh-CN" w:bidi="ar"/>
                    </w:rPr>
                    <w:t>建设，生产过程中无废水排放。</w:t>
                  </w:r>
                </w:p>
              </w:tc>
              <w:tc>
                <w:tcPr>
                  <w:tcW w:w="861" w:type="dxa"/>
                  <w:noWrap w:val="0"/>
                  <w:vAlign w:val="center"/>
                </w:tcPr>
                <w:p w14:paraId="729C333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r w14:paraId="57D9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3" w:type="dxa"/>
                  <w:noWrap w:val="0"/>
                  <w:vAlign w:val="center"/>
                </w:tcPr>
                <w:p w14:paraId="0CAD1E0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第三十六条 污染控制区内禁止新建、改建、扩建对水体污染严重的建设项目。</w:t>
                  </w:r>
                </w:p>
              </w:tc>
              <w:tc>
                <w:tcPr>
                  <w:tcW w:w="3189" w:type="dxa"/>
                  <w:noWrap w:val="0"/>
                  <w:vAlign w:val="center"/>
                </w:tcPr>
                <w:p w14:paraId="684593CF">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本项目为沥</w:t>
                  </w:r>
                  <w:r>
                    <w:rPr>
                      <w:rFonts w:hint="eastAsia"/>
                      <w:color w:val="auto"/>
                      <w:sz w:val="21"/>
                      <w:szCs w:val="21"/>
                    </w:rPr>
                    <w:t>青混凝土</w:t>
                  </w:r>
                  <w:r>
                    <w:rPr>
                      <w:rFonts w:hint="eastAsia"/>
                      <w:color w:val="auto"/>
                      <w:sz w:val="21"/>
                      <w:szCs w:val="21"/>
                      <w:lang w:val="en-US" w:eastAsia="zh-CN"/>
                    </w:rPr>
                    <w:t>生产</w:t>
                  </w:r>
                  <w:r>
                    <w:rPr>
                      <w:rFonts w:hint="eastAsia"/>
                      <w:color w:val="auto"/>
                      <w:sz w:val="21"/>
                      <w:szCs w:val="21"/>
                    </w:rPr>
                    <w:t>项目</w:t>
                  </w:r>
                  <w:r>
                    <w:rPr>
                      <w:rFonts w:hint="eastAsia" w:ascii="Times New Roman" w:hAnsi="Times New Roman" w:eastAsia="宋体" w:cs="Times New Roman"/>
                      <w:b w:val="0"/>
                      <w:bCs w:val="0"/>
                      <w:color w:val="auto"/>
                      <w:kern w:val="0"/>
                      <w:sz w:val="21"/>
                      <w:szCs w:val="21"/>
                      <w:vertAlign w:val="baseline"/>
                      <w:lang w:val="en-US" w:eastAsia="zh-CN" w:bidi="ar"/>
                    </w:rPr>
                    <w:t>，不属于会</w:t>
                  </w:r>
                  <w:r>
                    <w:rPr>
                      <w:rFonts w:hint="default" w:ascii="Times New Roman" w:hAnsi="Times New Roman" w:eastAsia="宋体" w:cs="Times New Roman"/>
                      <w:b w:val="0"/>
                      <w:bCs w:val="0"/>
                      <w:color w:val="auto"/>
                      <w:kern w:val="0"/>
                      <w:sz w:val="21"/>
                      <w:szCs w:val="21"/>
                      <w:vertAlign w:val="baseline"/>
                      <w:lang w:val="en-US" w:eastAsia="zh-CN" w:bidi="ar"/>
                    </w:rPr>
                    <w:t>对水体污染严重的建设项目</w:t>
                  </w:r>
                  <w:r>
                    <w:rPr>
                      <w:rFonts w:hint="eastAsia" w:ascii="Times New Roman" w:hAnsi="Times New Roman" w:eastAsia="宋体" w:cs="Times New Roman"/>
                      <w:b w:val="0"/>
                      <w:bCs w:val="0"/>
                      <w:color w:val="auto"/>
                      <w:kern w:val="0"/>
                      <w:sz w:val="21"/>
                      <w:szCs w:val="21"/>
                      <w:vertAlign w:val="baseline"/>
                      <w:lang w:val="en-US" w:eastAsia="zh-CN" w:bidi="ar"/>
                    </w:rPr>
                    <w:t>。</w:t>
                  </w:r>
                </w:p>
              </w:tc>
              <w:tc>
                <w:tcPr>
                  <w:tcW w:w="861" w:type="dxa"/>
                  <w:noWrap w:val="0"/>
                  <w:vAlign w:val="center"/>
                </w:tcPr>
                <w:p w14:paraId="68F0EBC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bl>
          <w:p w14:paraId="20666DB2">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w:t>
            </w:r>
            <w:r>
              <w:rPr>
                <w:rFonts w:hint="eastAsia" w:ascii="Times New Roman" w:hAnsi="Times New Roman" w:eastAsia="宋体" w:cs="Times New Roman"/>
                <w:color w:val="auto"/>
                <w:sz w:val="24"/>
                <w:lang w:val="en-US" w:eastAsia="zh-CN"/>
              </w:rPr>
              <w:t>云南省牛栏江保护条例</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相关要求。</w:t>
            </w:r>
          </w:p>
          <w:p w14:paraId="3DD962A6">
            <w:pPr>
              <w:keepNext w:val="0"/>
              <w:keepLines w:val="0"/>
              <w:widowControl/>
              <w:numPr>
                <w:ilvl w:val="0"/>
                <w:numId w:val="0"/>
              </w:numPr>
              <w:suppressLineNumbers w:val="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十</w:t>
            </w:r>
            <w:r>
              <w:rPr>
                <w:rFonts w:hint="eastAsia" w:cs="Times New Roman"/>
                <w:b/>
                <w:bCs/>
                <w:color w:val="auto"/>
                <w:kern w:val="0"/>
                <w:sz w:val="24"/>
                <w:szCs w:val="24"/>
                <w:lang w:val="en-US" w:eastAsia="zh-CN" w:bidi="ar"/>
              </w:rPr>
              <w:t>一</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与《</w:t>
            </w:r>
            <w:r>
              <w:rPr>
                <w:rFonts w:hint="eastAsia" w:ascii="Times New Roman" w:hAnsi="Times New Roman" w:eastAsia="宋体" w:cs="Times New Roman"/>
                <w:b/>
                <w:bCs/>
                <w:color w:val="auto"/>
                <w:kern w:val="0"/>
                <w:sz w:val="24"/>
                <w:szCs w:val="24"/>
                <w:lang w:val="en-US" w:eastAsia="zh-CN" w:bidi="ar"/>
              </w:rPr>
              <w:t>牛栏江流域（云南部分）水环境保护规划</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val="en-US" w:eastAsia="zh-CN" w:bidi="ar"/>
              </w:rPr>
              <w:t>相符性</w:t>
            </w:r>
            <w:r>
              <w:rPr>
                <w:rFonts w:hint="default" w:ascii="Times New Roman" w:hAnsi="Times New Roman" w:eastAsia="宋体" w:cs="Times New Roman"/>
                <w:b/>
                <w:bCs/>
                <w:color w:val="auto"/>
                <w:kern w:val="0"/>
                <w:sz w:val="24"/>
                <w:szCs w:val="24"/>
                <w:lang w:val="en-US" w:eastAsia="zh-CN" w:bidi="ar"/>
              </w:rPr>
              <w:t>分析</w:t>
            </w:r>
          </w:p>
          <w:p w14:paraId="7343FA4F">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本项目</w:t>
            </w:r>
            <w:r>
              <w:rPr>
                <w:rFonts w:hint="eastAsia" w:cs="Times New Roman"/>
                <w:color w:val="auto"/>
                <w:sz w:val="24"/>
                <w:lang w:val="en-US" w:eastAsia="zh-CN"/>
              </w:rPr>
              <w:t>位置属于</w:t>
            </w:r>
            <w:r>
              <w:rPr>
                <w:rFonts w:hint="eastAsia" w:ascii="Times New Roman" w:hAnsi="Times New Roman" w:eastAsia="宋体" w:cs="Times New Roman"/>
                <w:color w:val="auto"/>
                <w:sz w:val="24"/>
                <w:lang w:val="en-US" w:eastAsia="zh-CN"/>
              </w:rPr>
              <w:t>牛栏江</w:t>
            </w:r>
            <w:r>
              <w:rPr>
                <w:rFonts w:hint="eastAsia" w:cs="Times New Roman"/>
                <w:color w:val="auto"/>
                <w:sz w:val="24"/>
                <w:lang w:val="en-US" w:eastAsia="zh-CN"/>
              </w:rPr>
              <w:t>上</w:t>
            </w:r>
            <w:r>
              <w:rPr>
                <w:rFonts w:hint="eastAsia" w:ascii="Times New Roman" w:hAnsi="Times New Roman" w:eastAsia="宋体" w:cs="Times New Roman"/>
                <w:color w:val="auto"/>
                <w:sz w:val="24"/>
                <w:lang w:val="en-US" w:eastAsia="zh-CN"/>
              </w:rPr>
              <w:t>游</w:t>
            </w:r>
            <w:r>
              <w:rPr>
                <w:rFonts w:hint="eastAsia" w:cs="Times New Roman"/>
                <w:color w:val="auto"/>
                <w:sz w:val="24"/>
                <w:lang w:val="en-US" w:eastAsia="zh-CN"/>
              </w:rPr>
              <w:t>重点污染控制</w:t>
            </w:r>
            <w:r>
              <w:rPr>
                <w:rFonts w:hint="eastAsia" w:ascii="Times New Roman" w:hAnsi="Times New Roman" w:eastAsia="宋体" w:cs="Times New Roman"/>
                <w:color w:val="auto"/>
                <w:sz w:val="24"/>
                <w:lang w:val="en-US" w:eastAsia="zh-CN"/>
              </w:rPr>
              <w:t>区</w:t>
            </w:r>
            <w:r>
              <w:rPr>
                <w:rFonts w:hint="eastAsia" w:cs="Times New Roman"/>
                <w:color w:val="auto"/>
                <w:sz w:val="24"/>
                <w:lang w:val="en-US" w:eastAsia="zh-CN"/>
              </w:rPr>
              <w:t>，</w:t>
            </w:r>
            <w:r>
              <w:rPr>
                <w:rFonts w:hint="eastAsia" w:ascii="Times New Roman" w:hAnsi="Times New Roman" w:eastAsia="宋体" w:cs="Times New Roman"/>
                <w:color w:val="auto"/>
                <w:sz w:val="24"/>
                <w:lang w:eastAsia="zh-CN"/>
              </w:rPr>
              <w:t>与</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牛栏江流域（云南部分）水环境保护规划</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中</w:t>
            </w:r>
            <w:r>
              <w:rPr>
                <w:rFonts w:hint="eastAsia" w:cs="Times New Roman"/>
                <w:color w:val="auto"/>
                <w:sz w:val="24"/>
                <w:lang w:val="en-US" w:eastAsia="zh-CN"/>
              </w:rPr>
              <w:t>工业企业环境管理规划方案</w:t>
            </w:r>
            <w:r>
              <w:rPr>
                <w:rFonts w:hint="eastAsia" w:ascii="Times New Roman" w:hAnsi="Times New Roman" w:eastAsia="宋体" w:cs="Times New Roman"/>
                <w:color w:val="auto"/>
                <w:sz w:val="24"/>
                <w:lang w:eastAsia="zh-CN"/>
              </w:rPr>
              <w:t>的符合性分析</w:t>
            </w:r>
            <w:r>
              <w:rPr>
                <w:rFonts w:hint="eastAsia" w:ascii="Times New Roman" w:hAnsi="Times New Roman" w:eastAsia="宋体" w:cs="Times New Roman"/>
                <w:color w:val="auto"/>
                <w:sz w:val="24"/>
                <w:lang w:val="en-US" w:eastAsia="zh-CN"/>
              </w:rPr>
              <w:t>详见下表</w:t>
            </w:r>
            <w:r>
              <w:rPr>
                <w:rFonts w:hint="eastAsia" w:ascii="Times New Roman" w:hAnsi="Times New Roman" w:eastAsia="宋体" w:cs="Times New Roman"/>
                <w:color w:val="auto"/>
                <w:sz w:val="24"/>
                <w:lang w:eastAsia="zh-CN"/>
              </w:rPr>
              <w:t>1-</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2</w:t>
            </w:r>
            <w:r>
              <w:rPr>
                <w:rFonts w:hint="eastAsia" w:ascii="Times New Roman" w:hAnsi="Times New Roman" w:eastAsia="宋体" w:cs="Times New Roman"/>
                <w:color w:val="auto"/>
                <w:sz w:val="24"/>
                <w:lang w:val="en-US" w:eastAsia="zh-CN"/>
              </w:rPr>
              <w:t>。</w:t>
            </w:r>
          </w:p>
          <w:p w14:paraId="6E3F68C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12</w:t>
            </w:r>
            <w:r>
              <w:rPr>
                <w:rFonts w:hint="eastAsia" w:ascii="Times New Roman" w:hAnsi="Times New Roman" w:eastAsia="宋体" w:cs="Times New Roman"/>
                <w:b/>
                <w:bCs/>
                <w:color w:val="auto"/>
                <w:kern w:val="0"/>
                <w:sz w:val="21"/>
                <w:szCs w:val="21"/>
                <w:lang w:val="en-US" w:eastAsia="zh-CN" w:bidi="ar"/>
              </w:rPr>
              <w:t xml:space="preserve">  与《牛栏江流域（云南部分）水环境保护规划》符合性分析</w:t>
            </w:r>
          </w:p>
          <w:tbl>
            <w:tblPr>
              <w:tblStyle w:val="1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2"/>
              <w:gridCol w:w="2363"/>
              <w:gridCol w:w="880"/>
            </w:tblGrid>
            <w:tr w14:paraId="1562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tcPr>
                <w:p w14:paraId="0142F82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规划内容</w:t>
                  </w:r>
                </w:p>
              </w:tc>
              <w:tc>
                <w:tcPr>
                  <w:tcW w:w="2363" w:type="dxa"/>
                  <w:vAlign w:val="center"/>
                </w:tcPr>
                <w:p w14:paraId="7DA1B90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880" w:type="dxa"/>
                  <w:vAlign w:val="center"/>
                </w:tcPr>
                <w:p w14:paraId="3214DC2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14D5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vAlign w:val="center"/>
                </w:tcPr>
                <w:p w14:paraId="06C8B914">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color w:val="auto"/>
                      <w:sz w:val="21"/>
                      <w:szCs w:val="21"/>
                    </w:rPr>
                  </w:pPr>
                  <w:r>
                    <w:rPr>
                      <w:color w:val="auto"/>
                      <w:sz w:val="21"/>
                      <w:szCs w:val="21"/>
                    </w:rPr>
                    <w:t>（1）严格环境准入</w:t>
                  </w:r>
                </w:p>
                <w:p w14:paraId="685C9F8F">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color w:val="auto"/>
                      <w:sz w:val="21"/>
                      <w:szCs w:val="21"/>
                    </w:rPr>
                    <w:t>严格环境准入政策，</w:t>
                  </w:r>
                  <w:r>
                    <w:rPr>
                      <w:rFonts w:hint="eastAsia"/>
                      <w:color w:val="auto"/>
                      <w:sz w:val="21"/>
                      <w:szCs w:val="21"/>
                    </w:rPr>
                    <w:t>避免新污染物输入。</w:t>
                  </w:r>
                  <w:r>
                    <w:rPr>
                      <w:color w:val="auto"/>
                      <w:sz w:val="21"/>
                      <w:szCs w:val="21"/>
                    </w:rPr>
                    <w:t>调水水源区不得建设不符合国家产业政策的工业项目及高污染工业项目</w:t>
                  </w:r>
                  <w:r>
                    <w:rPr>
                      <w:rFonts w:hint="eastAsia"/>
                      <w:color w:val="auto"/>
                      <w:sz w:val="21"/>
                      <w:szCs w:val="21"/>
                    </w:rPr>
                    <w:t>，包括</w:t>
                  </w:r>
                  <w:r>
                    <w:rPr>
                      <w:color w:val="auto"/>
                      <w:sz w:val="21"/>
                      <w:szCs w:val="21"/>
                    </w:rPr>
                    <w:t>污染严重的钢铁、有色冶金、基础化工、农药、电镀、造纸制浆、制革、印染、石棉制品、土硫磺、土磷肥和染料等企业和项目；新建工业项目必须</w:t>
                  </w:r>
                  <w:r>
                    <w:rPr>
                      <w:rFonts w:hint="eastAsia"/>
                      <w:color w:val="auto"/>
                      <w:sz w:val="21"/>
                      <w:szCs w:val="21"/>
                    </w:rPr>
                    <w:t>进入工业园区或废水实现“零”排放</w:t>
                  </w:r>
                  <w:r>
                    <w:rPr>
                      <w:color w:val="auto"/>
                      <w:sz w:val="21"/>
                      <w:szCs w:val="21"/>
                    </w:rPr>
                    <w:t>，改扩建项目不得新增</w:t>
                  </w:r>
                  <w:r>
                    <w:rPr>
                      <w:rFonts w:hint="eastAsia"/>
                      <w:color w:val="auto"/>
                      <w:sz w:val="21"/>
                      <w:szCs w:val="21"/>
                    </w:rPr>
                    <w:t>化学需氧量</w:t>
                  </w:r>
                  <w:r>
                    <w:rPr>
                      <w:color w:val="auto"/>
                      <w:sz w:val="21"/>
                      <w:szCs w:val="21"/>
                    </w:rPr>
                    <w:t>、</w:t>
                  </w:r>
                  <w:r>
                    <w:rPr>
                      <w:rFonts w:hint="eastAsia"/>
                      <w:color w:val="auto"/>
                      <w:sz w:val="21"/>
                      <w:szCs w:val="21"/>
                    </w:rPr>
                    <w:t>总氮</w:t>
                  </w:r>
                  <w:r>
                    <w:rPr>
                      <w:color w:val="auto"/>
                      <w:sz w:val="21"/>
                      <w:szCs w:val="21"/>
                    </w:rPr>
                    <w:t>、</w:t>
                  </w:r>
                  <w:r>
                    <w:rPr>
                      <w:rFonts w:hint="eastAsia"/>
                      <w:color w:val="auto"/>
                      <w:sz w:val="21"/>
                      <w:szCs w:val="21"/>
                    </w:rPr>
                    <w:t>总磷</w:t>
                  </w:r>
                  <w:r>
                    <w:rPr>
                      <w:color w:val="auto"/>
                      <w:sz w:val="21"/>
                      <w:szCs w:val="21"/>
                    </w:rPr>
                    <w:t>排放量；新建、改建、扩建工业项目应采用先进的生产工艺和污染防治技术，其清洁生产水平应达到国家清洁生产标准中的国内先进水平。</w:t>
                  </w:r>
                  <w:r>
                    <w:rPr>
                      <w:rFonts w:hint="eastAsia"/>
                      <w:color w:val="auto"/>
                      <w:sz w:val="21"/>
                      <w:szCs w:val="21"/>
                    </w:rPr>
                    <w:t>下游区工业废水排水水质达标率在100%。</w:t>
                  </w:r>
                </w:p>
              </w:tc>
              <w:tc>
                <w:tcPr>
                  <w:tcW w:w="2363" w:type="dxa"/>
                  <w:vAlign w:val="center"/>
                </w:tcPr>
                <w:p w14:paraId="085CF900">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ascii="Times New Roman" w:hAnsi="Times New Roman" w:eastAsia="宋体" w:cs="Times New Roman"/>
                      <w:b w:val="0"/>
                      <w:bCs w:val="0"/>
                      <w:color w:val="auto"/>
                      <w:kern w:val="0"/>
                      <w:sz w:val="21"/>
                      <w:szCs w:val="21"/>
                      <w:vertAlign w:val="baseline"/>
                      <w:lang w:val="en-US" w:eastAsia="zh-CN" w:bidi="ar"/>
                    </w:rPr>
                    <w:t>沥</w:t>
                  </w:r>
                  <w:r>
                    <w:rPr>
                      <w:rFonts w:hint="eastAsia"/>
                      <w:color w:val="auto"/>
                      <w:sz w:val="21"/>
                      <w:szCs w:val="21"/>
                    </w:rPr>
                    <w:t>青混凝土</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为</w:t>
                  </w:r>
                  <w:r>
                    <w:rPr>
                      <w:rFonts w:hint="default" w:ascii="Times New Roman" w:hAnsi="Times New Roman" w:eastAsia="宋体" w:cs="Times New Roman"/>
                      <w:b w:val="0"/>
                      <w:bCs w:val="0"/>
                      <w:color w:val="auto"/>
                      <w:kern w:val="0"/>
                      <w:sz w:val="21"/>
                      <w:szCs w:val="21"/>
                      <w:vertAlign w:val="baseline"/>
                      <w:lang w:val="en-US" w:eastAsia="zh-CN" w:bidi="ar"/>
                    </w:rPr>
                    <w:t>允许类</w:t>
                  </w:r>
                  <w:r>
                    <w:rPr>
                      <w:rFonts w:hint="eastAsia"/>
                      <w:color w:val="auto"/>
                      <w:sz w:val="21"/>
                      <w:szCs w:val="21"/>
                    </w:rPr>
                    <w:t>项</w:t>
                  </w:r>
                  <w:r>
                    <w:rPr>
                      <w:rFonts w:hint="eastAsia" w:ascii="Times New Roman" w:hAnsi="Times New Roman" w:eastAsia="宋体" w:cs="Times New Roman"/>
                      <w:b w:val="0"/>
                      <w:bCs w:val="0"/>
                      <w:color w:val="auto"/>
                      <w:kern w:val="0"/>
                      <w:sz w:val="21"/>
                      <w:szCs w:val="21"/>
                      <w:vertAlign w:val="baseline"/>
                      <w:lang w:val="en-US" w:eastAsia="zh-CN" w:bidi="ar"/>
                    </w:rPr>
                    <w:t>目</w:t>
                  </w:r>
                  <w:r>
                    <w:rPr>
                      <w:rFonts w:hint="eastAsia" w:cs="Times New Roman"/>
                      <w:b w:val="0"/>
                      <w:bCs w:val="0"/>
                      <w:color w:val="auto"/>
                      <w:kern w:val="0"/>
                      <w:sz w:val="21"/>
                      <w:szCs w:val="21"/>
                      <w:vertAlign w:val="baseline"/>
                      <w:lang w:val="en-US" w:eastAsia="zh-CN" w:bidi="ar"/>
                    </w:rPr>
                    <w:t>，符合</w:t>
                  </w:r>
                  <w:r>
                    <w:rPr>
                      <w:color w:val="auto"/>
                      <w:sz w:val="21"/>
                      <w:szCs w:val="21"/>
                    </w:rPr>
                    <w:t>国家产业政策</w:t>
                  </w:r>
                  <w:r>
                    <w:rPr>
                      <w:rFonts w:hint="eastAsia"/>
                      <w:color w:val="auto"/>
                      <w:sz w:val="21"/>
                      <w:szCs w:val="21"/>
                      <w:lang w:eastAsia="zh-CN"/>
                    </w:rPr>
                    <w:t>，</w:t>
                  </w:r>
                  <w:r>
                    <w:rPr>
                      <w:rFonts w:hint="eastAsia"/>
                      <w:color w:val="auto"/>
                      <w:sz w:val="21"/>
                      <w:szCs w:val="21"/>
                      <w:lang w:val="en-US" w:eastAsia="zh-CN"/>
                    </w:rPr>
                    <w:t>不属于</w:t>
                  </w:r>
                  <w:r>
                    <w:rPr>
                      <w:color w:val="auto"/>
                      <w:sz w:val="21"/>
                      <w:szCs w:val="21"/>
                    </w:rPr>
                    <w:t>高污染工业项目</w:t>
                  </w:r>
                  <w:r>
                    <w:rPr>
                      <w:rFonts w:hint="eastAsia"/>
                      <w:color w:val="auto"/>
                      <w:sz w:val="21"/>
                      <w:szCs w:val="21"/>
                      <w:lang w:eastAsia="zh-CN"/>
                    </w:rPr>
                    <w:t>；</w:t>
                  </w:r>
                  <w:r>
                    <w:rPr>
                      <w:rFonts w:hint="eastAsia"/>
                      <w:color w:val="auto"/>
                      <w:sz w:val="21"/>
                      <w:szCs w:val="21"/>
                      <w:lang w:val="en-US" w:eastAsia="zh-CN"/>
                    </w:rPr>
                    <w:t>项目生产过程中无废水外排。</w:t>
                  </w:r>
                </w:p>
              </w:tc>
              <w:tc>
                <w:tcPr>
                  <w:tcW w:w="880" w:type="dxa"/>
                  <w:vAlign w:val="center"/>
                </w:tcPr>
                <w:p w14:paraId="5802BE8E">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260F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vAlign w:val="center"/>
                </w:tcPr>
                <w:p w14:paraId="664CB3CB">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outlineLvl w:val="0"/>
                    <w:rPr>
                      <w:rFonts w:hint="eastAsia"/>
                      <w:color w:val="auto"/>
                      <w:sz w:val="21"/>
                      <w:szCs w:val="21"/>
                    </w:rPr>
                  </w:pPr>
                  <w:r>
                    <w:rPr>
                      <w:rFonts w:hint="eastAsia"/>
                      <w:color w:val="auto"/>
                      <w:sz w:val="21"/>
                      <w:szCs w:val="21"/>
                    </w:rPr>
                    <w:t>（2）严格工业固体废弃物的管理</w:t>
                  </w:r>
                </w:p>
                <w:p w14:paraId="51188A02">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 w:val="21"/>
                      <w:szCs w:val="21"/>
                    </w:rPr>
                    <w:t>严格工业固体废弃物管理，实现固体废弃物安全处置。调水水源区内所有排放固体废弃物的企业，按国家有关固体废弃物安全处置的要求，对现有固体废弃物堆场进行安全处置，特别是磷化工企业固体废弃物的安全处置。新建固体废弃物堆场必须达到国家有关固体废弃物安全处置的要求。</w:t>
                  </w:r>
                </w:p>
              </w:tc>
              <w:tc>
                <w:tcPr>
                  <w:tcW w:w="2363" w:type="dxa"/>
                  <w:vAlign w:val="center"/>
                </w:tcPr>
                <w:p w14:paraId="1B412D2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本项目产生的固体废物均得到合理处置。</w:t>
                  </w:r>
                </w:p>
              </w:tc>
              <w:tc>
                <w:tcPr>
                  <w:tcW w:w="880" w:type="dxa"/>
                  <w:vAlign w:val="center"/>
                </w:tcPr>
                <w:p w14:paraId="2ED10E8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2BD5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5472" w:type="dxa"/>
                  <w:vAlign w:val="center"/>
                </w:tcPr>
                <w:p w14:paraId="1A8EB2C0">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outlineLvl w:val="0"/>
                    <w:rPr>
                      <w:rFonts w:hint="eastAsia"/>
                      <w:color w:val="auto"/>
                      <w:sz w:val="21"/>
                      <w:szCs w:val="21"/>
                    </w:rPr>
                  </w:pPr>
                  <w:r>
                    <w:rPr>
                      <w:color w:val="auto"/>
                      <w:sz w:val="21"/>
                      <w:szCs w:val="21"/>
                    </w:rPr>
                    <w:t>（</w:t>
                  </w:r>
                  <w:r>
                    <w:rPr>
                      <w:rFonts w:hint="eastAsia"/>
                      <w:color w:val="auto"/>
                      <w:sz w:val="21"/>
                      <w:szCs w:val="21"/>
                    </w:rPr>
                    <w:t>3</w:t>
                  </w:r>
                  <w:r>
                    <w:rPr>
                      <w:color w:val="auto"/>
                      <w:sz w:val="21"/>
                      <w:szCs w:val="21"/>
                    </w:rPr>
                    <w:t>）实施强制清洁审核</w:t>
                  </w:r>
                  <w:r>
                    <w:rPr>
                      <w:rFonts w:hint="eastAsia"/>
                      <w:color w:val="auto"/>
                      <w:sz w:val="21"/>
                      <w:szCs w:val="21"/>
                    </w:rPr>
                    <w:t>，鼓励发展循环经济</w:t>
                  </w:r>
                </w:p>
                <w:p w14:paraId="5BC9820B">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color w:val="auto"/>
                      <w:sz w:val="21"/>
                      <w:szCs w:val="21"/>
                    </w:rPr>
                  </w:pPr>
                  <w:r>
                    <w:rPr>
                      <w:color w:val="auto"/>
                      <w:sz w:val="21"/>
                      <w:szCs w:val="21"/>
                    </w:rPr>
                    <w:t>实施强制</w:t>
                  </w:r>
                  <w:r>
                    <w:rPr>
                      <w:rFonts w:hint="eastAsia"/>
                      <w:color w:val="auto"/>
                      <w:sz w:val="21"/>
                      <w:szCs w:val="21"/>
                    </w:rPr>
                    <w:t>性</w:t>
                  </w:r>
                  <w:r>
                    <w:rPr>
                      <w:color w:val="auto"/>
                      <w:sz w:val="21"/>
                      <w:szCs w:val="21"/>
                    </w:rPr>
                    <w:t>清洁</w:t>
                  </w:r>
                  <w:r>
                    <w:rPr>
                      <w:rFonts w:hint="eastAsia"/>
                      <w:color w:val="auto"/>
                      <w:sz w:val="21"/>
                      <w:szCs w:val="21"/>
                    </w:rPr>
                    <w:t>生产</w:t>
                  </w:r>
                  <w:r>
                    <w:rPr>
                      <w:color w:val="auto"/>
                      <w:sz w:val="21"/>
                      <w:szCs w:val="21"/>
                    </w:rPr>
                    <w:t>审核</w:t>
                  </w:r>
                  <w:r>
                    <w:rPr>
                      <w:rFonts w:hint="eastAsia"/>
                      <w:color w:val="auto"/>
                      <w:sz w:val="21"/>
                      <w:szCs w:val="21"/>
                    </w:rPr>
                    <w:t>。对</w:t>
                  </w:r>
                  <w:r>
                    <w:rPr>
                      <w:color w:val="auto"/>
                      <w:sz w:val="21"/>
                      <w:szCs w:val="21"/>
                    </w:rPr>
                    <w:t>调水水源区内现有</w:t>
                  </w:r>
                  <w:r>
                    <w:rPr>
                      <w:rFonts w:hint="eastAsia"/>
                      <w:color w:val="auto"/>
                      <w:sz w:val="21"/>
                      <w:szCs w:val="21"/>
                    </w:rPr>
                    <w:t>排放废水和废渣的重点</w:t>
                  </w:r>
                  <w:r>
                    <w:rPr>
                      <w:color w:val="auto"/>
                      <w:sz w:val="21"/>
                      <w:szCs w:val="21"/>
                    </w:rPr>
                    <w:t>工业企业实施强制</w:t>
                  </w:r>
                  <w:r>
                    <w:rPr>
                      <w:rFonts w:hint="eastAsia"/>
                      <w:color w:val="auto"/>
                      <w:sz w:val="21"/>
                      <w:szCs w:val="21"/>
                    </w:rPr>
                    <w:t>性</w:t>
                  </w:r>
                  <w:r>
                    <w:rPr>
                      <w:color w:val="auto"/>
                      <w:sz w:val="21"/>
                      <w:szCs w:val="21"/>
                    </w:rPr>
                    <w:t>清洁生产审核，按清洁生产审核结果限期进行整改</w:t>
                  </w:r>
                  <w:r>
                    <w:rPr>
                      <w:rFonts w:hint="eastAsia"/>
                      <w:color w:val="auto"/>
                      <w:sz w:val="21"/>
                      <w:szCs w:val="21"/>
                    </w:rPr>
                    <w:t>，并通过验收，对未开展工作企业的依法进行处罚。</w:t>
                  </w:r>
                </w:p>
                <w:p w14:paraId="38926465">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 w:val="21"/>
                      <w:szCs w:val="21"/>
                    </w:rPr>
                    <w:t>发展循环经济和低碳经济。鼓励在流域内发展循环经济和低碳经济，建设环境友好型企业，减少污染物排放。</w:t>
                  </w:r>
                </w:p>
              </w:tc>
              <w:tc>
                <w:tcPr>
                  <w:tcW w:w="2363" w:type="dxa"/>
                  <w:vAlign w:val="center"/>
                </w:tcPr>
                <w:p w14:paraId="223B651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本项目不属于对调水水源区内现有排放废水和废渣的重点工业企业。</w:t>
                  </w:r>
                </w:p>
              </w:tc>
              <w:tc>
                <w:tcPr>
                  <w:tcW w:w="880" w:type="dxa"/>
                  <w:vAlign w:val="center"/>
                </w:tcPr>
                <w:p w14:paraId="557A459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6E4A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trPr>
              <w:tc>
                <w:tcPr>
                  <w:tcW w:w="5472" w:type="dxa"/>
                  <w:vAlign w:val="center"/>
                </w:tcPr>
                <w:p w14:paraId="3F7446EC">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outlineLvl w:val="0"/>
                    <w:rPr>
                      <w:color w:val="auto"/>
                      <w:sz w:val="21"/>
                      <w:szCs w:val="21"/>
                    </w:rPr>
                  </w:pPr>
                  <w:r>
                    <w:rPr>
                      <w:color w:val="auto"/>
                      <w:sz w:val="21"/>
                      <w:szCs w:val="21"/>
                    </w:rPr>
                    <w:t>（</w:t>
                  </w:r>
                  <w:r>
                    <w:rPr>
                      <w:rFonts w:hint="eastAsia"/>
                      <w:color w:val="auto"/>
                      <w:sz w:val="21"/>
                      <w:szCs w:val="21"/>
                    </w:rPr>
                    <w:t>4</w:t>
                  </w:r>
                  <w:r>
                    <w:rPr>
                      <w:color w:val="auto"/>
                      <w:sz w:val="21"/>
                      <w:szCs w:val="21"/>
                    </w:rPr>
                    <w:t>）加强重点工业污染源的监控</w:t>
                  </w:r>
                </w:p>
                <w:p w14:paraId="7E721570">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color w:val="auto"/>
                      <w:sz w:val="21"/>
                      <w:szCs w:val="21"/>
                    </w:rPr>
                    <w:t>加强重点工业污染源的监控</w:t>
                  </w:r>
                  <w:r>
                    <w:rPr>
                      <w:rFonts w:hint="eastAsia"/>
                      <w:color w:val="auto"/>
                      <w:sz w:val="21"/>
                      <w:szCs w:val="21"/>
                    </w:rPr>
                    <w:t>。</w:t>
                  </w:r>
                  <w:r>
                    <w:rPr>
                      <w:color w:val="auto"/>
                      <w:sz w:val="21"/>
                      <w:szCs w:val="21"/>
                    </w:rPr>
                    <w:t>强化调水水源区内</w:t>
                  </w:r>
                  <w:r>
                    <w:rPr>
                      <w:rFonts w:hint="eastAsia"/>
                      <w:color w:val="auto"/>
                      <w:sz w:val="21"/>
                      <w:szCs w:val="21"/>
                    </w:rPr>
                    <w:t>149</w:t>
                  </w:r>
                  <w:r>
                    <w:rPr>
                      <w:color w:val="auto"/>
                      <w:sz w:val="21"/>
                      <w:szCs w:val="21"/>
                    </w:rPr>
                    <w:t>家（官渡区</w:t>
                  </w:r>
                  <w:r>
                    <w:rPr>
                      <w:rFonts w:hint="eastAsia"/>
                      <w:color w:val="auto"/>
                      <w:sz w:val="21"/>
                      <w:szCs w:val="21"/>
                    </w:rPr>
                    <w:t>6</w:t>
                  </w:r>
                  <w:r>
                    <w:rPr>
                      <w:color w:val="auto"/>
                      <w:sz w:val="21"/>
                      <w:szCs w:val="21"/>
                    </w:rPr>
                    <w:t>家，嵩明县</w:t>
                  </w:r>
                  <w:r>
                    <w:rPr>
                      <w:rFonts w:hint="eastAsia"/>
                      <w:color w:val="auto"/>
                      <w:sz w:val="21"/>
                      <w:szCs w:val="21"/>
                    </w:rPr>
                    <w:t>82</w:t>
                  </w:r>
                  <w:r>
                    <w:rPr>
                      <w:color w:val="auto"/>
                      <w:sz w:val="21"/>
                      <w:szCs w:val="21"/>
                    </w:rPr>
                    <w:t>家，寻甸县</w:t>
                  </w:r>
                  <w:r>
                    <w:rPr>
                      <w:rFonts w:hint="eastAsia"/>
                      <w:color w:val="auto"/>
                      <w:sz w:val="21"/>
                      <w:szCs w:val="21"/>
                    </w:rPr>
                    <w:t>23</w:t>
                  </w:r>
                  <w:r>
                    <w:rPr>
                      <w:color w:val="auto"/>
                      <w:sz w:val="21"/>
                      <w:szCs w:val="21"/>
                    </w:rPr>
                    <w:t>家，马龙县</w:t>
                  </w:r>
                  <w:r>
                    <w:rPr>
                      <w:rFonts w:hint="eastAsia"/>
                      <w:color w:val="auto"/>
                      <w:sz w:val="21"/>
                      <w:szCs w:val="21"/>
                    </w:rPr>
                    <w:t>38</w:t>
                  </w:r>
                  <w:r>
                    <w:rPr>
                      <w:color w:val="auto"/>
                      <w:sz w:val="21"/>
                      <w:szCs w:val="21"/>
                    </w:rPr>
                    <w:t>家）</w:t>
                  </w:r>
                  <w:r>
                    <w:rPr>
                      <w:rFonts w:hint="eastAsia"/>
                      <w:color w:val="auto"/>
                      <w:sz w:val="21"/>
                      <w:szCs w:val="21"/>
                    </w:rPr>
                    <w:t>废水产生</w:t>
                  </w:r>
                  <w:r>
                    <w:rPr>
                      <w:color w:val="auto"/>
                      <w:sz w:val="21"/>
                      <w:szCs w:val="21"/>
                    </w:rPr>
                    <w:t>企业的环境</w:t>
                  </w:r>
                  <w:r>
                    <w:rPr>
                      <w:rFonts w:hint="eastAsia"/>
                      <w:color w:val="auto"/>
                      <w:sz w:val="21"/>
                      <w:szCs w:val="21"/>
                    </w:rPr>
                    <w:t>监察和</w:t>
                  </w:r>
                  <w:r>
                    <w:rPr>
                      <w:color w:val="auto"/>
                      <w:sz w:val="21"/>
                      <w:szCs w:val="21"/>
                    </w:rPr>
                    <w:t>监控，安装水污染源在线监测监控装置，并对</w:t>
                  </w:r>
                  <w:r>
                    <w:rPr>
                      <w:rFonts w:hint="eastAsia"/>
                      <w:color w:val="auto"/>
                      <w:sz w:val="21"/>
                      <w:szCs w:val="21"/>
                    </w:rPr>
                    <w:t>50家主要废水产生企业和49</w:t>
                  </w:r>
                  <w:r>
                    <w:rPr>
                      <w:color w:val="auto"/>
                      <w:sz w:val="21"/>
                      <w:szCs w:val="21"/>
                    </w:rPr>
                    <w:t>家</w:t>
                  </w:r>
                  <w:r>
                    <w:rPr>
                      <w:rFonts w:hint="eastAsia"/>
                      <w:color w:val="auto"/>
                      <w:sz w:val="21"/>
                      <w:szCs w:val="21"/>
                    </w:rPr>
                    <w:t>主要废水排放</w:t>
                  </w:r>
                  <w:r>
                    <w:rPr>
                      <w:color w:val="auto"/>
                      <w:sz w:val="21"/>
                      <w:szCs w:val="21"/>
                    </w:rPr>
                    <w:t>工业企业进行经常性不定期监察</w:t>
                  </w:r>
                  <w:r>
                    <w:rPr>
                      <w:rFonts w:hint="eastAsia"/>
                      <w:color w:val="auto"/>
                      <w:sz w:val="21"/>
                      <w:szCs w:val="21"/>
                    </w:rPr>
                    <w:t>和监测</w:t>
                  </w:r>
                  <w:r>
                    <w:rPr>
                      <w:color w:val="auto"/>
                      <w:sz w:val="21"/>
                      <w:szCs w:val="21"/>
                    </w:rPr>
                    <w:t>，对违法排污行为依法从重处罚，直至关停</w:t>
                  </w:r>
                  <w:r>
                    <w:rPr>
                      <w:rFonts w:hint="eastAsia"/>
                      <w:color w:val="auto"/>
                      <w:sz w:val="21"/>
                      <w:szCs w:val="21"/>
                      <w:lang w:eastAsia="zh-CN"/>
                    </w:rPr>
                    <w:t>。</w:t>
                  </w:r>
                </w:p>
              </w:tc>
              <w:tc>
                <w:tcPr>
                  <w:tcW w:w="2363" w:type="dxa"/>
                  <w:vAlign w:val="center"/>
                </w:tcPr>
                <w:p w14:paraId="319C7CC7">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本项目位于寻甸县仁德街道道院社区大发古村石头山采石场内，不属于调水水源区内产排废水企业（寻甸县23家）。</w:t>
                  </w:r>
                </w:p>
              </w:tc>
              <w:tc>
                <w:tcPr>
                  <w:tcW w:w="880" w:type="dxa"/>
                  <w:vAlign w:val="center"/>
                </w:tcPr>
                <w:p w14:paraId="6A85E75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0D97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vAlign w:val="center"/>
                </w:tcPr>
                <w:p w14:paraId="01747529">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color w:val="auto"/>
                      <w:sz w:val="21"/>
                      <w:szCs w:val="21"/>
                    </w:rPr>
                  </w:pPr>
                  <w:r>
                    <w:rPr>
                      <w:color w:val="auto"/>
                      <w:sz w:val="21"/>
                      <w:szCs w:val="21"/>
                    </w:rPr>
                    <w:t>（</w:t>
                  </w:r>
                  <w:r>
                    <w:rPr>
                      <w:rFonts w:hint="eastAsia"/>
                      <w:color w:val="auto"/>
                      <w:sz w:val="21"/>
                      <w:szCs w:val="21"/>
                    </w:rPr>
                    <w:t>5</w:t>
                  </w:r>
                  <w:r>
                    <w:rPr>
                      <w:color w:val="auto"/>
                      <w:sz w:val="21"/>
                      <w:szCs w:val="21"/>
                    </w:rPr>
                    <w:t>）强化工业园区环境管理</w:t>
                  </w:r>
                </w:p>
                <w:p w14:paraId="47CC8097">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 w:val="21"/>
                      <w:szCs w:val="21"/>
                    </w:rPr>
                    <w:t>对园区内各</w:t>
                  </w:r>
                  <w:r>
                    <w:rPr>
                      <w:color w:val="auto"/>
                      <w:sz w:val="21"/>
                      <w:szCs w:val="21"/>
                    </w:rPr>
                    <w:t>企业</w:t>
                  </w:r>
                  <w:r>
                    <w:rPr>
                      <w:rFonts w:hint="eastAsia"/>
                      <w:color w:val="auto"/>
                      <w:sz w:val="21"/>
                      <w:szCs w:val="21"/>
                    </w:rPr>
                    <w:t>实现“雨污分流”，</w:t>
                  </w:r>
                  <w:r>
                    <w:rPr>
                      <w:color w:val="auto"/>
                      <w:sz w:val="21"/>
                      <w:szCs w:val="21"/>
                    </w:rPr>
                    <w:t>污水处理厂出水水质达到园区污水处理厂的进水水质要求，园区污水处理厂的出水水质必须达到再生水处理系统的进水水质，再生水处理系统出水水质必须达到回用水水质。</w:t>
                  </w:r>
                </w:p>
              </w:tc>
              <w:tc>
                <w:tcPr>
                  <w:tcW w:w="2363" w:type="dxa"/>
                  <w:vAlign w:val="center"/>
                </w:tcPr>
                <w:p w14:paraId="325AD7E0">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本项目位于寻甸县仁德街道道院社区大发古村石头山采石场内，不位于工业园区内。</w:t>
                  </w:r>
                </w:p>
              </w:tc>
              <w:tc>
                <w:tcPr>
                  <w:tcW w:w="880" w:type="dxa"/>
                  <w:vAlign w:val="center"/>
                </w:tcPr>
                <w:p w14:paraId="79E1B6C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62CC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vAlign w:val="center"/>
                </w:tcPr>
                <w:p w14:paraId="7E05D42B">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outlineLvl w:val="0"/>
                    <w:rPr>
                      <w:color w:val="auto"/>
                      <w:sz w:val="21"/>
                      <w:szCs w:val="21"/>
                    </w:rPr>
                  </w:pPr>
                  <w:r>
                    <w:rPr>
                      <w:color w:val="auto"/>
                      <w:sz w:val="21"/>
                      <w:szCs w:val="21"/>
                    </w:rPr>
                    <w:t>（</w:t>
                  </w:r>
                  <w:r>
                    <w:rPr>
                      <w:rFonts w:hint="eastAsia"/>
                      <w:color w:val="auto"/>
                      <w:sz w:val="21"/>
                      <w:szCs w:val="21"/>
                    </w:rPr>
                    <w:t>6</w:t>
                  </w:r>
                  <w:r>
                    <w:rPr>
                      <w:color w:val="auto"/>
                      <w:sz w:val="21"/>
                      <w:szCs w:val="21"/>
                    </w:rPr>
                    <w:t>）加强企业执法监督力度</w:t>
                  </w:r>
                </w:p>
                <w:p w14:paraId="27D5F1CB">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color w:val="auto"/>
                      <w:sz w:val="21"/>
                      <w:szCs w:val="21"/>
                    </w:rPr>
                    <w:t>增加对产污企业的执法监督频次，对污水处理设施运行、应急处理设施等重点环节要严把监督关，杜绝偷排漏排现象。对有偷排漏排等行为的企业，加大处罚力度，直至停产</w:t>
                  </w:r>
                  <w:r>
                    <w:rPr>
                      <w:rFonts w:hint="eastAsia"/>
                      <w:color w:val="auto"/>
                      <w:sz w:val="21"/>
                      <w:szCs w:val="21"/>
                    </w:rPr>
                    <w:t>整顿或</w:t>
                  </w:r>
                  <w:r>
                    <w:rPr>
                      <w:color w:val="auto"/>
                      <w:sz w:val="21"/>
                      <w:szCs w:val="21"/>
                    </w:rPr>
                    <w:t>关闭。对造成环境危害的单位要依法追究责任。</w:t>
                  </w:r>
                </w:p>
              </w:tc>
              <w:tc>
                <w:tcPr>
                  <w:tcW w:w="2363" w:type="dxa"/>
                  <w:vAlign w:val="center"/>
                </w:tcPr>
                <w:p w14:paraId="73C47867">
                  <w:pPr>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本项目生产期间杜绝</w:t>
                  </w:r>
                  <w:r>
                    <w:rPr>
                      <w:color w:val="auto"/>
                      <w:sz w:val="21"/>
                      <w:szCs w:val="21"/>
                    </w:rPr>
                    <w:t>偷排漏排</w:t>
                  </w:r>
                  <w:r>
                    <w:rPr>
                      <w:rFonts w:hint="eastAsia"/>
                      <w:color w:val="auto"/>
                      <w:sz w:val="21"/>
                      <w:szCs w:val="21"/>
                      <w:lang w:val="en-US" w:eastAsia="zh-CN"/>
                    </w:rPr>
                    <w:t>现象发生，严格遵守相关要求。</w:t>
                  </w:r>
                </w:p>
              </w:tc>
              <w:tc>
                <w:tcPr>
                  <w:tcW w:w="880" w:type="dxa"/>
                  <w:vAlign w:val="center"/>
                </w:tcPr>
                <w:p w14:paraId="611CC18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bl>
          <w:p w14:paraId="55C33956">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color w:val="auto"/>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牛栏江流域（云南部分）水环境保护规划</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相关要求。</w:t>
            </w:r>
          </w:p>
          <w:p w14:paraId="11ACB954">
            <w:pPr>
              <w:keepNext w:val="0"/>
              <w:keepLines w:val="0"/>
              <w:widowControl/>
              <w:numPr>
                <w:ilvl w:val="0"/>
                <w:numId w:val="0"/>
              </w:numPr>
              <w:suppressLineNumbers w:val="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十</w:t>
            </w:r>
            <w:r>
              <w:rPr>
                <w:rFonts w:hint="eastAsia" w:cs="Times New Roman"/>
                <w:b/>
                <w:bCs/>
                <w:color w:val="auto"/>
                <w:kern w:val="0"/>
                <w:sz w:val="24"/>
                <w:szCs w:val="24"/>
                <w:lang w:val="en-US" w:eastAsia="zh-CN" w:bidi="ar"/>
              </w:rPr>
              <w:t>二</w:t>
            </w:r>
            <w:r>
              <w:rPr>
                <w:rFonts w:hint="eastAsia" w:ascii="Times New Roman" w:hAnsi="Times New Roman" w:eastAsia="宋体"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与《</w:t>
            </w:r>
            <w:r>
              <w:rPr>
                <w:rFonts w:hint="eastAsia" w:ascii="Times New Roman" w:hAnsi="Times New Roman" w:eastAsia="宋体" w:cs="Times New Roman"/>
                <w:b/>
                <w:bCs/>
                <w:color w:val="auto"/>
                <w:kern w:val="0"/>
                <w:sz w:val="24"/>
                <w:szCs w:val="24"/>
                <w:lang w:val="en-US" w:eastAsia="zh-CN" w:bidi="ar"/>
              </w:rPr>
              <w:t>牛栏江流域（昆明段）水污染防治工作方案</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val="en-US" w:eastAsia="zh-CN" w:bidi="ar"/>
              </w:rPr>
              <w:t>相符性</w:t>
            </w:r>
            <w:r>
              <w:rPr>
                <w:rFonts w:hint="default" w:ascii="Times New Roman" w:hAnsi="Times New Roman" w:eastAsia="宋体" w:cs="Times New Roman"/>
                <w:b/>
                <w:bCs/>
                <w:color w:val="auto"/>
                <w:kern w:val="0"/>
                <w:sz w:val="24"/>
                <w:szCs w:val="24"/>
                <w:lang w:val="en-US" w:eastAsia="zh-CN" w:bidi="ar"/>
              </w:rPr>
              <w:t>分析</w:t>
            </w:r>
          </w:p>
          <w:p w14:paraId="443EABE6">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本项目与</w:t>
            </w:r>
            <w:r>
              <w:rPr>
                <w:rFonts w:hint="default" w:ascii="Times New Roman" w:hAnsi="Times New Roman" w:eastAsia="宋体" w:cs="Times New Roman"/>
                <w:color w:val="auto"/>
                <w:sz w:val="24"/>
                <w:lang w:val="en-US" w:eastAsia="zh-CN"/>
              </w:rPr>
              <w:t>《牛栏江流域（昆明段）水污染防治工作方案》</w:t>
            </w:r>
            <w:r>
              <w:rPr>
                <w:rFonts w:hint="eastAsia" w:ascii="Times New Roman" w:hAnsi="Times New Roman" w:eastAsia="宋体" w:cs="Times New Roman"/>
                <w:color w:val="auto"/>
                <w:sz w:val="24"/>
                <w:lang w:val="en-US" w:eastAsia="zh-CN"/>
              </w:rPr>
              <w:t>中</w:t>
            </w:r>
            <w:r>
              <w:rPr>
                <w:rFonts w:hint="eastAsia" w:cs="Times New Roman"/>
                <w:color w:val="auto"/>
                <w:sz w:val="24"/>
                <w:lang w:val="en-US" w:eastAsia="zh-CN"/>
              </w:rPr>
              <w:t>相关要求</w:t>
            </w:r>
            <w:r>
              <w:rPr>
                <w:rFonts w:hint="eastAsia" w:ascii="Times New Roman" w:hAnsi="Times New Roman" w:eastAsia="宋体" w:cs="Times New Roman"/>
                <w:color w:val="auto"/>
                <w:sz w:val="24"/>
                <w:lang w:eastAsia="zh-CN"/>
              </w:rPr>
              <w:t>的符合性分析</w:t>
            </w:r>
            <w:r>
              <w:rPr>
                <w:rFonts w:hint="eastAsia" w:ascii="Times New Roman" w:hAnsi="Times New Roman" w:eastAsia="宋体" w:cs="Times New Roman"/>
                <w:color w:val="auto"/>
                <w:sz w:val="24"/>
                <w:lang w:val="en-US" w:eastAsia="zh-CN"/>
              </w:rPr>
              <w:t>详见下表</w:t>
            </w:r>
            <w:r>
              <w:rPr>
                <w:rFonts w:hint="eastAsia" w:ascii="Times New Roman" w:hAnsi="Times New Roman" w:eastAsia="宋体" w:cs="Times New Roman"/>
                <w:color w:val="auto"/>
                <w:sz w:val="24"/>
                <w:lang w:eastAsia="zh-CN"/>
              </w:rPr>
              <w:t>1-</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w:t>
            </w:r>
          </w:p>
          <w:p w14:paraId="65C71183">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13</w:t>
            </w:r>
            <w:r>
              <w:rPr>
                <w:rFonts w:hint="eastAsia" w:ascii="Times New Roman" w:hAnsi="Times New Roman" w:eastAsia="宋体" w:cs="Times New Roman"/>
                <w:b/>
                <w:bCs/>
                <w:color w:val="auto"/>
                <w:kern w:val="0"/>
                <w:sz w:val="21"/>
                <w:szCs w:val="21"/>
                <w:lang w:val="en-US" w:eastAsia="zh-CN" w:bidi="ar"/>
              </w:rPr>
              <w:t xml:space="preserve">  与《牛栏江流域（昆明段）水污染防治工作方案》符合性分析</w:t>
            </w:r>
          </w:p>
          <w:tbl>
            <w:tblPr>
              <w:tblStyle w:val="1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4744"/>
              <w:gridCol w:w="2513"/>
              <w:gridCol w:w="730"/>
            </w:tblGrid>
            <w:tr w14:paraId="6DA0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gridSpan w:val="2"/>
                  <w:vAlign w:val="center"/>
                </w:tcPr>
                <w:p w14:paraId="2D3895D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方案内容</w:t>
                  </w:r>
                </w:p>
              </w:tc>
              <w:tc>
                <w:tcPr>
                  <w:tcW w:w="2513" w:type="dxa"/>
                  <w:vAlign w:val="center"/>
                </w:tcPr>
                <w:p w14:paraId="08EA5F1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730" w:type="dxa"/>
                  <w:vAlign w:val="center"/>
                </w:tcPr>
                <w:p w14:paraId="0A7FA84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388B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gridSpan w:val="2"/>
                  <w:vAlign w:val="center"/>
                </w:tcPr>
                <w:p w14:paraId="468FFED0">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1、引导产业发展。</w:t>
                  </w:r>
                  <w:r>
                    <w:rPr>
                      <w:rFonts w:hint="eastAsia" w:ascii="Times New Roman" w:hAnsi="Times New Roman" w:eastAsia="宋体" w:cs="Times New Roman"/>
                      <w:color w:val="auto"/>
                      <w:sz w:val="21"/>
                      <w:szCs w:val="21"/>
                      <w:vertAlign w:val="baseline"/>
                      <w:lang w:val="en-US" w:eastAsia="zh-CN"/>
                    </w:rPr>
                    <w:t>合理规划布局产业发展方向。禁止新建不符合国家产业政策的工业项目。禁止在牛栏江流域(昆明段)新建高污染工业项目，包括污染严重的钢铁、冶炼、基础化工、农药、电镀、造纸制浆、制革、印染、磷化工、石棉制品、土硫磺、土磷肥和染料等企业和项目。对原有的该类企业实施逐步、有计划地搬迁和淘汰。</w:t>
                  </w:r>
                </w:p>
              </w:tc>
              <w:tc>
                <w:tcPr>
                  <w:tcW w:w="2513" w:type="dxa"/>
                  <w:vAlign w:val="center"/>
                </w:tcPr>
                <w:p w14:paraId="19CAD70A">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ascii="Times New Roman" w:hAnsi="Times New Roman" w:eastAsia="宋体" w:cs="Times New Roman"/>
                      <w:b w:val="0"/>
                      <w:bCs w:val="0"/>
                      <w:color w:val="auto"/>
                      <w:kern w:val="0"/>
                      <w:sz w:val="21"/>
                      <w:szCs w:val="21"/>
                      <w:vertAlign w:val="baseline"/>
                      <w:lang w:val="en-US" w:eastAsia="zh-CN" w:bidi="ar"/>
                    </w:rPr>
                    <w:t>沥</w:t>
                  </w:r>
                  <w:r>
                    <w:rPr>
                      <w:rFonts w:hint="eastAsia"/>
                      <w:color w:val="auto"/>
                      <w:sz w:val="21"/>
                      <w:szCs w:val="21"/>
                    </w:rPr>
                    <w:t>青混凝土</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为</w:t>
                  </w:r>
                  <w:r>
                    <w:rPr>
                      <w:rFonts w:hint="default" w:ascii="Times New Roman" w:hAnsi="Times New Roman" w:eastAsia="宋体" w:cs="Times New Roman"/>
                      <w:b w:val="0"/>
                      <w:bCs w:val="0"/>
                      <w:color w:val="auto"/>
                      <w:kern w:val="0"/>
                      <w:sz w:val="21"/>
                      <w:szCs w:val="21"/>
                      <w:vertAlign w:val="baseline"/>
                      <w:lang w:val="en-US" w:eastAsia="zh-CN" w:bidi="ar"/>
                    </w:rPr>
                    <w:t>允许类</w:t>
                  </w:r>
                  <w:r>
                    <w:rPr>
                      <w:rFonts w:hint="eastAsia"/>
                      <w:color w:val="auto"/>
                      <w:sz w:val="21"/>
                      <w:szCs w:val="21"/>
                    </w:rPr>
                    <w:t>项</w:t>
                  </w:r>
                  <w:r>
                    <w:rPr>
                      <w:rFonts w:hint="eastAsia" w:ascii="Times New Roman" w:hAnsi="Times New Roman" w:eastAsia="宋体" w:cs="Times New Roman"/>
                      <w:b w:val="0"/>
                      <w:bCs w:val="0"/>
                      <w:color w:val="auto"/>
                      <w:kern w:val="0"/>
                      <w:sz w:val="21"/>
                      <w:szCs w:val="21"/>
                      <w:vertAlign w:val="baseline"/>
                      <w:lang w:val="en-US" w:eastAsia="zh-CN" w:bidi="ar"/>
                    </w:rPr>
                    <w:t>目</w:t>
                  </w:r>
                  <w:r>
                    <w:rPr>
                      <w:rFonts w:hint="eastAsia" w:cs="Times New Roman"/>
                      <w:b w:val="0"/>
                      <w:bCs w:val="0"/>
                      <w:color w:val="auto"/>
                      <w:kern w:val="0"/>
                      <w:sz w:val="21"/>
                      <w:szCs w:val="21"/>
                      <w:vertAlign w:val="baseline"/>
                      <w:lang w:val="en-US" w:eastAsia="zh-CN" w:bidi="ar"/>
                    </w:rPr>
                    <w:t>，不属于</w:t>
                  </w:r>
                  <w:r>
                    <w:rPr>
                      <w:rFonts w:hint="eastAsia" w:ascii="Times New Roman" w:hAnsi="Times New Roman" w:eastAsia="宋体" w:cs="Times New Roman"/>
                      <w:color w:val="auto"/>
                      <w:sz w:val="21"/>
                      <w:szCs w:val="21"/>
                      <w:vertAlign w:val="baseline"/>
                      <w:lang w:val="en-US" w:eastAsia="zh-CN"/>
                    </w:rPr>
                    <w:t>高污染工业项目</w:t>
                  </w:r>
                  <w:r>
                    <w:rPr>
                      <w:rFonts w:hint="eastAsia" w:cs="Times New Roman"/>
                      <w:color w:val="auto"/>
                      <w:sz w:val="21"/>
                      <w:szCs w:val="21"/>
                      <w:vertAlign w:val="baseline"/>
                      <w:lang w:val="en-US" w:eastAsia="zh-CN"/>
                    </w:rPr>
                    <w:t>。</w:t>
                  </w:r>
                </w:p>
              </w:tc>
              <w:tc>
                <w:tcPr>
                  <w:tcW w:w="730" w:type="dxa"/>
                  <w:vAlign w:val="center"/>
                </w:tcPr>
                <w:p w14:paraId="0CDE603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6487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gridSpan w:val="2"/>
                  <w:vAlign w:val="center"/>
                </w:tcPr>
                <w:p w14:paraId="48842CF7">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2、淘汰落后产能。组织对牛栏江流域(昆明段)的工业企业进行全面排查，按照《产业结构调整指导目录》(2005本)和《国务院关于进一步加强淘汰落后产能工作的通知》（国发</w:t>
                  </w:r>
                  <w:r>
                    <w:rPr>
                      <w:rFonts w:hint="eastAsia" w:ascii="微软雅黑" w:hAnsi="微软雅黑" w:eastAsia="微软雅黑" w:cs="微软雅黑"/>
                      <w:color w:val="auto"/>
                      <w:sz w:val="21"/>
                      <w:szCs w:val="21"/>
                      <w:vertAlign w:val="baseline"/>
                      <w:lang w:val="en-US" w:eastAsia="zh-CN"/>
                    </w:rPr>
                    <w:t>〔</w:t>
                  </w:r>
                  <w:r>
                    <w:rPr>
                      <w:rFonts w:hint="eastAsia" w:cs="Times New Roman"/>
                      <w:color w:val="auto"/>
                      <w:sz w:val="21"/>
                      <w:szCs w:val="21"/>
                      <w:vertAlign w:val="baseline"/>
                      <w:lang w:val="en-US" w:eastAsia="zh-CN"/>
                    </w:rPr>
                    <w:t>2010</w:t>
                  </w:r>
                  <w:r>
                    <w:rPr>
                      <w:rFonts w:hint="eastAsia" w:ascii="微软雅黑" w:hAnsi="微软雅黑" w:eastAsia="微软雅黑" w:cs="微软雅黑"/>
                      <w:color w:val="auto"/>
                      <w:sz w:val="21"/>
                      <w:szCs w:val="21"/>
                      <w:vertAlign w:val="baseline"/>
                      <w:lang w:val="en-US" w:eastAsia="zh-CN"/>
                    </w:rPr>
                    <w:t>〕</w:t>
                  </w:r>
                  <w:r>
                    <w:rPr>
                      <w:rFonts w:hint="eastAsia" w:cs="Times New Roman"/>
                      <w:color w:val="auto"/>
                      <w:sz w:val="21"/>
                      <w:szCs w:val="21"/>
                      <w:vertAlign w:val="baseline"/>
                      <w:lang w:val="en-US" w:eastAsia="zh-CN"/>
                    </w:rPr>
                    <w:t>7号）的要求，坚决取缔淘汰不符合国家产业政策的落后产能和工艺设备。</w:t>
                  </w:r>
                </w:p>
              </w:tc>
              <w:tc>
                <w:tcPr>
                  <w:tcW w:w="2513" w:type="dxa"/>
                  <w:vAlign w:val="center"/>
                </w:tcPr>
                <w:p w14:paraId="3B04E5EA">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ascii="Times New Roman" w:hAnsi="Times New Roman" w:eastAsia="宋体" w:cs="Times New Roman"/>
                      <w:b w:val="0"/>
                      <w:bCs w:val="0"/>
                      <w:color w:val="auto"/>
                      <w:kern w:val="0"/>
                      <w:sz w:val="21"/>
                      <w:szCs w:val="21"/>
                      <w:vertAlign w:val="baseline"/>
                      <w:lang w:val="en-US" w:eastAsia="zh-CN" w:bidi="ar"/>
                    </w:rPr>
                    <w:t>沥</w:t>
                  </w:r>
                  <w:r>
                    <w:rPr>
                      <w:rFonts w:hint="eastAsia"/>
                      <w:color w:val="auto"/>
                      <w:sz w:val="21"/>
                      <w:szCs w:val="21"/>
                    </w:rPr>
                    <w:t>青混凝土</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无</w:t>
                  </w:r>
                  <w:r>
                    <w:rPr>
                      <w:rFonts w:hint="eastAsia" w:cs="Times New Roman"/>
                      <w:color w:val="auto"/>
                      <w:sz w:val="21"/>
                      <w:szCs w:val="21"/>
                      <w:vertAlign w:val="baseline"/>
                      <w:lang w:val="en-US" w:eastAsia="zh-CN"/>
                    </w:rPr>
                    <w:t>不符合国家产业政策的落后产能和工艺设备。</w:t>
                  </w:r>
                </w:p>
              </w:tc>
              <w:tc>
                <w:tcPr>
                  <w:tcW w:w="730" w:type="dxa"/>
                  <w:vAlign w:val="center"/>
                </w:tcPr>
                <w:p w14:paraId="0218D9D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921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5472" w:type="dxa"/>
                  <w:gridSpan w:val="2"/>
                  <w:vAlign w:val="center"/>
                </w:tcPr>
                <w:p w14:paraId="0754DC76">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持续开展清洁生产审核。新、改、扩建工业项目应采用先进的生产工艺和污染防治技术</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其清洁生产水平应达到国家清洁生产标准中的国内先进水平</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水源区内工业企业应于2012年底前全部实施清洁生产审核</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并持续开展清洁生产工作，其清洁生产水平应达到清洁生产评价指标体系中“清洁生产企业”的要求。对牛栏江流域(昆明段)现有排放废水和废渣的重点工业企业实施强制性清洁生产审核，根据清洁生产审核结果进行限期整改，并通过验收，对未开展清洁生产审核工作的企业依法进行处罚。</w:t>
                  </w:r>
                </w:p>
              </w:tc>
              <w:tc>
                <w:tcPr>
                  <w:tcW w:w="2513" w:type="dxa"/>
                  <w:vAlign w:val="center"/>
                </w:tcPr>
                <w:p w14:paraId="58A55E77">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本项目属于新建项目，针对生产过程产生的废气均按照相关要求选取废气污染防治可行技术。</w:t>
                  </w:r>
                </w:p>
              </w:tc>
              <w:tc>
                <w:tcPr>
                  <w:tcW w:w="730" w:type="dxa"/>
                  <w:vAlign w:val="center"/>
                </w:tcPr>
                <w:p w14:paraId="7E7C484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544F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7" w:hRule="atLeast"/>
              </w:trPr>
              <w:tc>
                <w:tcPr>
                  <w:tcW w:w="5472" w:type="dxa"/>
                  <w:gridSpan w:val="2"/>
                  <w:vAlign w:val="center"/>
                </w:tcPr>
                <w:p w14:paraId="19991A91">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实现工业园区废水零排放。确保杨林工业园区污水处理厂稳定正常运行，建设再生水处理设施、雨污分流管网，2011年6月30日前实现杨林工业园区废水零排放。加快推进寻甸特色工业园区污水处理厂及配套管网建设，建设再生水处理设施、雨污分流管网，2011年6月30日前实现寻甸工业园区废水零排放。</w:t>
                  </w:r>
                </w:p>
              </w:tc>
              <w:tc>
                <w:tcPr>
                  <w:tcW w:w="2513" w:type="dxa"/>
                  <w:vAlign w:val="center"/>
                </w:tcPr>
                <w:p w14:paraId="25CEDAF8">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本项目位于寻甸县仁德街道道院社区大发古村石头山采石场内，不位于工业园区内。</w:t>
                  </w:r>
                </w:p>
              </w:tc>
              <w:tc>
                <w:tcPr>
                  <w:tcW w:w="730" w:type="dxa"/>
                  <w:vAlign w:val="center"/>
                </w:tcPr>
                <w:p w14:paraId="684D177E">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73AD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gridSpan w:val="2"/>
                  <w:vAlign w:val="center"/>
                </w:tcPr>
                <w:p w14:paraId="09DD57BF">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实现企业废水零排放。停止审批新增工业废水的项目。己有的合法工业企业应升级改造，于2011年12月31日前全面实现牛栏江流域(昆明段)工业废水零排放。</w:t>
                  </w:r>
                </w:p>
              </w:tc>
              <w:tc>
                <w:tcPr>
                  <w:tcW w:w="2513" w:type="dxa"/>
                  <w:vAlign w:val="center"/>
                </w:tcPr>
                <w:p w14:paraId="297406FF">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本项目生产过程中产生的废水均处理后回用于厂区洒水降尘，不外排。</w:t>
                  </w:r>
                </w:p>
              </w:tc>
              <w:tc>
                <w:tcPr>
                  <w:tcW w:w="730" w:type="dxa"/>
                  <w:vAlign w:val="center"/>
                </w:tcPr>
                <w:p w14:paraId="4B517B2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544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restart"/>
                  <w:vAlign w:val="center"/>
                </w:tcPr>
                <w:p w14:paraId="70356B45">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6、严格工业企业环境管理</w:t>
                  </w:r>
                </w:p>
              </w:tc>
              <w:tc>
                <w:tcPr>
                  <w:tcW w:w="4744" w:type="dxa"/>
                  <w:vAlign w:val="center"/>
                </w:tcPr>
                <w:p w14:paraId="742A3C5A">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严格工业固体废弃物和危险废物管理，实现固体废弃物和危险废物安全处置。牛栏江流域(昆明段)所有排放固体废弃物和危险废物的企业，应按国家有关固体废弃物和危险废物安全处置的要求，对现有固体废弃物和危险废物堆场进行安全处置，特别是化工企业固体废弃物和危险废物的安全处置。新建固体废弃物和危险废物堆场必须达到国家有关固体废弃物和危险废物安全处置的要求。</w:t>
                  </w:r>
                </w:p>
              </w:tc>
              <w:tc>
                <w:tcPr>
                  <w:tcW w:w="2513" w:type="dxa"/>
                  <w:vAlign w:val="center"/>
                </w:tcPr>
                <w:p w14:paraId="34E2680A">
                  <w:pPr>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本项目产生的一般工业固体废物均得到合理处置，产生的危险废物依托采石场一间5m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危废暂存间暂存，定期委托有资质的单位进行清运处置。</w:t>
                  </w:r>
                </w:p>
              </w:tc>
              <w:tc>
                <w:tcPr>
                  <w:tcW w:w="730" w:type="dxa"/>
                  <w:vAlign w:val="center"/>
                </w:tcPr>
                <w:p w14:paraId="55B090F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26C3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14:paraId="6207C174">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p>
              </w:tc>
              <w:tc>
                <w:tcPr>
                  <w:tcW w:w="4744" w:type="dxa"/>
                  <w:vAlign w:val="center"/>
                </w:tcPr>
                <w:p w14:paraId="302143C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r>
                    <w:rPr>
                      <w:rFonts w:hint="eastAsia" w:ascii="Times New Roman" w:hAnsi="Times New Roman" w:eastAsia="宋体" w:cs="Times New Roman"/>
                      <w:color w:val="auto"/>
                      <w:sz w:val="21"/>
                      <w:szCs w:val="21"/>
                      <w:vertAlign w:val="baseline"/>
                      <w:lang w:val="en-US" w:eastAsia="zh-CN"/>
                    </w:rPr>
                    <w:t>制定不同风险源的应急处理处置方案，形成应对突发污染事故应急处理处置能力</w:t>
                  </w:r>
                  <w:r>
                    <w:rPr>
                      <w:rFonts w:hint="eastAsia" w:cs="Times New Roman"/>
                      <w:color w:val="auto"/>
                      <w:sz w:val="21"/>
                      <w:szCs w:val="21"/>
                      <w:vertAlign w:val="baseline"/>
                      <w:lang w:val="en-US" w:eastAsia="zh-CN"/>
                    </w:rPr>
                    <w:t>。</w:t>
                  </w:r>
                </w:p>
              </w:tc>
              <w:tc>
                <w:tcPr>
                  <w:tcW w:w="2513" w:type="dxa"/>
                  <w:vAlign w:val="center"/>
                </w:tcPr>
                <w:p w14:paraId="77AF688E">
                  <w:pPr>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后续工作中针对</w:t>
                  </w:r>
                  <w:r>
                    <w:rPr>
                      <w:rFonts w:hint="eastAsia" w:ascii="Times New Roman" w:hAnsi="Times New Roman" w:eastAsia="宋体" w:cs="Times New Roman"/>
                      <w:color w:val="auto"/>
                      <w:sz w:val="21"/>
                      <w:szCs w:val="21"/>
                      <w:vertAlign w:val="baseline"/>
                      <w:lang w:val="en-US" w:eastAsia="zh-CN"/>
                    </w:rPr>
                    <w:t>不同风险源制定应急处理处置方案</w:t>
                  </w:r>
                  <w:r>
                    <w:rPr>
                      <w:rFonts w:hint="eastAsia" w:cs="Times New Roman"/>
                      <w:color w:val="auto"/>
                      <w:sz w:val="21"/>
                      <w:szCs w:val="21"/>
                      <w:vertAlign w:val="baseline"/>
                      <w:lang w:val="en-US" w:eastAsia="zh-CN"/>
                    </w:rPr>
                    <w:t>，编制应急预案，以便应对突发环境事件。</w:t>
                  </w:r>
                </w:p>
              </w:tc>
              <w:tc>
                <w:tcPr>
                  <w:tcW w:w="730" w:type="dxa"/>
                  <w:vAlign w:val="center"/>
                </w:tcPr>
                <w:p w14:paraId="4D886EC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1D6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8" w:type="dxa"/>
                  <w:vMerge w:val="continue"/>
                  <w:vAlign w:val="center"/>
                </w:tcPr>
                <w:p w14:paraId="5490747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p>
              </w:tc>
              <w:tc>
                <w:tcPr>
                  <w:tcW w:w="4744" w:type="dxa"/>
                  <w:vAlign w:val="center"/>
                </w:tcPr>
                <w:p w14:paraId="2C90BD4D">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r>
                    <w:rPr>
                      <w:rFonts w:hint="eastAsia" w:ascii="Times New Roman" w:hAnsi="Times New Roman" w:eastAsia="宋体" w:cs="Times New Roman"/>
                      <w:color w:val="auto"/>
                      <w:sz w:val="21"/>
                      <w:szCs w:val="21"/>
                      <w:vertAlign w:val="baseline"/>
                      <w:lang w:val="en-US" w:eastAsia="zh-CN"/>
                    </w:rPr>
                    <w:t>按照《昆明市人大常委会关于整治违法排污建立健全环境监管长效机制的决议》和《昆明市人民政府关于加强整治违法排污行为的实施意见》，持续开展违法排污行为整治，严厉打击违法排污，对违法排污行为依法从重处罚，直至关停、取缔。</w:t>
                  </w:r>
                </w:p>
              </w:tc>
              <w:tc>
                <w:tcPr>
                  <w:tcW w:w="2513" w:type="dxa"/>
                  <w:vAlign w:val="center"/>
                </w:tcPr>
                <w:p w14:paraId="4DD83F08">
                  <w:pPr>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本项目严厉按照相关规定合法合规处置污染物，杜绝</w:t>
                  </w:r>
                  <w:r>
                    <w:rPr>
                      <w:rFonts w:hint="eastAsia" w:ascii="Times New Roman" w:hAnsi="Times New Roman" w:eastAsia="宋体" w:cs="Times New Roman"/>
                      <w:color w:val="auto"/>
                      <w:sz w:val="21"/>
                      <w:szCs w:val="21"/>
                      <w:vertAlign w:val="baseline"/>
                      <w:lang w:val="en-US" w:eastAsia="zh-CN"/>
                    </w:rPr>
                    <w:t>违法排污行为</w:t>
                  </w:r>
                  <w:r>
                    <w:rPr>
                      <w:rFonts w:hint="eastAsia" w:cs="Times New Roman"/>
                      <w:color w:val="auto"/>
                      <w:sz w:val="21"/>
                      <w:szCs w:val="21"/>
                      <w:vertAlign w:val="baseline"/>
                      <w:lang w:val="en-US" w:eastAsia="zh-CN"/>
                    </w:rPr>
                    <w:t>。</w:t>
                  </w:r>
                </w:p>
              </w:tc>
              <w:tc>
                <w:tcPr>
                  <w:tcW w:w="730" w:type="dxa"/>
                  <w:vAlign w:val="center"/>
                </w:tcPr>
                <w:p w14:paraId="1617181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bl>
          <w:p w14:paraId="4CBCC645">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color w:val="auto"/>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w:t>
            </w:r>
            <w:r>
              <w:rPr>
                <w:rFonts w:hint="default" w:ascii="Times New Roman" w:hAnsi="Times New Roman" w:eastAsia="宋体" w:cs="Times New Roman"/>
                <w:color w:val="auto"/>
                <w:sz w:val="24"/>
                <w:lang w:val="en-US" w:eastAsia="zh-CN"/>
              </w:rPr>
              <w:t>《牛栏江流域（昆明段）水污染防治工作方案》</w:t>
            </w:r>
            <w:r>
              <w:rPr>
                <w:rFonts w:hint="eastAsia" w:cs="Times New Roman"/>
                <w:color w:val="auto"/>
                <w:sz w:val="24"/>
                <w:lang w:val="en-US" w:eastAsia="zh-CN"/>
              </w:rPr>
              <w:t>的</w:t>
            </w:r>
            <w:r>
              <w:rPr>
                <w:rFonts w:hint="default" w:ascii="Times New Roman" w:hAnsi="Times New Roman" w:eastAsia="宋体" w:cs="Times New Roman"/>
                <w:color w:val="auto"/>
                <w:kern w:val="0"/>
                <w:sz w:val="24"/>
                <w:szCs w:val="24"/>
                <w:lang w:val="en-US" w:eastAsia="zh-CN" w:bidi="ar"/>
              </w:rPr>
              <w:t>相关要求。</w:t>
            </w:r>
          </w:p>
          <w:p w14:paraId="43A2DEE8">
            <w:pPr>
              <w:keepNext w:val="0"/>
              <w:keepLines w:val="0"/>
              <w:widowControl/>
              <w:numPr>
                <w:ilvl w:val="0"/>
                <w:numId w:val="0"/>
              </w:numPr>
              <w:suppressLineNumbers w:val="0"/>
              <w:jc w:val="left"/>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十</w:t>
            </w:r>
            <w:r>
              <w:rPr>
                <w:rFonts w:hint="eastAsia" w:cs="Times New Roman"/>
                <w:b/>
                <w:bCs/>
                <w:color w:val="auto"/>
                <w:kern w:val="0"/>
                <w:sz w:val="24"/>
                <w:szCs w:val="24"/>
                <w:highlight w:val="none"/>
                <w:lang w:val="en-US" w:eastAsia="zh-CN" w:bidi="ar"/>
              </w:rPr>
              <w:t>三</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与《</w:t>
            </w:r>
            <w:r>
              <w:rPr>
                <w:rFonts w:hint="eastAsia" w:ascii="Times New Roman" w:hAnsi="Times New Roman" w:eastAsia="宋体" w:cs="Times New Roman"/>
                <w:b/>
                <w:bCs/>
                <w:color w:val="auto"/>
                <w:kern w:val="0"/>
                <w:sz w:val="24"/>
                <w:szCs w:val="24"/>
                <w:highlight w:val="none"/>
                <w:lang w:val="en-US" w:eastAsia="zh-CN" w:bidi="ar"/>
              </w:rPr>
              <w:t>牛栏江流域（寻甸段）水环境保护规划</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相符性</w:t>
            </w:r>
            <w:r>
              <w:rPr>
                <w:rFonts w:hint="default" w:ascii="Times New Roman" w:hAnsi="Times New Roman" w:eastAsia="宋体" w:cs="Times New Roman"/>
                <w:b/>
                <w:bCs/>
                <w:color w:val="auto"/>
                <w:kern w:val="0"/>
                <w:sz w:val="24"/>
                <w:szCs w:val="24"/>
                <w:highlight w:val="none"/>
                <w:lang w:val="en-US" w:eastAsia="zh-CN" w:bidi="ar"/>
              </w:rPr>
              <w:t>分析</w:t>
            </w:r>
          </w:p>
          <w:p w14:paraId="331FE7BC">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本项目</w:t>
            </w:r>
            <w:r>
              <w:rPr>
                <w:rFonts w:hint="eastAsia" w:ascii="Times New Roman" w:hAnsi="Times New Roman" w:eastAsia="宋体" w:cs="Times New Roman"/>
                <w:color w:val="auto"/>
                <w:sz w:val="24"/>
                <w:lang w:val="en-US" w:eastAsia="zh-CN"/>
              </w:rPr>
              <w:t>位于寻甸县仁德街道道院社区大发古村石头山采石场内，</w:t>
            </w:r>
            <w:r>
              <w:rPr>
                <w:rFonts w:hint="eastAsia" w:cs="Times New Roman"/>
                <w:color w:val="auto"/>
                <w:sz w:val="24"/>
                <w:lang w:val="en-US" w:eastAsia="zh-CN"/>
              </w:rPr>
              <w:t>与《牛栏江流域（寻甸段）水环境保护规划》中非工业园区工业源污染治理规划方案的</w:t>
            </w:r>
            <w:r>
              <w:rPr>
                <w:rFonts w:hint="eastAsia" w:ascii="Times New Roman" w:hAnsi="Times New Roman" w:eastAsia="宋体" w:cs="Times New Roman"/>
                <w:color w:val="auto"/>
                <w:sz w:val="24"/>
                <w:lang w:eastAsia="zh-CN"/>
              </w:rPr>
              <w:t>符合性分析</w:t>
            </w:r>
            <w:r>
              <w:rPr>
                <w:rFonts w:hint="eastAsia" w:ascii="Times New Roman" w:hAnsi="Times New Roman" w:eastAsia="宋体" w:cs="Times New Roman"/>
                <w:color w:val="auto"/>
                <w:sz w:val="24"/>
                <w:lang w:val="en-US" w:eastAsia="zh-CN"/>
              </w:rPr>
              <w:t>详见下表</w:t>
            </w:r>
            <w:r>
              <w:rPr>
                <w:rFonts w:ascii="Times New Roman" w:hAnsi="Times New Roman" w:eastAsia="宋体" w:cs="Times New Roman"/>
                <w:color w:val="auto"/>
                <w:sz w:val="24"/>
              </w:rPr>
              <w:t>1</w:t>
            </w:r>
            <w:r>
              <w:rPr>
                <w:rFonts w:hint="eastAsia" w:ascii="Times New Roman" w:hAnsi="Times New Roman" w:eastAsia="宋体" w:cs="Times New Roman"/>
                <w:color w:val="auto"/>
                <w:sz w:val="24"/>
              </w:rPr>
              <w:t>-</w:t>
            </w:r>
            <w:r>
              <w:rPr>
                <w:rFonts w:hint="eastAsia" w:cs="Times New Roman"/>
                <w:color w:val="auto"/>
                <w:sz w:val="24"/>
                <w:lang w:val="en-US" w:eastAsia="zh-CN"/>
              </w:rPr>
              <w:t>14</w:t>
            </w:r>
            <w:r>
              <w:rPr>
                <w:rFonts w:ascii="Times New Roman" w:hAnsi="Times New Roman" w:eastAsia="宋体" w:cs="Times New Roman"/>
                <w:color w:val="auto"/>
                <w:sz w:val="24"/>
              </w:rPr>
              <w:t>。</w:t>
            </w:r>
          </w:p>
          <w:p w14:paraId="22F6EC7C">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14</w:t>
            </w:r>
            <w:r>
              <w:rPr>
                <w:rFonts w:hint="eastAsia" w:ascii="Times New Roman" w:hAnsi="Times New Roman" w:eastAsia="宋体" w:cs="Times New Roman"/>
                <w:b/>
                <w:bCs/>
                <w:color w:val="auto"/>
                <w:kern w:val="0"/>
                <w:sz w:val="21"/>
                <w:szCs w:val="21"/>
                <w:lang w:val="en-US" w:eastAsia="zh-CN" w:bidi="ar"/>
              </w:rPr>
              <w:t xml:space="preserve">  与《牛栏江流域（寻甸段）水环境保护规划》符合性分析</w:t>
            </w:r>
          </w:p>
          <w:tbl>
            <w:tblPr>
              <w:tblStyle w:val="1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4814"/>
              <w:gridCol w:w="2513"/>
              <w:gridCol w:w="730"/>
            </w:tblGrid>
            <w:tr w14:paraId="1AA91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2" w:type="dxa"/>
                  <w:gridSpan w:val="2"/>
                  <w:vAlign w:val="center"/>
                </w:tcPr>
                <w:p w14:paraId="4C33020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规划内容</w:t>
                  </w:r>
                </w:p>
              </w:tc>
              <w:tc>
                <w:tcPr>
                  <w:tcW w:w="2513" w:type="dxa"/>
                  <w:vAlign w:val="center"/>
                </w:tcPr>
                <w:p w14:paraId="0CBFE24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730" w:type="dxa"/>
                  <w:vAlign w:val="center"/>
                </w:tcPr>
                <w:p w14:paraId="03012D8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4D98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14:paraId="1A83CB28">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非工业园区工业源污染治理规划方案</w:t>
                  </w:r>
                </w:p>
              </w:tc>
              <w:tc>
                <w:tcPr>
                  <w:tcW w:w="4814" w:type="dxa"/>
                  <w:vAlign w:val="center"/>
                </w:tcPr>
                <w:p w14:paraId="441AE36B">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开展非园区工业企业环境综合执法检查</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清查现有工业企业，对违反国家法律法规、产业政策的企业实行关停或限期整改，对现有企业开展强制清洁生产审计，流域范围内新建工业项目必须能够实现废水“零排放”，鼓励工业企业入园，严禁在牛栏江流域水环境保护核心区新建工业源。</w:t>
                  </w:r>
                </w:p>
              </w:tc>
              <w:tc>
                <w:tcPr>
                  <w:tcW w:w="2513" w:type="dxa"/>
                  <w:vAlign w:val="center"/>
                </w:tcPr>
                <w:p w14:paraId="2F53493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项目生产期间无废水外排，实现</w:t>
                  </w:r>
                  <w:r>
                    <w:rPr>
                      <w:rFonts w:hint="eastAsia" w:ascii="Times New Roman" w:hAnsi="Times New Roman" w:eastAsia="宋体" w:cs="Times New Roman"/>
                      <w:color w:val="auto"/>
                      <w:sz w:val="21"/>
                      <w:szCs w:val="21"/>
                      <w:vertAlign w:val="baseline"/>
                      <w:lang w:val="en-US" w:eastAsia="zh-CN"/>
                    </w:rPr>
                    <w:t>废水“零排放”</w:t>
                  </w:r>
                  <w:r>
                    <w:rPr>
                      <w:rFonts w:hint="eastAsia" w:cs="Times New Roman"/>
                      <w:color w:val="auto"/>
                      <w:sz w:val="21"/>
                      <w:szCs w:val="21"/>
                      <w:vertAlign w:val="baseline"/>
                      <w:lang w:val="en-US" w:eastAsia="zh-CN"/>
                    </w:rPr>
                    <w:t>。本项目位置属于牛栏江上游重点污染控制区，不属于</w:t>
                  </w:r>
                  <w:r>
                    <w:rPr>
                      <w:rFonts w:hint="eastAsia" w:ascii="Times New Roman" w:hAnsi="Times New Roman" w:eastAsia="宋体" w:cs="Times New Roman"/>
                      <w:color w:val="auto"/>
                      <w:sz w:val="21"/>
                      <w:szCs w:val="21"/>
                      <w:vertAlign w:val="baseline"/>
                      <w:lang w:val="en-US" w:eastAsia="zh-CN"/>
                    </w:rPr>
                    <w:t>牛栏江流域水环境保护核心区</w:t>
                  </w:r>
                  <w:r>
                    <w:rPr>
                      <w:rFonts w:hint="eastAsia" w:cs="Times New Roman"/>
                      <w:color w:val="auto"/>
                      <w:sz w:val="21"/>
                      <w:szCs w:val="21"/>
                      <w:vertAlign w:val="baseline"/>
                      <w:lang w:val="en-US" w:eastAsia="zh-CN"/>
                    </w:rPr>
                    <w:t>。</w:t>
                  </w:r>
                </w:p>
              </w:tc>
              <w:tc>
                <w:tcPr>
                  <w:tcW w:w="730" w:type="dxa"/>
                  <w:vAlign w:val="center"/>
                </w:tcPr>
                <w:p w14:paraId="22EFA36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334B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14:paraId="67FE90A2">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牛栏江干流及支流环境综合整治方案</w:t>
                  </w:r>
                </w:p>
              </w:tc>
              <w:tc>
                <w:tcPr>
                  <w:tcW w:w="4814" w:type="dxa"/>
                  <w:vAlign w:val="center"/>
                </w:tcPr>
                <w:p w14:paraId="074E144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通过规划对流域现状的分析，规划拟通过对牛栏江寻甸段干流及其各支流采取堵口查污、截污导流；河道两岸拆临拆违；对河道实施清淤除障，修复河堤；对河道两岸进行景观改善、沿岸禁养、沿岸绿化、生态修复及河道保洁等措施来进一步削减入河污染。 </w:t>
                  </w:r>
                </w:p>
              </w:tc>
              <w:tc>
                <w:tcPr>
                  <w:tcW w:w="2513" w:type="dxa"/>
                  <w:vAlign w:val="center"/>
                </w:tcPr>
                <w:p w14:paraId="33A09D14">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项目区最近地表水为</w:t>
                  </w:r>
                  <w:r>
                    <w:rPr>
                      <w:rFonts w:hint="eastAsia" w:ascii="Times New Roman" w:hAnsi="Times New Roman" w:eastAsia="宋体" w:cs="Times New Roman"/>
                      <w:color w:val="auto"/>
                      <w:sz w:val="21"/>
                      <w:szCs w:val="21"/>
                      <w:vertAlign w:val="baseline"/>
                      <w:lang w:val="en-US" w:eastAsia="zh-CN"/>
                    </w:rPr>
                    <w:t>西侧约530m处</w:t>
                  </w:r>
                  <w:r>
                    <w:rPr>
                      <w:rFonts w:hint="default" w:ascii="Times New Roman" w:hAnsi="Times New Roman" w:eastAsia="宋体" w:cs="Times New Roman"/>
                      <w:color w:val="auto"/>
                      <w:sz w:val="21"/>
                      <w:szCs w:val="21"/>
                      <w:vertAlign w:val="baseline"/>
                      <w:lang w:val="en-US" w:eastAsia="zh-CN"/>
                    </w:rPr>
                    <w:t>初奈河（已干涸），初奈河经道院水库汇入前进河，</w:t>
                  </w:r>
                  <w:r>
                    <w:rPr>
                      <w:rFonts w:hint="eastAsia" w:ascii="Times New Roman" w:hAnsi="Times New Roman" w:eastAsia="宋体" w:cs="Times New Roman"/>
                      <w:color w:val="auto"/>
                      <w:sz w:val="21"/>
                      <w:szCs w:val="21"/>
                      <w:vertAlign w:val="baseline"/>
                      <w:lang w:val="en-US" w:eastAsia="zh-CN"/>
                    </w:rPr>
                    <w:t>前进河属于牛栏江一级支流。</w:t>
                  </w:r>
                  <w:r>
                    <w:rPr>
                      <w:rFonts w:hint="eastAsia" w:cs="Times New Roman"/>
                      <w:color w:val="auto"/>
                      <w:sz w:val="21"/>
                      <w:szCs w:val="21"/>
                      <w:vertAlign w:val="baseline"/>
                      <w:lang w:val="en-US" w:eastAsia="zh-CN"/>
                    </w:rPr>
                    <w:t>本项目生产期间无废水外排。</w:t>
                  </w:r>
                </w:p>
              </w:tc>
              <w:tc>
                <w:tcPr>
                  <w:tcW w:w="730" w:type="dxa"/>
                  <w:vAlign w:val="center"/>
                </w:tcPr>
                <w:p w14:paraId="0770DB0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1F7A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restart"/>
                  <w:vAlign w:val="center"/>
                </w:tcPr>
                <w:p w14:paraId="34BFFD96">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流域环境管理规划方案</w:t>
                  </w:r>
                </w:p>
              </w:tc>
              <w:tc>
                <w:tcPr>
                  <w:tcW w:w="4814" w:type="dxa"/>
                  <w:vAlign w:val="center"/>
                </w:tcPr>
                <w:p w14:paraId="06B3FE50">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 （1）引导产业合理发展，严格环境准入政策</w:t>
                  </w:r>
                </w:p>
                <w:p w14:paraId="7CBE8C6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合理规划布局产业发展方向，严格环境准入政策，禁止新建不符合国家产业政策、环保政策项目及高污染工业项目，包括污染严重的钢铁、冶炼、基础化工、农药、电镀、造纸制浆、制革、印染、磷化工、石棉制品、土硫磺、土磷肥和燃料等企业和项目；对于已存在的煤磷化工企业应限制企业发展规模，防止对牛栏江水环境安全带来进一步压力；新建工业项目必须按照区域的工业园区产业发展规划和规划环评的要求进入园区，入园企业必须实现工业废水“零排放”，改扩建项目不得新增化学需氧量、总氮、总磷排放量；新建、改建、扩建工业项目应采用先进的生产工艺和污染防治技术，其清洁生产水平应达到国家清洁生产水平中的先进水平。</w:t>
                  </w:r>
                </w:p>
              </w:tc>
              <w:tc>
                <w:tcPr>
                  <w:tcW w:w="2513" w:type="dxa"/>
                  <w:vAlign w:val="center"/>
                </w:tcPr>
                <w:p w14:paraId="3F108161">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ascii="Times New Roman" w:hAnsi="Times New Roman" w:eastAsia="宋体" w:cs="Times New Roman"/>
                      <w:b w:val="0"/>
                      <w:bCs w:val="0"/>
                      <w:color w:val="auto"/>
                      <w:kern w:val="0"/>
                      <w:sz w:val="21"/>
                      <w:szCs w:val="21"/>
                      <w:vertAlign w:val="baseline"/>
                      <w:lang w:val="en-US" w:eastAsia="zh-CN" w:bidi="ar"/>
                    </w:rPr>
                    <w:t>沥</w:t>
                  </w:r>
                  <w:r>
                    <w:rPr>
                      <w:rFonts w:hint="eastAsia"/>
                      <w:color w:val="auto"/>
                      <w:sz w:val="21"/>
                      <w:szCs w:val="21"/>
                    </w:rPr>
                    <w:t>青混凝土</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为</w:t>
                  </w:r>
                  <w:r>
                    <w:rPr>
                      <w:rFonts w:hint="default" w:ascii="Times New Roman" w:hAnsi="Times New Roman" w:eastAsia="宋体" w:cs="Times New Roman"/>
                      <w:b w:val="0"/>
                      <w:bCs w:val="0"/>
                      <w:color w:val="auto"/>
                      <w:kern w:val="0"/>
                      <w:sz w:val="21"/>
                      <w:szCs w:val="21"/>
                      <w:vertAlign w:val="baseline"/>
                      <w:lang w:val="en-US" w:eastAsia="zh-CN" w:bidi="ar"/>
                    </w:rPr>
                    <w:t>允许类</w:t>
                  </w:r>
                  <w:r>
                    <w:rPr>
                      <w:rFonts w:hint="eastAsia"/>
                      <w:color w:val="auto"/>
                      <w:sz w:val="21"/>
                      <w:szCs w:val="21"/>
                    </w:rPr>
                    <w:t>项</w:t>
                  </w:r>
                  <w:r>
                    <w:rPr>
                      <w:rFonts w:hint="eastAsia" w:ascii="Times New Roman" w:hAnsi="Times New Roman" w:eastAsia="宋体" w:cs="Times New Roman"/>
                      <w:b w:val="0"/>
                      <w:bCs w:val="0"/>
                      <w:color w:val="auto"/>
                      <w:kern w:val="0"/>
                      <w:sz w:val="21"/>
                      <w:szCs w:val="21"/>
                      <w:vertAlign w:val="baseline"/>
                      <w:lang w:val="en-US" w:eastAsia="zh-CN" w:bidi="ar"/>
                    </w:rPr>
                    <w:t>目</w:t>
                  </w:r>
                  <w:r>
                    <w:rPr>
                      <w:rFonts w:hint="eastAsia" w:cs="Times New Roman"/>
                      <w:b w:val="0"/>
                      <w:bCs w:val="0"/>
                      <w:color w:val="auto"/>
                      <w:kern w:val="0"/>
                      <w:sz w:val="21"/>
                      <w:szCs w:val="21"/>
                      <w:vertAlign w:val="baseline"/>
                      <w:lang w:val="en-US" w:eastAsia="zh-CN" w:bidi="ar"/>
                    </w:rPr>
                    <w:t>，符合</w:t>
                  </w:r>
                  <w:r>
                    <w:rPr>
                      <w:rFonts w:hint="eastAsia" w:ascii="Times New Roman" w:hAnsi="Times New Roman" w:eastAsia="宋体" w:cs="Times New Roman"/>
                      <w:color w:val="auto"/>
                      <w:sz w:val="21"/>
                      <w:szCs w:val="21"/>
                      <w:vertAlign w:val="baseline"/>
                      <w:lang w:val="en-US" w:eastAsia="zh-CN"/>
                    </w:rPr>
                    <w:t>国家产业政策</w:t>
                  </w:r>
                  <w:r>
                    <w:rPr>
                      <w:rFonts w:hint="eastAsia" w:cs="Times New Roman"/>
                      <w:color w:val="auto"/>
                      <w:sz w:val="21"/>
                      <w:szCs w:val="21"/>
                      <w:vertAlign w:val="baseline"/>
                      <w:lang w:val="en-US" w:eastAsia="zh-CN"/>
                    </w:rPr>
                    <w:t>。且项目生产期间无废水外排。</w:t>
                  </w:r>
                </w:p>
              </w:tc>
              <w:tc>
                <w:tcPr>
                  <w:tcW w:w="730" w:type="dxa"/>
                  <w:vAlign w:val="center"/>
                </w:tcPr>
                <w:p w14:paraId="3D7290C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00F2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14:paraId="0E83D570">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p>
              </w:tc>
              <w:tc>
                <w:tcPr>
                  <w:tcW w:w="4814" w:type="dxa"/>
                  <w:vAlign w:val="center"/>
                </w:tcPr>
                <w:p w14:paraId="5DED2BBD">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（2）淘汰落后产能，合法工业企业改造升级</w:t>
                  </w:r>
                </w:p>
                <w:p w14:paraId="3F98B74D">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对牛栏江流域范围内的工业企业进行排查，按照《产业结构调整指导目录》（2011年本）和《国务院关于进一步加强淘汰落后产能工作的通知》（国发[2010]7号）的要求，坚决取缔淘汰不符合国家产业政策的落后产能和工艺设备。督促其他现有合法工业企业升级改造，确保到2011年12月31日前实现工业废水“零排放”。</w:t>
                  </w:r>
                </w:p>
                <w:p w14:paraId="4F70CBD9">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（3）持续开展清洁生产审核，鼓励发展循环经济</w:t>
                  </w:r>
                </w:p>
                <w:p w14:paraId="2D4AEEAF">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加快推进企业清洁生产，新、改、扩建工业项目应采用先进的生产工艺和污染防治技术，其清洁生产水平应达到国家清洁生产标准中的国内先进水平；流域内工业企业应于2012年底前全部实施清洁生产审核，并持续开展清洁生产工作，根据清洁生产审核结果进行限期整改，并通过验收，对未开展清洁生产审核工作的企业依法进行处罚。</w:t>
                  </w:r>
                </w:p>
                <w:p w14:paraId="4D0D15EC">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发展循环经济和低碳经济，鼓励在流域内发展循环经济和低碳经济，建设环境友好型企业，减少污染物排放。</w:t>
                  </w:r>
                </w:p>
              </w:tc>
              <w:tc>
                <w:tcPr>
                  <w:tcW w:w="2513" w:type="dxa"/>
                  <w:vAlign w:val="center"/>
                </w:tcPr>
                <w:p w14:paraId="1CD5F35B">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本项目为</w:t>
                  </w:r>
                  <w:r>
                    <w:rPr>
                      <w:rFonts w:hint="eastAsia" w:ascii="Times New Roman" w:hAnsi="Times New Roman" w:eastAsia="宋体" w:cs="Times New Roman"/>
                      <w:b w:val="0"/>
                      <w:bCs w:val="0"/>
                      <w:color w:val="auto"/>
                      <w:kern w:val="0"/>
                      <w:sz w:val="21"/>
                      <w:szCs w:val="21"/>
                      <w:vertAlign w:val="baseline"/>
                      <w:lang w:val="en-US" w:eastAsia="zh-CN" w:bidi="ar"/>
                    </w:rPr>
                    <w:t>沥</w:t>
                  </w:r>
                  <w:r>
                    <w:rPr>
                      <w:rFonts w:hint="eastAsia"/>
                      <w:color w:val="auto"/>
                      <w:sz w:val="21"/>
                      <w:szCs w:val="21"/>
                    </w:rPr>
                    <w:t>青混凝土</w:t>
                  </w:r>
                  <w:r>
                    <w:rPr>
                      <w:rFonts w:hint="eastAsia"/>
                      <w:color w:val="auto"/>
                      <w:sz w:val="21"/>
                      <w:szCs w:val="21"/>
                      <w:lang w:val="en-US" w:eastAsia="zh-CN"/>
                    </w:rPr>
                    <w:t>生产</w:t>
                  </w:r>
                  <w:r>
                    <w:rPr>
                      <w:rFonts w:hint="eastAsia" w:ascii="Times New Roman" w:hAnsi="Times New Roman" w:eastAsia="宋体" w:cs="Times New Roman"/>
                      <w:b w:val="0"/>
                      <w:bCs w:val="0"/>
                      <w:color w:val="auto"/>
                      <w:kern w:val="0"/>
                      <w:sz w:val="21"/>
                      <w:szCs w:val="21"/>
                      <w:vertAlign w:val="baseline"/>
                      <w:lang w:val="en-US" w:eastAsia="zh-CN" w:bidi="ar"/>
                    </w:rPr>
                    <w:t>，</w:t>
                  </w:r>
                  <w:r>
                    <w:rPr>
                      <w:rFonts w:hint="eastAsia" w:cs="Times New Roman"/>
                      <w:b w:val="0"/>
                      <w:bCs w:val="0"/>
                      <w:color w:val="auto"/>
                      <w:kern w:val="0"/>
                      <w:sz w:val="21"/>
                      <w:szCs w:val="21"/>
                      <w:vertAlign w:val="baseline"/>
                      <w:lang w:val="en-US" w:eastAsia="zh-CN" w:bidi="ar"/>
                    </w:rPr>
                    <w:t>为</w:t>
                  </w:r>
                  <w:r>
                    <w:rPr>
                      <w:rFonts w:hint="default" w:ascii="Times New Roman" w:hAnsi="Times New Roman" w:eastAsia="宋体" w:cs="Times New Roman"/>
                      <w:b w:val="0"/>
                      <w:bCs w:val="0"/>
                      <w:color w:val="auto"/>
                      <w:kern w:val="0"/>
                      <w:sz w:val="21"/>
                      <w:szCs w:val="21"/>
                      <w:vertAlign w:val="baseline"/>
                      <w:lang w:val="en-US" w:eastAsia="zh-CN" w:bidi="ar"/>
                    </w:rPr>
                    <w:t>允许类</w:t>
                  </w:r>
                  <w:r>
                    <w:rPr>
                      <w:rFonts w:hint="eastAsia"/>
                      <w:color w:val="auto"/>
                      <w:sz w:val="21"/>
                      <w:szCs w:val="21"/>
                    </w:rPr>
                    <w:t>项</w:t>
                  </w:r>
                  <w:r>
                    <w:rPr>
                      <w:rFonts w:hint="eastAsia" w:ascii="Times New Roman" w:hAnsi="Times New Roman" w:eastAsia="宋体" w:cs="Times New Roman"/>
                      <w:b w:val="0"/>
                      <w:bCs w:val="0"/>
                      <w:color w:val="auto"/>
                      <w:kern w:val="0"/>
                      <w:sz w:val="21"/>
                      <w:szCs w:val="21"/>
                      <w:vertAlign w:val="baseline"/>
                      <w:lang w:val="en-US" w:eastAsia="zh-CN" w:bidi="ar"/>
                    </w:rPr>
                    <w:t>目</w:t>
                  </w:r>
                  <w:r>
                    <w:rPr>
                      <w:rFonts w:hint="eastAsia" w:cs="Times New Roman"/>
                      <w:b w:val="0"/>
                      <w:bCs w:val="0"/>
                      <w:color w:val="auto"/>
                      <w:kern w:val="0"/>
                      <w:sz w:val="21"/>
                      <w:szCs w:val="21"/>
                      <w:vertAlign w:val="baseline"/>
                      <w:lang w:val="en-US" w:eastAsia="zh-CN" w:bidi="ar"/>
                    </w:rPr>
                    <w:t>，无</w:t>
                  </w:r>
                  <w:r>
                    <w:rPr>
                      <w:rFonts w:hint="eastAsia" w:ascii="Times New Roman" w:hAnsi="Times New Roman" w:eastAsia="宋体" w:cs="Times New Roman"/>
                      <w:color w:val="auto"/>
                      <w:sz w:val="21"/>
                      <w:szCs w:val="21"/>
                      <w:vertAlign w:val="baseline"/>
                      <w:lang w:val="en-US" w:eastAsia="zh-CN"/>
                    </w:rPr>
                    <w:t>不符合国家产业政策的落后产能和工艺设备</w:t>
                  </w:r>
                  <w:r>
                    <w:rPr>
                      <w:rFonts w:hint="eastAsia" w:cs="Times New Roman"/>
                      <w:color w:val="auto"/>
                      <w:sz w:val="21"/>
                      <w:szCs w:val="21"/>
                      <w:vertAlign w:val="baseline"/>
                      <w:lang w:val="en-US" w:eastAsia="zh-CN"/>
                    </w:rPr>
                    <w:t>，生产期间无废水外排。</w:t>
                  </w:r>
                </w:p>
              </w:tc>
              <w:tc>
                <w:tcPr>
                  <w:tcW w:w="730" w:type="dxa"/>
                  <w:vAlign w:val="center"/>
                </w:tcPr>
                <w:p w14:paraId="727C8AC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14:paraId="6FD9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Merge w:val="continue"/>
                  <w:vAlign w:val="center"/>
                </w:tcPr>
                <w:p w14:paraId="46E9439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p>
              </w:tc>
              <w:tc>
                <w:tcPr>
                  <w:tcW w:w="4814" w:type="dxa"/>
                  <w:vAlign w:val="center"/>
                </w:tcPr>
                <w:p w14:paraId="65F06F9B">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（4）严格工业固体废物的管理</w:t>
                  </w:r>
                </w:p>
                <w:p w14:paraId="2461997E">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园区内一般固体废弃物的处置和综合利用分配到具体企业，原则上由企业自行处理。但由于寻甸特色产业园区内企业现有渣场均位于牛栏江流域，且距离较为敏感，金所片区的龙蟒磷化工有限责任公司的渣场位于三月三水库范围，南磷集团、旭东磷化工的黄磷渣场位于潘所海范围；塘子片区的常青树化工有限公司的磷石膏堆场距牛栏江干流不足一公里，同时，园区所处区域为岩溶地貌，下渗现象较为严重，对牛栏江流域水质存在重大安全隐患，在现状监测数据中已有显现。因此加强园区工业固体废弃物的管理显得尤为重要。</w:t>
                  </w:r>
                </w:p>
                <w:p w14:paraId="5CFB707E">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寻甸特色产业园区以煤磷化工企业为主，黄磷渣、磷石膏产生量大，除应严格按照《中华人民共和国固体废物污染环境防治法》和固体废物污染防治技术政策相关规定，对渣场做到“三防”措施。同时，园区还应引入下游企业，延长产业链，对黄磷渣、磷石膏进行低成本、高效益的综合利用。对渣场现有磷石膏、黄磷应尽快进行综合利用，并设置合理的渗漏观测井，以便对现有渣场渗漏情况进行定期监控。</w:t>
                  </w:r>
                </w:p>
                <w:p w14:paraId="51994DF3">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园区渣场应另行选址，新建固体弃物堆场必须达到国家有关固体废弃物安全处置的要求，并远离牛栏江，在修建渣场前应严格做好底层和侧面防渗工程及地表径流收集处理系统，并做好建设规范污染渗漏观测井，定期对观测井水质进行监测，防止渣场对周围地表及地下水体造成危害。若不能做到“三防”要求的企业则应严肃查处，并要求其限期进行治理和整改，在限期内仍然不合格的，提请各级政府部门实行关、停、并、转等处理。</w:t>
                  </w:r>
                </w:p>
              </w:tc>
              <w:tc>
                <w:tcPr>
                  <w:tcW w:w="2513" w:type="dxa"/>
                  <w:vAlign w:val="center"/>
                </w:tcPr>
                <w:p w14:paraId="0F19B8C1">
                  <w:pPr>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本项目产生一般固体废物主要为生活垃圾（垃圾桶收集后由环卫部门定期清运处置）、除尘器收集粉尘（收集后用作原料使用）、废布袋（由厂家带走处置）、滴漏沥青及拌合残渣（外售作为建筑材料），均得到合理处置；产生的危险废物主要为废导热油（由更换厂家带走回收处置）、焦油渣（收集依托采石场危废暂存间暂存，定期委托有资质单位清运处置）、废活性炭（由更换厂家带走回收处置）、废机油和含机油废抹布和废手套（收集依托采石场危废暂存间暂存，定期委托有资质单位清运处置）。</w:t>
                  </w:r>
                </w:p>
              </w:tc>
              <w:tc>
                <w:tcPr>
                  <w:tcW w:w="730" w:type="dxa"/>
                  <w:vAlign w:val="center"/>
                </w:tcPr>
                <w:p w14:paraId="34EA4BF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bl>
          <w:p w14:paraId="3974C447">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color w:val="auto"/>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w:t>
            </w:r>
            <w:r>
              <w:rPr>
                <w:rFonts w:hint="eastAsia" w:cs="Times New Roman"/>
                <w:color w:val="auto"/>
                <w:sz w:val="24"/>
                <w:lang w:val="en-US" w:eastAsia="zh-CN"/>
              </w:rPr>
              <w:t>《牛栏江流域（寻甸段）水环境保护规划》的</w:t>
            </w:r>
            <w:r>
              <w:rPr>
                <w:rFonts w:hint="default" w:ascii="Times New Roman" w:hAnsi="Times New Roman" w:eastAsia="宋体" w:cs="Times New Roman"/>
                <w:color w:val="auto"/>
                <w:kern w:val="0"/>
                <w:sz w:val="24"/>
                <w:szCs w:val="24"/>
                <w:lang w:val="en-US" w:eastAsia="zh-CN" w:bidi="ar"/>
              </w:rPr>
              <w:t>相关要求。</w:t>
            </w:r>
          </w:p>
          <w:p w14:paraId="5E737D37">
            <w:pPr>
              <w:keepNext w:val="0"/>
              <w:keepLines w:val="0"/>
              <w:widowControl/>
              <w:numPr>
                <w:ilvl w:val="0"/>
                <w:numId w:val="0"/>
              </w:numPr>
              <w:suppressLineNumbers w:val="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十四、</w:t>
            </w:r>
            <w:r>
              <w:rPr>
                <w:rFonts w:hint="default" w:ascii="Times New Roman" w:hAnsi="Times New Roman" w:eastAsia="宋体" w:cs="Times New Roman"/>
                <w:b/>
                <w:bCs/>
                <w:color w:val="auto"/>
                <w:kern w:val="0"/>
                <w:sz w:val="24"/>
                <w:szCs w:val="24"/>
                <w:lang w:val="en-US" w:eastAsia="zh-CN" w:bidi="ar"/>
              </w:rPr>
              <w:t>与《云南省生态环境厅云南省交通运输厅关于加强高等级公路建设项目施工扬尘污染防治的通知》</w:t>
            </w:r>
            <w:r>
              <w:rPr>
                <w:rFonts w:hint="eastAsia" w:ascii="Times New Roman" w:hAnsi="Times New Roman" w:eastAsia="宋体" w:cs="Times New Roman"/>
                <w:b/>
                <w:bCs/>
                <w:color w:val="auto"/>
                <w:kern w:val="0"/>
                <w:sz w:val="24"/>
                <w:szCs w:val="24"/>
                <w:lang w:val="en-US" w:eastAsia="zh-CN" w:bidi="ar"/>
              </w:rPr>
              <w:t>相符性</w:t>
            </w:r>
            <w:r>
              <w:rPr>
                <w:rFonts w:hint="default" w:ascii="Times New Roman" w:hAnsi="Times New Roman" w:eastAsia="宋体" w:cs="Times New Roman"/>
                <w:b/>
                <w:bCs/>
                <w:color w:val="auto"/>
                <w:kern w:val="0"/>
                <w:sz w:val="24"/>
                <w:szCs w:val="24"/>
                <w:lang w:val="en-US" w:eastAsia="zh-CN" w:bidi="ar"/>
              </w:rPr>
              <w:t>分析</w:t>
            </w:r>
          </w:p>
          <w:p w14:paraId="55D984DB">
            <w:pPr>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本项目与</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云南省生态环境厅云南省交通运输厅关于加强高等级公路建设项目施工扬尘污染防治的通知</w:t>
            </w:r>
            <w:r>
              <w:rPr>
                <w:rFonts w:hint="eastAsia" w:ascii="Times New Roman" w:hAnsi="Times New Roman" w:eastAsia="宋体" w:cs="Times New Roman"/>
                <w:color w:val="auto"/>
                <w:sz w:val="24"/>
                <w:lang w:val="en-US" w:eastAsia="zh-CN"/>
              </w:rPr>
              <w:t>》中相关防尘抑尘措施内容</w:t>
            </w:r>
            <w:r>
              <w:rPr>
                <w:rFonts w:hint="eastAsia" w:ascii="Times New Roman" w:hAnsi="Times New Roman" w:eastAsia="宋体" w:cs="Times New Roman"/>
                <w:color w:val="auto"/>
                <w:sz w:val="24"/>
                <w:lang w:eastAsia="zh-CN"/>
              </w:rPr>
              <w:t>的符合性分析</w:t>
            </w:r>
            <w:r>
              <w:rPr>
                <w:rFonts w:hint="eastAsia" w:ascii="Times New Roman" w:hAnsi="Times New Roman" w:eastAsia="宋体" w:cs="Times New Roman"/>
                <w:color w:val="auto"/>
                <w:sz w:val="24"/>
                <w:lang w:val="en-US" w:eastAsia="zh-CN"/>
              </w:rPr>
              <w:t>详见下表</w:t>
            </w:r>
            <w:r>
              <w:rPr>
                <w:rFonts w:ascii="Times New Roman" w:hAnsi="Times New Roman" w:eastAsia="宋体" w:cs="Times New Roman"/>
                <w:color w:val="auto"/>
                <w:sz w:val="24"/>
              </w:rPr>
              <w:t>1</w:t>
            </w:r>
            <w:r>
              <w:rPr>
                <w:rFonts w:hint="eastAsia" w:ascii="Times New Roman" w:hAnsi="Times New Roman" w:eastAsia="宋体" w:cs="Times New Roman"/>
                <w:color w:val="auto"/>
                <w:sz w:val="24"/>
              </w:rPr>
              <w:t>-</w:t>
            </w:r>
            <w:r>
              <w:rPr>
                <w:rFonts w:hint="eastAsia" w:cs="Times New Roman"/>
                <w:color w:val="auto"/>
                <w:sz w:val="24"/>
                <w:lang w:val="en-US" w:eastAsia="zh-CN"/>
              </w:rPr>
              <w:t>15</w:t>
            </w:r>
            <w:r>
              <w:rPr>
                <w:rFonts w:ascii="Times New Roman" w:hAnsi="Times New Roman" w:eastAsia="宋体" w:cs="Times New Roman"/>
                <w:color w:val="auto"/>
                <w:sz w:val="24"/>
              </w:rPr>
              <w:t>。</w:t>
            </w:r>
          </w:p>
          <w:p w14:paraId="6EC80600">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eastAsia="宋体"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15</w:t>
            </w:r>
            <w:r>
              <w:rPr>
                <w:rFonts w:hint="eastAsia" w:ascii="Times New Roman" w:hAnsi="Times New Roman" w:eastAsia="宋体" w:cs="Times New Roman"/>
                <w:b/>
                <w:bCs/>
                <w:color w:val="auto"/>
                <w:kern w:val="0"/>
                <w:sz w:val="21"/>
                <w:szCs w:val="21"/>
                <w:lang w:val="en-US" w:eastAsia="zh-CN" w:bidi="ar"/>
              </w:rPr>
              <w:t xml:space="preserve">  与《云南省生态环境厅云南省交通运输厅关于加强高等级公路建设项目施工扬尘污染防治的通知》符合性分析</w:t>
            </w:r>
          </w:p>
          <w:tbl>
            <w:tblPr>
              <w:tblStyle w:val="16"/>
              <w:tblW w:w="8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4"/>
              <w:gridCol w:w="3112"/>
              <w:gridCol w:w="646"/>
            </w:tblGrid>
            <w:tr w14:paraId="22AF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4" w:type="dxa"/>
                  <w:noWrap w:val="0"/>
                  <w:vAlign w:val="center"/>
                </w:tcPr>
                <w:p w14:paraId="75BD42C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通知</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中防尘抑尘措施</w:t>
                  </w:r>
                </w:p>
              </w:tc>
              <w:tc>
                <w:tcPr>
                  <w:tcW w:w="3112" w:type="dxa"/>
                  <w:noWrap w:val="0"/>
                  <w:vAlign w:val="center"/>
                </w:tcPr>
                <w:p w14:paraId="3F4F31A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本项目情况</w:t>
                  </w:r>
                </w:p>
              </w:tc>
              <w:tc>
                <w:tcPr>
                  <w:tcW w:w="646" w:type="dxa"/>
                  <w:noWrap w:val="0"/>
                  <w:vAlign w:val="center"/>
                </w:tcPr>
                <w:p w14:paraId="354A5DF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符合性</w:t>
                  </w:r>
                </w:p>
              </w:tc>
            </w:tr>
            <w:tr w14:paraId="4C78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4" w:type="dxa"/>
                  <w:noWrap w:val="0"/>
                  <w:vAlign w:val="center"/>
                </w:tcPr>
                <w:p w14:paraId="5B3CC4B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（四）</w:t>
                  </w:r>
                  <w:r>
                    <w:rPr>
                      <w:rFonts w:hint="default" w:ascii="Times New Roman" w:hAnsi="Times New Roman" w:eastAsia="宋体" w:cs="Times New Roman"/>
                      <w:b w:val="0"/>
                      <w:bCs w:val="0"/>
                      <w:color w:val="auto"/>
                      <w:kern w:val="0"/>
                      <w:sz w:val="21"/>
                      <w:szCs w:val="21"/>
                      <w:vertAlign w:val="baseline"/>
                      <w:lang w:val="en-US" w:eastAsia="zh-CN" w:bidi="ar"/>
                    </w:rPr>
                    <w:t>合理布置沥青搅拌、混合料拌和场站。沥青搅拌场站距村庄、学校、医院及人口密集区等环境敏感目标的距离不小于300米，混合料拌和站距环境敏感目标的距离不小于200米，并应设置在当地施工季节主导风向的下风向。</w:t>
                  </w:r>
                </w:p>
              </w:tc>
              <w:tc>
                <w:tcPr>
                  <w:tcW w:w="3112" w:type="dxa"/>
                  <w:noWrap w:val="0"/>
                  <w:vAlign w:val="center"/>
                </w:tcPr>
                <w:p w14:paraId="77E909DE">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b w:val="0"/>
                      <w:bCs w:val="0"/>
                      <w:color w:val="auto"/>
                      <w:kern w:val="0"/>
                      <w:sz w:val="21"/>
                      <w:szCs w:val="21"/>
                      <w:vertAlign w:val="baseline"/>
                      <w:lang w:val="en-US" w:eastAsia="zh-CN" w:bidi="ar"/>
                    </w:rPr>
                    <w:t>本项目为沥</w:t>
                  </w:r>
                  <w:r>
                    <w:rPr>
                      <w:rFonts w:hint="eastAsia"/>
                      <w:color w:val="auto"/>
                      <w:sz w:val="21"/>
                      <w:szCs w:val="21"/>
                    </w:rPr>
                    <w:t>青混凝土</w:t>
                  </w:r>
                  <w:r>
                    <w:rPr>
                      <w:rFonts w:hint="eastAsia"/>
                      <w:color w:val="auto"/>
                      <w:sz w:val="21"/>
                      <w:szCs w:val="21"/>
                      <w:lang w:val="en-US" w:eastAsia="zh-CN"/>
                    </w:rPr>
                    <w:t>生产</w:t>
                  </w:r>
                  <w:r>
                    <w:rPr>
                      <w:rFonts w:hint="eastAsia"/>
                      <w:color w:val="auto"/>
                      <w:sz w:val="21"/>
                      <w:szCs w:val="21"/>
                    </w:rPr>
                    <w:t>项目</w:t>
                  </w:r>
                  <w:r>
                    <w:rPr>
                      <w:rFonts w:hint="eastAsia" w:ascii="Times New Roman" w:hAnsi="Times New Roman" w:eastAsia="宋体" w:cs="Times New Roman"/>
                      <w:b w:val="0"/>
                      <w:bCs w:val="0"/>
                      <w:color w:val="auto"/>
                      <w:kern w:val="0"/>
                      <w:sz w:val="21"/>
                      <w:szCs w:val="21"/>
                      <w:vertAlign w:val="baseline"/>
                      <w:lang w:val="en-US" w:eastAsia="zh-CN" w:bidi="ar"/>
                    </w:rPr>
                    <w:t>，最近村庄为项目区西北侧约750m处的小法古，距离大于300米，且位于项目区侧风向。</w:t>
                  </w:r>
                </w:p>
              </w:tc>
              <w:tc>
                <w:tcPr>
                  <w:tcW w:w="646" w:type="dxa"/>
                  <w:noWrap w:val="0"/>
                  <w:vAlign w:val="center"/>
                </w:tcPr>
                <w:p w14:paraId="4F6252C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符合</w:t>
                  </w:r>
                </w:p>
              </w:tc>
            </w:tr>
          </w:tbl>
          <w:p w14:paraId="727D94F6">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ind w:firstLine="480" w:firstLineChars="200"/>
              <w:jc w:val="left"/>
              <w:textAlignment w:val="auto"/>
              <w:rPr>
                <w:rFonts w:hint="default"/>
                <w:b/>
                <w:bCs/>
                <w:color w:val="auto"/>
                <w:lang w:val="en-US" w:eastAsia="zh-CN"/>
              </w:rPr>
            </w:pPr>
            <w:r>
              <w:rPr>
                <w:rFonts w:hint="default" w:ascii="Times New Roman" w:hAnsi="Times New Roman" w:eastAsia="宋体" w:cs="Times New Roman"/>
                <w:color w:val="auto"/>
                <w:kern w:val="0"/>
                <w:sz w:val="24"/>
                <w:szCs w:val="24"/>
                <w:lang w:val="en-US" w:eastAsia="zh-CN" w:bidi="ar"/>
              </w:rPr>
              <w:t>综上</w:t>
            </w:r>
            <w:r>
              <w:rPr>
                <w:rFonts w:hint="eastAsia" w:cs="Times New Roman"/>
                <w:color w:val="auto"/>
                <w:kern w:val="0"/>
                <w:sz w:val="24"/>
                <w:szCs w:val="24"/>
                <w:lang w:val="en-US" w:eastAsia="zh-CN" w:bidi="ar"/>
              </w:rPr>
              <w:t>分析</w:t>
            </w:r>
            <w:r>
              <w:rPr>
                <w:rFonts w:hint="default" w:ascii="Times New Roman" w:hAnsi="Times New Roman" w:eastAsia="宋体" w:cs="Times New Roman"/>
                <w:color w:val="auto"/>
                <w:kern w:val="0"/>
                <w:sz w:val="24"/>
                <w:szCs w:val="24"/>
                <w:lang w:val="en-US" w:eastAsia="zh-CN" w:bidi="ar"/>
              </w:rPr>
              <w:t>，本项目符合《</w:t>
            </w:r>
            <w:r>
              <w:rPr>
                <w:rFonts w:hint="eastAsia" w:ascii="Times New Roman" w:hAnsi="Times New Roman" w:eastAsia="宋体" w:cs="Times New Roman"/>
                <w:color w:val="auto"/>
                <w:sz w:val="24"/>
                <w:lang w:val="en-US" w:eastAsia="zh-CN"/>
              </w:rPr>
              <w:t>云南省生态环境厅云南省交通运输厅关于加强高等级公路建设项目施工扬尘污染防治的通知</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相关要求。</w:t>
            </w:r>
          </w:p>
          <w:p w14:paraId="4618F292">
            <w:pPr>
              <w:keepNext w:val="0"/>
              <w:keepLines w:val="0"/>
              <w:widowControl/>
              <w:numPr>
                <w:ilvl w:val="0"/>
                <w:numId w:val="0"/>
              </w:numPr>
              <w:suppressLineNumbers w:val="0"/>
              <w:jc w:val="left"/>
            </w:pPr>
            <w:r>
              <w:rPr>
                <w:rFonts w:hint="eastAsia" w:cs="Times New Roman"/>
                <w:b/>
                <w:bCs/>
                <w:color w:val="auto"/>
                <w:kern w:val="0"/>
                <w:sz w:val="24"/>
                <w:szCs w:val="24"/>
                <w:lang w:val="en-US" w:eastAsia="zh-CN" w:bidi="ar"/>
              </w:rPr>
              <w:t>十五</w:t>
            </w:r>
            <w:r>
              <w:rPr>
                <w:rFonts w:hint="eastAsia" w:ascii="Times New Roman" w:hAnsi="Times New Roman" w:eastAsia="宋体" w:cs="Times New Roman"/>
                <w:b/>
                <w:bCs/>
                <w:color w:val="auto"/>
                <w:kern w:val="0"/>
                <w:sz w:val="24"/>
                <w:szCs w:val="24"/>
                <w:lang w:val="en-US" w:eastAsia="zh-CN" w:bidi="ar"/>
              </w:rPr>
              <w:t>、选址合理及可行性分析</w:t>
            </w:r>
          </w:p>
          <w:p w14:paraId="3BD2D090">
            <w:pPr>
              <w:keepNext/>
              <w:keepLines/>
              <w:spacing w:line="360" w:lineRule="auto"/>
              <w:ind w:firstLine="480" w:firstLineChars="200"/>
              <w:rPr>
                <w:rFonts w:hint="eastAsia" w:ascii="Times New Roman" w:hAnsi="Times New Roman" w:eastAsia="宋体" w:cs="Times New Roman"/>
                <w:color w:val="000000" w:themeColor="text1"/>
                <w:kern w:val="0"/>
                <w:sz w:val="24"/>
                <w:lang w:eastAsia="zh-CN"/>
                <w14:textFill>
                  <w14:solidFill>
                    <w14:schemeClr w14:val="tx1"/>
                  </w14:solidFill>
                </w14:textFill>
              </w:rPr>
            </w:pPr>
            <w:r>
              <w:rPr>
                <w:rFonts w:hint="eastAsia" w:ascii="Times New Roman" w:hAnsi="Times New Roman" w:eastAsia="宋体" w:cs="Times New Roman"/>
                <w:bCs/>
                <w:kern w:val="44"/>
                <w:sz w:val="24"/>
                <w:szCs w:val="30"/>
                <w:lang w:val="en-US" w:eastAsia="zh-CN" w:bidi="ar-SA"/>
              </w:rPr>
              <w:t>本项目位于云南省昆明市寻甸县仁德街道道院社区大发古村石头山采石场，租赁</w:t>
            </w:r>
            <w:r>
              <w:rPr>
                <w:rFonts w:hint="eastAsia" w:cs="Times New Roman"/>
                <w:b w:val="0"/>
                <w:bCs w:val="0"/>
                <w:color w:val="000000" w:themeColor="text1"/>
                <w:sz w:val="24"/>
                <w:szCs w:val="24"/>
                <w:lang w:val="en-US" w:eastAsia="zh-CN"/>
                <w14:textFill>
                  <w14:solidFill>
                    <w14:schemeClr w14:val="tx1"/>
                  </w14:solidFill>
                </w14:textFill>
              </w:rPr>
              <w:t>云南龙泉矿业开发有限公司采石场内空地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建设生产，</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20</w:t>
            </w:r>
            <w:r>
              <w:rPr>
                <w:rFonts w:hint="eastAsia" w:cs="Times New Roman"/>
                <w:b w:val="0"/>
                <w:bCs w:val="0"/>
                <w:color w:val="000000" w:themeColor="text1"/>
                <w:sz w:val="24"/>
                <w:szCs w:val="24"/>
                <w:highlight w:val="none"/>
                <w:lang w:val="en-US" w:eastAsia="zh-CN"/>
                <w14:textFill>
                  <w14:solidFill>
                    <w14:schemeClr w14:val="tx1"/>
                  </w14:solidFill>
                </w14:textFill>
              </w:rPr>
              <w:t>25</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年</w:t>
            </w:r>
            <w:r>
              <w:rPr>
                <w:rFonts w:hint="eastAsia" w:cs="Times New Roman"/>
                <w:b w:val="0"/>
                <w:bCs w:val="0"/>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月1</w:t>
            </w:r>
            <w:r>
              <w:rPr>
                <w:rFonts w:hint="eastAsia" w:cs="Times New Roman"/>
                <w:b w:val="0"/>
                <w:bCs w:val="0"/>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日寻甸回族彝族自治县</w:t>
            </w:r>
            <w:r>
              <w:rPr>
                <w:rFonts w:hint="eastAsia" w:cs="Times New Roman"/>
                <w:b w:val="0"/>
                <w:bCs w:val="0"/>
                <w:color w:val="000000" w:themeColor="text1"/>
                <w:sz w:val="24"/>
                <w:szCs w:val="24"/>
                <w:highlight w:val="none"/>
                <w:lang w:val="en-US" w:eastAsia="zh-CN"/>
                <w14:textFill>
                  <w14:solidFill>
                    <w14:schemeClr w14:val="tx1"/>
                  </w14:solidFill>
                </w14:textFill>
              </w:rPr>
              <w:t>自然</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资源局出具的《关于寻甸福兴宏盛土石方工程有限公司10万吨/年沥青混凝土搅拌站建设项目是否涉及生态红线及城镇开发边界的情况说明》</w:t>
            </w:r>
            <w:r>
              <w:rPr>
                <w:rFonts w:hint="eastAsia" w:cs="Times New Roman"/>
                <w:b w:val="0"/>
                <w:bCs w:val="0"/>
                <w:color w:val="000000" w:themeColor="text1"/>
                <w:sz w:val="24"/>
                <w:szCs w:val="24"/>
                <w:highlight w:val="none"/>
                <w:lang w:val="en-US" w:eastAsia="zh-CN"/>
                <w14:textFill>
                  <w14:solidFill>
                    <w14:schemeClr w14:val="tx1"/>
                  </w14:solidFill>
                </w14:textFill>
              </w:rPr>
              <w:t>和《关于寻甸福兴宏盛土石方工程有限公司10万吨/年沥青混凝土搅拌站建设项目范围是否涉及永久基本农田的说明》（见附件5）</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，项目位置不涉及生态红线</w:t>
            </w:r>
            <w:r>
              <w:rPr>
                <w:rFonts w:hint="eastAsia" w:cs="Times New Roman"/>
                <w:b w:val="0"/>
                <w:bCs w:val="0"/>
                <w:color w:val="000000" w:themeColor="text1"/>
                <w:sz w:val="24"/>
                <w:szCs w:val="24"/>
                <w:highlight w:val="none"/>
                <w:lang w:val="en-US" w:eastAsia="zh-CN"/>
                <w14:textFill>
                  <w14:solidFill>
                    <w14:schemeClr w14:val="tx1"/>
                  </w14:solidFill>
                </w14:textFill>
              </w:rPr>
              <w:t>和永久基本农田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auto"/>
                <w:sz w:val="24"/>
                <w:szCs w:val="24"/>
                <w:lang w:val="en-US" w:eastAsia="zh-CN"/>
              </w:rPr>
              <w:t>不在</w:t>
            </w:r>
            <w:r>
              <w:rPr>
                <w:rFonts w:hint="eastAsia" w:ascii="Times New Roman" w:hAnsi="Times New Roman" w:eastAsia="宋体" w:cs="Times New Roman"/>
                <w:b w:val="0"/>
                <w:bCs w:val="0"/>
                <w:color w:val="auto"/>
                <w:sz w:val="24"/>
                <w:szCs w:val="24"/>
                <w:highlight w:val="none"/>
                <w:lang w:val="en-US" w:eastAsia="zh-CN"/>
              </w:rPr>
              <w:t>城镇开发边界</w:t>
            </w:r>
            <w:r>
              <w:rPr>
                <w:rFonts w:hint="eastAsia" w:cs="Times New Roman"/>
                <w:b w:val="0"/>
                <w:bCs w:val="0"/>
                <w:color w:val="auto"/>
                <w:sz w:val="24"/>
                <w:szCs w:val="24"/>
                <w:highlight w:val="none"/>
                <w:lang w:val="en-US" w:eastAsia="zh-CN"/>
              </w:rPr>
              <w:t>内</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000000" w:themeColor="text1"/>
                <w:kern w:val="0"/>
                <w:sz w:val="24"/>
                <w:lang w:val="en-US" w:eastAsia="zh-CN"/>
                <w14:textFill>
                  <w14:solidFill>
                    <w14:schemeClr w14:val="tx1"/>
                  </w14:solidFill>
                </w14:textFill>
              </w:rPr>
              <w:t>且</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项目已取得寻甸回族彝族自治县科学技术和工业信息化局出具的《关于寻甸福兴宏盛土石方工程有限公司10万吨/年沥青混凝土搅拌站建设项目不进工业园区选址的批复》（寻科工信复〔2025〕6号）</w:t>
            </w:r>
            <w:r>
              <w:rPr>
                <w:rFonts w:hint="eastAsia" w:cs="Times New Roman"/>
                <w:b w:val="0"/>
                <w:bCs w:val="0"/>
                <w:color w:val="000000" w:themeColor="text1"/>
                <w:sz w:val="24"/>
                <w:szCs w:val="24"/>
                <w:lang w:val="en-US" w:eastAsia="zh-CN"/>
                <w14:textFill>
                  <w14:solidFill>
                    <w14:schemeClr w14:val="tx1"/>
                  </w14:solidFill>
                </w14:textFill>
              </w:rPr>
              <w:t>（见附件3）</w:t>
            </w:r>
            <w:r>
              <w:rPr>
                <w:rFonts w:hint="eastAsia" w:ascii="Times New Roman" w:hAnsi="Times New Roman" w:eastAsia="宋体" w:cs="Times New Roman"/>
                <w:color w:val="000000" w:themeColor="text1"/>
                <w:kern w:val="0"/>
                <w:sz w:val="24"/>
                <w:lang w:eastAsia="zh-CN"/>
                <w14:textFill>
                  <w14:solidFill>
                    <w14:schemeClr w14:val="tx1"/>
                  </w14:solidFill>
                </w14:textFill>
              </w:rPr>
              <w:t>。</w:t>
            </w:r>
          </w:p>
          <w:p w14:paraId="35DE7E13">
            <w:pPr>
              <w:keepNext/>
              <w:keepLines/>
              <w:spacing w:line="360" w:lineRule="auto"/>
              <w:ind w:firstLine="480" w:firstLineChars="200"/>
              <w:rPr>
                <w:rFonts w:hint="default" w:ascii="Times New Roman" w:hAnsi="Times New Roman" w:eastAsia="宋体" w:cs="Times New Roman"/>
                <w:bCs/>
                <w:kern w:val="44"/>
                <w:sz w:val="24"/>
                <w:szCs w:val="30"/>
                <w:lang w:val="en-US" w:eastAsia="zh-CN" w:bidi="ar-SA"/>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经现场勘查，项目位置位于采石场内3#堆料场和破碎站之间的空地上，采石场办公生活区位于南侧约340m处，属项目位置侧风向上，项目周围500m范围内无环境敏感目标，</w:t>
            </w:r>
            <w:r>
              <w:rPr>
                <w:rFonts w:hint="eastAsia"/>
                <w:bCs/>
                <w:szCs w:val="21"/>
              </w:rPr>
              <w:t>项目区域交通运输便利，运输能力强，对项目原料及产品的运输有利</w:t>
            </w:r>
            <w:r>
              <w:rPr>
                <w:rFonts w:hint="eastAsia"/>
                <w:bCs/>
                <w:szCs w:val="21"/>
                <w:lang w:eastAsia="zh-CN"/>
              </w:rPr>
              <w:t>，</w:t>
            </w:r>
            <w:r>
              <w:rPr>
                <w:rFonts w:hint="eastAsia"/>
                <w:bCs/>
                <w:szCs w:val="21"/>
              </w:rPr>
              <w:t>项目符合国家产业政策、符合规划、相关环保要求，项目区不在生态红线范围内</w:t>
            </w:r>
            <w:r>
              <w:rPr>
                <w:rFonts w:hint="eastAsia"/>
                <w:bCs/>
                <w:szCs w:val="21"/>
                <w:lang w:eastAsia="zh-CN"/>
              </w:rPr>
              <w:t>，</w:t>
            </w:r>
            <w:r>
              <w:rPr>
                <w:rFonts w:hint="eastAsia"/>
                <w:bCs/>
                <w:szCs w:val="21"/>
              </w:rPr>
              <w:t>本项目选址不涉及国务院、国家有关部门、省（自治区、直辖市）人民政府、县人民政府规定的饮用水水源保护区、自然保护区、风景名胜区、生态功能保护区、森林公园、地质公园、世界遗产地、国家重点文物保护单位、历史文化保护地，不占用</w:t>
            </w:r>
            <w:r>
              <w:rPr>
                <w:rFonts w:hint="eastAsia"/>
                <w:bCs/>
                <w:szCs w:val="21"/>
                <w:lang w:val="en-US" w:eastAsia="zh-CN"/>
              </w:rPr>
              <w:t>永久</w:t>
            </w:r>
            <w:r>
              <w:rPr>
                <w:rFonts w:hint="eastAsia"/>
                <w:bCs/>
                <w:szCs w:val="21"/>
              </w:rPr>
              <w:t>基本农田及公益林地，区内无国家规定的保护动植物。</w:t>
            </w:r>
          </w:p>
          <w:p w14:paraId="59E7A72E">
            <w:pPr>
              <w:keepNext/>
              <w:keepLines/>
              <w:spacing w:line="360" w:lineRule="auto"/>
              <w:ind w:firstLine="480" w:firstLineChars="200"/>
              <w:rPr>
                <w:rFonts w:hint="eastAsia" w:ascii="Times New Roman" w:hAnsi="Times New Roman" w:eastAsia="宋体" w:cs="Times New Roman"/>
                <w:bCs/>
                <w:szCs w:val="21"/>
              </w:rPr>
            </w:pPr>
            <w:r>
              <w:rPr>
                <w:rFonts w:hint="eastAsia" w:ascii="Times New Roman" w:hAnsi="Times New Roman" w:eastAsia="宋体" w:cs="Times New Roman"/>
                <w:bCs/>
                <w:szCs w:val="21"/>
              </w:rPr>
              <w:t>项目</w:t>
            </w:r>
            <w:r>
              <w:rPr>
                <w:rFonts w:hint="eastAsia" w:ascii="Times New Roman" w:hAnsi="Times New Roman" w:eastAsia="宋体" w:cs="Times New Roman"/>
                <w:bCs/>
                <w:szCs w:val="21"/>
                <w:lang w:val="en-US" w:eastAsia="zh-CN"/>
              </w:rPr>
              <w:t>生产</w:t>
            </w:r>
            <w:r>
              <w:rPr>
                <w:rFonts w:hint="eastAsia" w:ascii="Times New Roman" w:hAnsi="Times New Roman" w:eastAsia="宋体" w:cs="Times New Roman"/>
                <w:bCs/>
                <w:szCs w:val="21"/>
              </w:rPr>
              <w:t>污染源采取相应的污染控制措施后，均可实现达标排放，不会对区域环境产生明显影响。</w:t>
            </w:r>
          </w:p>
          <w:p w14:paraId="37E57AE1">
            <w:pPr>
              <w:keepNext/>
              <w:keepLines/>
              <w:spacing w:line="360" w:lineRule="auto"/>
              <w:ind w:firstLine="480" w:firstLineChars="200"/>
              <w:rPr>
                <w:rFonts w:hint="eastAsia"/>
                <w:color w:val="0000FF"/>
                <w:lang w:val="en-US" w:eastAsia="zh-CN"/>
              </w:rPr>
            </w:pPr>
            <w:r>
              <w:rPr>
                <w:rFonts w:hint="eastAsia" w:ascii="Times New Roman" w:hAnsi="Times New Roman" w:eastAsia="宋体" w:cs="Times New Roman"/>
                <w:bCs/>
                <w:szCs w:val="21"/>
              </w:rPr>
              <w:t>综上，本项目建设符合规划要求，选址范围内不存在影响本项目建设的限制性因素，项目运营过程对外环境及周围敏感点影响很小</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选址合理</w:t>
            </w:r>
            <w:r>
              <w:rPr>
                <w:rFonts w:hint="eastAsia" w:ascii="Times New Roman" w:hAnsi="Times New Roman" w:eastAsia="宋体" w:cs="Times New Roman"/>
                <w:bCs/>
                <w:szCs w:val="21"/>
              </w:rPr>
              <w:t>。</w:t>
            </w:r>
          </w:p>
        </w:tc>
      </w:tr>
    </w:tbl>
    <w:p w14:paraId="4F2A9E96">
      <w:pPr>
        <w:pStyle w:val="2"/>
        <w:jc w:val="center"/>
        <w:rPr>
          <w:rFonts w:hint="eastAsia" w:eastAsia="宋体"/>
          <w:lang w:eastAsia="zh-CN"/>
        </w:rPr>
      </w:pPr>
      <w:r>
        <w:rPr>
          <w:rFonts w:hint="eastAsia"/>
        </w:rPr>
        <w:br w:type="page"/>
      </w:r>
      <w:bookmarkStart w:id="6" w:name="_Toc20144"/>
      <w:r>
        <w:rPr>
          <w:rFonts w:hint="eastAsia"/>
        </w:rPr>
        <w:t>二、建设</w:t>
      </w:r>
      <w:r>
        <w:rPr>
          <w:rFonts w:hint="eastAsia"/>
          <w:lang w:eastAsia="zh-CN"/>
        </w:rPr>
        <w:t>项目工程分析</w:t>
      </w:r>
      <w:bookmarkEnd w:id="6"/>
    </w:p>
    <w:tbl>
      <w:tblPr>
        <w:tblStyle w:val="15"/>
        <w:tblW w:w="9283" w:type="dxa"/>
        <w:tblInd w:w="-42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0"/>
        <w:gridCol w:w="8583"/>
      </w:tblGrid>
      <w:tr w14:paraId="540452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6" w:hRule="atLeast"/>
        </w:trPr>
        <w:tc>
          <w:tcPr>
            <w:tcW w:w="700" w:type="dxa"/>
            <w:noWrap w:val="0"/>
            <w:vAlign w:val="center"/>
          </w:tcPr>
          <w:p w14:paraId="0D9CCF5A">
            <w:pPr>
              <w:ind w:left="0" w:leftChars="0" w:firstLine="0" w:firstLineChars="0"/>
              <w:rPr>
                <w:rFonts w:hint="default" w:eastAsia="宋体"/>
                <w:lang w:val="en-US" w:eastAsia="zh-CN"/>
              </w:rPr>
            </w:pPr>
            <w:r>
              <w:rPr>
                <w:rFonts w:hint="eastAsia"/>
                <w:lang w:val="en-US" w:eastAsia="zh-CN"/>
              </w:rPr>
              <w:t>建设内容</w:t>
            </w:r>
          </w:p>
        </w:tc>
        <w:tc>
          <w:tcPr>
            <w:tcW w:w="8583" w:type="dxa"/>
            <w:noWrap w:val="0"/>
            <w:vAlign w:val="center"/>
          </w:tcPr>
          <w:p w14:paraId="40C83BD2">
            <w:pPr>
              <w:keepNext w:val="0"/>
              <w:keepLines w:val="0"/>
              <w:pageBreakBefore w:val="0"/>
              <w:widowControl w:val="0"/>
              <w:kinsoku/>
              <w:wordWrap/>
              <w:overflowPunct/>
              <w:topLinePunct w:val="0"/>
              <w:autoSpaceDE/>
              <w:autoSpaceDN/>
              <w:bidi w:val="0"/>
              <w:adjustRightInd/>
              <w:snapToGrid/>
              <w:spacing w:before="157" w:beforeLines="50"/>
              <w:ind w:left="0" w:leftChars="0" w:firstLine="482" w:firstLineChars="200"/>
              <w:jc w:val="left"/>
              <w:textAlignment w:val="auto"/>
              <w:rPr>
                <w:rFonts w:hint="default"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一、项目建设背景</w:t>
            </w:r>
          </w:p>
          <w:p w14:paraId="73598E0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根据《寻甸回族彝族自治县国土空间总体规划（2021-2025年）》（草案公示稿）中统筹构建总体发展格局，寻甸县仁德街道作为城市经济发展核心，在后续的城市房屋改造、道路翻新等发展建设过程中，</w:t>
            </w:r>
            <w:r>
              <w:rPr>
                <w:rFonts w:hint="eastAsia"/>
                <w:b w:val="0"/>
                <w:bCs w:val="0"/>
                <w:color w:val="auto"/>
                <w:lang w:val="en-US" w:eastAsia="zh-CN"/>
              </w:rPr>
              <w:t>需要大量的沥青混凝土。根据市场调研，</w:t>
            </w:r>
            <w:r>
              <w:rPr>
                <w:rFonts w:hint="eastAsia" w:cs="Times New Roman"/>
                <w:b w:val="0"/>
                <w:bCs w:val="0"/>
                <w:color w:val="auto"/>
                <w:sz w:val="24"/>
                <w:szCs w:val="24"/>
                <w:lang w:val="en-US" w:eastAsia="zh-CN"/>
              </w:rPr>
              <w:t>仁德街道</w:t>
            </w:r>
            <w:r>
              <w:rPr>
                <w:rFonts w:hint="eastAsia"/>
                <w:b w:val="0"/>
                <w:bCs w:val="0"/>
                <w:color w:val="auto"/>
                <w:lang w:val="en-US" w:eastAsia="zh-CN"/>
              </w:rPr>
              <w:t>内目前建有的沥青混凝土搅拌站较少，沥青混凝土市场前景较好，</w:t>
            </w:r>
            <w:r>
              <w:rPr>
                <w:rFonts w:hint="eastAsia" w:ascii="Times New Roman" w:hAnsi="Times New Roman" w:eastAsia="宋体" w:cs="Times New Roman"/>
                <w:b w:val="0"/>
                <w:bCs w:val="0"/>
                <w:color w:val="auto"/>
                <w:sz w:val="24"/>
                <w:szCs w:val="24"/>
                <w:lang w:val="en-US" w:eastAsia="zh-CN"/>
              </w:rPr>
              <w:t>据此，寻甸福兴宏盛土石方工程有限公司开展建设“寻甸福兴宏盛土石方工程有限公司10万吨/年沥青混凝土搅拌站建设项目”，计划生产3年。</w:t>
            </w:r>
          </w:p>
          <w:p w14:paraId="0400FE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cs="Times New Roman"/>
                <w:b w:val="0"/>
                <w:bCs w:val="0"/>
                <w:color w:val="000000" w:themeColor="text1"/>
                <w:sz w:val="24"/>
                <w:szCs w:val="24"/>
                <w:lang w:val="en-US" w:eastAsia="zh-CN"/>
                <w14:textFill>
                  <w14:solidFill>
                    <w14:schemeClr w14:val="tx1"/>
                  </w14:solidFill>
                </w14:textFill>
              </w:rPr>
              <w:t>寻甸福兴宏盛土石方工程有限公司</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租用</w:t>
            </w:r>
            <w:r>
              <w:rPr>
                <w:rFonts w:hint="eastAsia" w:cs="Times New Roman"/>
                <w:b w:val="0"/>
                <w:bCs w:val="0"/>
                <w:color w:val="000000" w:themeColor="text1"/>
                <w:sz w:val="24"/>
                <w:szCs w:val="24"/>
                <w:lang w:val="en-US" w:eastAsia="zh-CN"/>
                <w14:textFill>
                  <w14:solidFill>
                    <w14:schemeClr w14:val="tx1"/>
                  </w14:solidFill>
                </w14:textFill>
              </w:rPr>
              <w:t>云南龙泉矿业开发有限公司“45万吨/年普通建筑材料用石灰岩露天开采技术改造项目”用地范围内的空地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建设“</w:t>
            </w:r>
            <w:r>
              <w:rPr>
                <w:rFonts w:hint="eastAsia" w:cs="Times New Roman"/>
                <w:b w:val="0"/>
                <w:bCs w:val="0"/>
                <w:color w:val="000000" w:themeColor="text1"/>
                <w:sz w:val="24"/>
                <w:szCs w:val="24"/>
                <w:lang w:val="en-US" w:eastAsia="zh-CN"/>
                <w14:textFill>
                  <w14:solidFill>
                    <w14:schemeClr w14:val="tx1"/>
                  </w14:solidFill>
                </w14:textFill>
              </w:rPr>
              <w:t>寻甸福兴宏盛土石方工程有限公司10万吨/年沥青混凝土搅拌站建设项目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本项目于2025年3月19日取得了寻甸县发展和改革局下发的</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投资项目备案证</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，项目代码为：2504-530129-04-01-528969</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i w:val="0"/>
                <w:iCs w:val="0"/>
                <w:color w:val="000000" w:themeColor="text1"/>
                <w:sz w:val="24"/>
                <w:szCs w:val="24"/>
                <w:highlight w:val="none"/>
                <w:lang w:val="en-US" w:eastAsia="zh-CN"/>
                <w14:textFill>
                  <w14:solidFill>
                    <w14:schemeClr w14:val="tx1"/>
                  </w14:solidFill>
                </w14:textFill>
              </w:rPr>
              <w:t>见附件2</w:t>
            </w:r>
            <w:r>
              <w:rPr>
                <w:rFonts w:hint="eastAsia"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311CA9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根据《中华人民共和国环境保护法》、《中华人民共和国环境影响评价法》和《建设项目环境保护管理条例》的规定，本项目</w:t>
            </w:r>
            <w:r>
              <w:rPr>
                <w:rFonts w:hint="eastAsia" w:eastAsia="宋体" w:cs="Times New Roman"/>
                <w:b w:val="0"/>
                <w:bCs w:val="0"/>
                <w:color w:val="000000" w:themeColor="text1"/>
                <w:sz w:val="24"/>
                <w:szCs w:val="24"/>
                <w:lang w:val="en-US" w:eastAsia="zh-CN"/>
                <w14:textFill>
                  <w14:solidFill>
                    <w14:schemeClr w14:val="tx1"/>
                  </w14:solidFill>
                </w14:textFill>
              </w:rPr>
              <w:t>应</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开展环境影响评价工作</w:t>
            </w:r>
            <w:r>
              <w:rPr>
                <w:rFonts w:hint="eastAsia"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根据《国民经济行业分类》（GB/T4754-2017），</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为“</w:t>
            </w:r>
            <w:r>
              <w:rPr>
                <w:rFonts w:hint="eastAsia" w:cs="Times New Roman"/>
                <w:b w:val="0"/>
                <w:bCs w:val="0"/>
                <w:color w:val="000000" w:themeColor="text1"/>
                <w:sz w:val="24"/>
                <w:szCs w:val="24"/>
                <w:lang w:val="en-US" w:eastAsia="zh-CN"/>
                <w14:textFill>
                  <w14:solidFill>
                    <w14:schemeClr w14:val="tx1"/>
                  </w14:solidFill>
                </w14:textFill>
              </w:rPr>
              <w:t>C3099其他非金属矿物制品制造</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。根据国家《建设项目环境影响评价分类管理名录》（2021年版）规定，本项目属于</w:t>
            </w:r>
            <w:r>
              <w:rPr>
                <w:rFonts w:hint="eastAsia" w:cs="Times New Roman"/>
                <w:b w:val="0"/>
                <w:bCs w:val="0"/>
                <w:color w:val="000000" w:themeColor="text1"/>
                <w:sz w:val="24"/>
                <w:szCs w:val="24"/>
                <w:lang w:val="en-US" w:eastAsia="zh-CN"/>
                <w14:textFill>
                  <w14:solidFill>
                    <w14:schemeClr w14:val="tx1"/>
                  </w14:solidFill>
                </w14:textFill>
              </w:rPr>
              <w:t>“二十七、非金属矿物制品业”60石墨及其他非金属矿物制品制造309”中“其他”</w:t>
            </w:r>
            <w:r>
              <w:rPr>
                <w:rFonts w:hint="eastAsia"/>
                <w:color w:val="000000"/>
                <w:lang w:val="en-US" w:eastAsia="zh-CN"/>
              </w:rPr>
              <w:t>。按《名录》规定</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eastAsia="宋体" w:cs="Times New Roman"/>
                <w:b w:val="0"/>
                <w:bCs w:val="0"/>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应当编制环境影响报告表。</w:t>
            </w:r>
          </w:p>
          <w:p w14:paraId="2DCB23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cs="Times New Roman"/>
                <w:b w:val="0"/>
                <w:bCs w:val="0"/>
                <w:color w:val="auto"/>
                <w:sz w:val="24"/>
                <w:szCs w:val="24"/>
                <w:lang w:val="en-US" w:eastAsia="zh-CN"/>
              </w:rPr>
              <w:t>2025年5月14日</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受寻甸福兴宏盛土石方工程有限公司委托（</w:t>
            </w:r>
            <w:r>
              <w:rPr>
                <w:rFonts w:hint="eastAsia" w:cs="Times New Roman"/>
                <w:b w:val="0"/>
                <w:bCs w:val="0"/>
                <w:color w:val="000000" w:themeColor="text1"/>
                <w:sz w:val="24"/>
                <w:szCs w:val="24"/>
                <w:highlight w:val="none"/>
                <w:lang w:val="en-US" w:eastAsia="zh-CN"/>
                <w14:textFill>
                  <w14:solidFill>
                    <w14:schemeClr w14:val="tx1"/>
                  </w14:solidFill>
                </w14:textFill>
              </w:rPr>
              <w:t>见附件1</w:t>
            </w:r>
            <w:r>
              <w:rPr>
                <w:rFonts w:hint="eastAsia"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云南清蓝源环保科技有限公司</w:t>
            </w:r>
            <w:r>
              <w:rPr>
                <w:rFonts w:hint="eastAsia"/>
                <w:color w:val="000000"/>
                <w:lang w:val="en-US" w:eastAsia="zh-CN"/>
              </w:rPr>
              <w:t>承担该项目的环境影响评价工作。我单位通过现场踏勘、收集有关资料，按照环境影响评价有关技术规范，编制《</w:t>
            </w:r>
            <w:r>
              <w:rPr>
                <w:rFonts w:hint="eastAsia" w:cs="Times New Roman"/>
                <w:b w:val="0"/>
                <w:bCs w:val="0"/>
                <w:color w:val="000000" w:themeColor="text1"/>
                <w:sz w:val="24"/>
                <w:szCs w:val="24"/>
                <w:lang w:val="en-US" w:eastAsia="zh-CN"/>
                <w14:textFill>
                  <w14:solidFill>
                    <w14:schemeClr w14:val="tx1"/>
                  </w14:solidFill>
                </w14:textFill>
              </w:rPr>
              <w:t>寻甸福兴宏盛土石方工程有限公司10万吨/年沥青混凝土搅拌站建设项目</w:t>
            </w:r>
            <w:r>
              <w:rPr>
                <w:rFonts w:hint="eastAsia"/>
                <w:color w:val="000000"/>
                <w:lang w:val="en-US" w:eastAsia="zh-CN"/>
              </w:rPr>
              <w:t>环境影响报告表》，供建设单位上报审批。</w:t>
            </w:r>
          </w:p>
          <w:p w14:paraId="77547826">
            <w:pPr>
              <w:keepNext w:val="0"/>
              <w:keepLines w:val="0"/>
              <w:pageBreakBefore w:val="0"/>
              <w:widowControl w:val="0"/>
              <w:kinsoku/>
              <w:wordWrap/>
              <w:overflowPunct/>
              <w:topLinePunct w:val="0"/>
              <w:autoSpaceDE/>
              <w:autoSpaceDN/>
              <w:bidi w:val="0"/>
              <w:adjustRightInd/>
              <w:snapToGrid/>
              <w:ind w:left="0" w:leftChars="0" w:firstLine="482" w:firstLineChars="200"/>
              <w:jc w:val="left"/>
              <w:textAlignment w:val="auto"/>
              <w:rPr>
                <w:rFonts w:hint="default"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二</w:t>
            </w:r>
            <w:r>
              <w:rPr>
                <w:rFonts w:hint="default" w:ascii="Times New Roman" w:hAnsi="Times New Roman" w:eastAsia="宋体" w:cs="Times New Roman"/>
                <w:b/>
                <w:color w:val="auto"/>
                <w:lang w:val="en-US" w:eastAsia="zh-CN"/>
              </w:rPr>
              <w:t>、基本概况</w:t>
            </w:r>
          </w:p>
          <w:p w14:paraId="4ACCF91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项目名称：</w:t>
            </w:r>
            <w:r>
              <w:rPr>
                <w:rFonts w:hint="eastAsia" w:cs="Times New Roman"/>
                <w:b w:val="0"/>
                <w:bCs w:val="0"/>
                <w:color w:val="000000" w:themeColor="text1"/>
                <w:sz w:val="24"/>
                <w:szCs w:val="24"/>
                <w:lang w:val="en-US" w:eastAsia="zh-CN"/>
                <w14:textFill>
                  <w14:solidFill>
                    <w14:schemeClr w14:val="tx1"/>
                  </w14:solidFill>
                </w14:textFill>
              </w:rPr>
              <w:t>寻甸福兴宏盛土石方工程有限公司10万吨/年沥青混凝土搅拌站建设项目</w:t>
            </w:r>
            <w:r>
              <w:rPr>
                <w:rFonts w:hint="eastAsia" w:cs="Times New Roman"/>
                <w:color w:val="auto"/>
                <w:sz w:val="24"/>
                <w:szCs w:val="24"/>
                <w:lang w:val="en-US" w:eastAsia="zh-CN"/>
              </w:rPr>
              <w:t>；</w:t>
            </w:r>
          </w:p>
          <w:p w14:paraId="719A3A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r>
              <w:rPr>
                <w:rFonts w:hint="eastAsia" w:cs="Times New Roman"/>
                <w:b w:val="0"/>
                <w:bCs w:val="0"/>
                <w:color w:val="000000" w:themeColor="text1"/>
                <w:sz w:val="24"/>
                <w:szCs w:val="24"/>
                <w:lang w:val="en-US" w:eastAsia="zh-CN"/>
                <w14:textFill>
                  <w14:solidFill>
                    <w14:schemeClr w14:val="tx1"/>
                  </w14:solidFill>
                </w14:textFill>
              </w:rPr>
              <w:t>寻甸福兴宏盛土石方工程有限公司</w:t>
            </w:r>
            <w:r>
              <w:rPr>
                <w:rFonts w:hint="eastAsia" w:cs="Times New Roman"/>
                <w:color w:val="auto"/>
                <w:sz w:val="24"/>
                <w:szCs w:val="24"/>
                <w:lang w:val="en-US" w:eastAsia="zh-CN"/>
              </w:rPr>
              <w:t>；</w:t>
            </w:r>
          </w:p>
          <w:p w14:paraId="128992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r>
              <w:rPr>
                <w:rFonts w:hint="eastAsia" w:cs="Times New Roman"/>
                <w:color w:val="auto"/>
                <w:sz w:val="24"/>
                <w:szCs w:val="24"/>
                <w:lang w:val="en-US" w:eastAsia="zh-CN"/>
              </w:rPr>
              <w:t>云南省昆明市寻甸县仁德街道到院社区大发古村石头山采石场；</w:t>
            </w:r>
          </w:p>
          <w:p w14:paraId="53B48A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建设性质：</w:t>
            </w:r>
            <w:r>
              <w:rPr>
                <w:rFonts w:hint="default" w:ascii="Times New Roman" w:hAnsi="Times New Roman" w:eastAsia="宋体" w:cs="Times New Roman"/>
                <w:b w:val="0"/>
                <w:bCs w:val="0"/>
                <w:color w:val="auto"/>
                <w:sz w:val="24"/>
                <w:szCs w:val="24"/>
                <w:lang w:val="en-US" w:eastAsia="zh-CN"/>
              </w:rPr>
              <w:t>新建</w:t>
            </w:r>
            <w:r>
              <w:rPr>
                <w:rFonts w:hint="eastAsia" w:cs="Times New Roman"/>
                <w:b w:val="0"/>
                <w:bCs w:val="0"/>
                <w:color w:val="auto"/>
                <w:sz w:val="24"/>
                <w:szCs w:val="24"/>
                <w:lang w:val="en-US" w:eastAsia="zh-CN"/>
              </w:rPr>
              <w:t>；</w:t>
            </w:r>
          </w:p>
          <w:p w14:paraId="322209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rPr>
              <w:t>项目总投资</w:t>
            </w:r>
            <w:r>
              <w:rPr>
                <w:rFonts w:hint="default" w:ascii="Times New Roman" w:hAnsi="Times New Roman" w:eastAsia="宋体" w:cs="Times New Roman"/>
                <w:color w:val="auto"/>
                <w:sz w:val="24"/>
                <w:szCs w:val="24"/>
                <w:highlight w:val="none"/>
              </w:rPr>
              <w:t>：</w:t>
            </w:r>
            <w:r>
              <w:rPr>
                <w:rFonts w:hint="eastAsia" w:cs="Times New Roman"/>
                <w:b w:val="0"/>
                <w:bCs w:val="0"/>
                <w:color w:val="auto"/>
                <w:sz w:val="24"/>
                <w:szCs w:val="24"/>
                <w:highlight w:val="none"/>
                <w:lang w:val="en-US" w:eastAsia="zh-CN"/>
              </w:rPr>
              <w:t>896.17</w:t>
            </w:r>
            <w:r>
              <w:rPr>
                <w:rFonts w:hint="default" w:ascii="Times New Roman" w:hAnsi="Times New Roman" w:eastAsia="宋体" w:cs="Times New Roman"/>
                <w:b w:val="0"/>
                <w:bCs w:val="0"/>
                <w:color w:val="auto"/>
                <w:sz w:val="24"/>
                <w:szCs w:val="24"/>
                <w:highlight w:val="none"/>
                <w:lang w:val="en-US" w:eastAsia="zh-CN"/>
              </w:rPr>
              <w:t>万元</w:t>
            </w:r>
            <w:r>
              <w:rPr>
                <w:rFonts w:hint="eastAsia" w:cs="Times New Roman"/>
                <w:b w:val="0"/>
                <w:bCs w:val="0"/>
                <w:color w:val="auto"/>
                <w:sz w:val="24"/>
                <w:szCs w:val="24"/>
                <w:highlight w:val="none"/>
                <w:lang w:val="en-US" w:eastAsia="zh-CN"/>
              </w:rPr>
              <w:t>；</w:t>
            </w:r>
          </w:p>
          <w:p w14:paraId="003827B7">
            <w:pPr>
              <w:keepNext w:val="0"/>
              <w:keepLines w:val="0"/>
              <w:widowControl/>
              <w:suppressLineNumbers w:val="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rPr>
              <w:t>项目内容和规模：新建1条沥青混凝土搅拌站，材料堆场及相关储油、供热、环保等辅助设施</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年产沥青混凝土10万吨/年。</w:t>
            </w:r>
          </w:p>
          <w:p w14:paraId="1208CFCF">
            <w:pPr>
              <w:keepNext w:val="0"/>
              <w:keepLines w:val="0"/>
              <w:pageBreakBefore w:val="0"/>
              <w:widowControl w:val="0"/>
              <w:kinsoku/>
              <w:wordWrap/>
              <w:overflowPunct/>
              <w:topLinePunct w:val="0"/>
              <w:autoSpaceDE/>
              <w:autoSpaceDN/>
              <w:bidi w:val="0"/>
              <w:adjustRightInd/>
              <w:snapToGrid/>
              <w:ind w:left="0" w:leftChars="0" w:firstLine="482" w:firstLineChars="200"/>
              <w:jc w:val="left"/>
              <w:textAlignment w:val="auto"/>
              <w:rPr>
                <w:rFonts w:hint="default" w:ascii="Times New Roman" w:hAnsi="Times New Roman" w:eastAsia="宋体" w:cs="Times New Roman"/>
                <w:b/>
                <w:color w:val="auto"/>
              </w:rPr>
            </w:pPr>
            <w:r>
              <w:rPr>
                <w:rFonts w:hint="eastAsia" w:ascii="Times New Roman" w:hAnsi="Times New Roman" w:eastAsia="宋体" w:cs="Times New Roman"/>
                <w:b/>
                <w:color w:val="auto"/>
                <w:lang w:val="en-US" w:eastAsia="zh-CN"/>
              </w:rPr>
              <w:t>三</w:t>
            </w:r>
            <w:r>
              <w:rPr>
                <w:rFonts w:hint="default" w:ascii="Times New Roman" w:hAnsi="Times New Roman" w:eastAsia="宋体" w:cs="Times New Roman"/>
                <w:b/>
                <w:color w:val="auto"/>
              </w:rPr>
              <w:t>、建设工程及内容</w:t>
            </w:r>
          </w:p>
          <w:p w14:paraId="1113CB10">
            <w:pPr>
              <w:adjustRightInd w:val="0"/>
              <w:spacing w:line="360" w:lineRule="auto"/>
              <w:ind w:firstLine="480" w:firstLineChars="200"/>
              <w:rPr>
                <w:rFonts w:hint="eastAsia"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auto"/>
                <w:sz w:val="24"/>
                <w:szCs w:val="24"/>
                <w:lang w:val="en-US" w:eastAsia="zh-CN"/>
              </w:rPr>
              <w:t>本项</w:t>
            </w:r>
            <w:r>
              <w:rPr>
                <w:rFonts w:hint="eastAsia" w:ascii="Times New Roman" w:hAnsi="Times New Roman" w:eastAsia="宋体" w:cs="Times New Roman"/>
                <w:color w:val="auto"/>
                <w:sz w:val="24"/>
                <w:szCs w:val="24"/>
                <w:lang w:val="en-US" w:eastAsia="zh-CN"/>
              </w:rPr>
              <w:t>目主要建设内容包括</w:t>
            </w:r>
            <w:r>
              <w:rPr>
                <w:rFonts w:ascii="Times New Roman" w:hAnsi="Times New Roman" w:eastAsia="宋体" w:cs="Times New Roman"/>
                <w:color w:val="000000" w:themeColor="text1"/>
                <w:sz w:val="24"/>
                <w:szCs w:val="20"/>
                <w14:textFill>
                  <w14:solidFill>
                    <w14:schemeClr w14:val="tx1"/>
                  </w14:solidFill>
                </w14:textFill>
              </w:rPr>
              <w:t>沥青混凝土生产线、</w:t>
            </w:r>
            <w:r>
              <w:rPr>
                <w:rFonts w:hint="eastAsia" w:cs="Times New Roman"/>
                <w:color w:val="000000" w:themeColor="text1"/>
                <w:sz w:val="24"/>
                <w:szCs w:val="20"/>
                <w:lang w:val="en-US" w:eastAsia="zh-CN"/>
                <w14:textFill>
                  <w14:solidFill>
                    <w14:schemeClr w14:val="tx1"/>
                  </w14:solidFill>
                </w14:textFill>
              </w:rPr>
              <w:t>储运工程、环保工程</w:t>
            </w:r>
            <w:r>
              <w:rPr>
                <w:rFonts w:ascii="Times New Roman" w:hAnsi="Times New Roman" w:eastAsia="宋体" w:cs="Times New Roman"/>
                <w:color w:val="000000" w:themeColor="text1"/>
                <w:sz w:val="24"/>
                <w:szCs w:val="20"/>
                <w14:textFill>
                  <w14:solidFill>
                    <w14:schemeClr w14:val="tx1"/>
                  </w14:solidFill>
                </w14:textFill>
              </w:rPr>
              <w:t>等。</w:t>
            </w:r>
            <w:r>
              <w:rPr>
                <w:rFonts w:ascii="Times New Roman" w:hAnsi="Times New Roman" w:eastAsia="宋体" w:cs="Times New Roman"/>
                <w:color w:val="000000" w:themeColor="text1"/>
                <w:sz w:val="24"/>
                <w14:textFill>
                  <w14:solidFill>
                    <w14:schemeClr w14:val="tx1"/>
                  </w14:solidFill>
                </w14:textFill>
              </w:rPr>
              <w:t>项目为新建项目，</w:t>
            </w:r>
            <w:r>
              <w:rPr>
                <w:rFonts w:hint="eastAsia" w:ascii="Times New Roman" w:hAnsi="Times New Roman" w:eastAsia="宋体" w:cs="Times New Roman"/>
                <w:color w:val="auto"/>
                <w:sz w:val="24"/>
                <w:lang w:val="en-US" w:eastAsia="zh-CN"/>
              </w:rPr>
              <w:t>现状</w:t>
            </w:r>
            <w:r>
              <w:rPr>
                <w:rFonts w:hint="eastAsia" w:cs="Times New Roman"/>
                <w:color w:val="auto"/>
                <w:sz w:val="24"/>
                <w:lang w:val="en-US" w:eastAsia="zh-CN"/>
              </w:rPr>
              <w:t>主体工程、储运工程及部分环保工程</w:t>
            </w:r>
            <w:r>
              <w:rPr>
                <w:rFonts w:hint="eastAsia" w:eastAsia="宋体" w:cs="Times New Roman"/>
                <w:color w:val="auto"/>
                <w:sz w:val="24"/>
                <w:lang w:val="en-US" w:eastAsia="zh-CN"/>
              </w:rPr>
              <w:t>已</w:t>
            </w:r>
            <w:r>
              <w:rPr>
                <w:rFonts w:hint="eastAsia" w:ascii="Times New Roman" w:hAnsi="Times New Roman" w:eastAsia="宋体" w:cs="Times New Roman"/>
                <w:color w:val="auto"/>
                <w:sz w:val="24"/>
                <w:lang w:val="en-US" w:eastAsia="zh-CN"/>
              </w:rPr>
              <w:t>建设</w:t>
            </w:r>
            <w:r>
              <w:rPr>
                <w:rFonts w:hint="eastAsia"/>
                <w:color w:val="auto"/>
                <w:lang w:val="en-US" w:eastAsia="zh-CN"/>
              </w:rPr>
              <w:t>完成，后期主要建设完善环保工程</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000000" w:themeColor="text1"/>
                <w:sz w:val="24"/>
                <w:szCs w:val="20"/>
                <w14:textFill>
                  <w14:solidFill>
                    <w14:schemeClr w14:val="tx1"/>
                  </w14:solidFill>
                </w14:textFill>
              </w:rPr>
              <w:t>项目</w:t>
            </w:r>
            <w:r>
              <w:rPr>
                <w:rFonts w:hint="eastAsia" w:ascii="Times New Roman" w:hAnsi="Times New Roman" w:eastAsia="宋体" w:cs="Times New Roman"/>
                <w:bCs/>
                <w:color w:val="000000" w:themeColor="text1"/>
                <w:sz w:val="24"/>
                <w14:textFill>
                  <w14:solidFill>
                    <w14:schemeClr w14:val="tx1"/>
                  </w14:solidFill>
                </w14:textFill>
              </w:rPr>
              <w:t>工程组成</w:t>
            </w:r>
            <w:r>
              <w:rPr>
                <w:rFonts w:hint="eastAsia" w:eastAsia="宋体" w:cs="Times New Roman"/>
                <w:bCs/>
                <w:color w:val="000000" w:themeColor="text1"/>
                <w:sz w:val="24"/>
                <w:lang w:val="en-US" w:eastAsia="zh-CN"/>
                <w14:textFill>
                  <w14:solidFill>
                    <w14:schemeClr w14:val="tx1"/>
                  </w14:solidFill>
                </w14:textFill>
              </w:rPr>
              <w:t>详</w:t>
            </w:r>
            <w:r>
              <w:rPr>
                <w:rFonts w:hint="eastAsia" w:ascii="Times New Roman" w:hAnsi="Times New Roman" w:eastAsia="宋体" w:cs="Times New Roman"/>
                <w:bCs/>
                <w:color w:val="000000" w:themeColor="text1"/>
                <w:sz w:val="24"/>
                <w14:textFill>
                  <w14:solidFill>
                    <w14:schemeClr w14:val="tx1"/>
                  </w14:solidFill>
                </w14:textFill>
              </w:rPr>
              <w:t>见下表</w:t>
            </w:r>
            <w:r>
              <w:rPr>
                <w:rFonts w:hint="eastAsia" w:eastAsia="宋体" w:cs="Times New Roman"/>
                <w:bCs/>
                <w:color w:val="000000" w:themeColor="text1"/>
                <w:sz w:val="24"/>
                <w:lang w:val="en-US" w:eastAsia="zh-CN"/>
                <w14:textFill>
                  <w14:solidFill>
                    <w14:schemeClr w14:val="tx1"/>
                  </w14:solidFill>
                </w14:textFill>
              </w:rPr>
              <w:t>2-1</w:t>
            </w:r>
            <w:r>
              <w:rPr>
                <w:rFonts w:hint="eastAsia" w:ascii="Times New Roman" w:hAnsi="Times New Roman" w:eastAsia="宋体" w:cs="Times New Roman"/>
                <w:bCs/>
                <w:color w:val="000000" w:themeColor="text1"/>
                <w:sz w:val="24"/>
                <w14:textFill>
                  <w14:solidFill>
                    <w14:schemeClr w14:val="tx1"/>
                  </w14:solidFill>
                </w14:textFill>
              </w:rPr>
              <w:t>。</w:t>
            </w:r>
          </w:p>
          <w:p w14:paraId="0478AEC8">
            <w:pPr>
              <w:pStyle w:val="2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表2-1</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项目工程组成一览表</w:t>
            </w:r>
          </w:p>
          <w:tbl>
            <w:tblPr>
              <w:tblStyle w:val="15"/>
              <w:tblW w:w="8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919"/>
              <w:gridCol w:w="998"/>
              <w:gridCol w:w="5207"/>
              <w:gridCol w:w="688"/>
            </w:tblGrid>
            <w:tr w14:paraId="001D9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noWrap w:val="0"/>
                  <w:vAlign w:val="center"/>
                </w:tcPr>
                <w:p w14:paraId="542A4AD7">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内容</w:t>
                  </w:r>
                </w:p>
              </w:tc>
              <w:tc>
                <w:tcPr>
                  <w:tcW w:w="919" w:type="dxa"/>
                  <w:noWrap w:val="0"/>
                  <w:vAlign w:val="center"/>
                </w:tcPr>
                <w:p w14:paraId="234B377A">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lang w:val="en-US" w:eastAsia="zh-CN"/>
                    </w:rPr>
                    <w:t>项目</w:t>
                  </w:r>
                  <w:r>
                    <w:rPr>
                      <w:rFonts w:hint="default" w:ascii="Times New Roman" w:hAnsi="Times New Roman" w:eastAsia="宋体" w:cs="Times New Roman"/>
                      <w:b/>
                      <w:color w:val="auto"/>
                      <w:sz w:val="21"/>
                      <w:szCs w:val="21"/>
                    </w:rPr>
                    <w:t>名称</w:t>
                  </w:r>
                </w:p>
              </w:tc>
              <w:tc>
                <w:tcPr>
                  <w:tcW w:w="6205" w:type="dxa"/>
                  <w:gridSpan w:val="2"/>
                  <w:noWrap w:val="0"/>
                  <w:vAlign w:val="center"/>
                </w:tcPr>
                <w:p w14:paraId="7AE70FEB">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项目组成</w:t>
                  </w:r>
                </w:p>
              </w:tc>
              <w:tc>
                <w:tcPr>
                  <w:tcW w:w="688" w:type="dxa"/>
                  <w:noWrap w:val="0"/>
                  <w:vAlign w:val="center"/>
                </w:tcPr>
                <w:p w14:paraId="7DF0B029">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3C5D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blHeader/>
                <w:jc w:val="center"/>
              </w:trPr>
              <w:tc>
                <w:tcPr>
                  <w:tcW w:w="684" w:type="dxa"/>
                  <w:noWrap w:val="0"/>
                  <w:vAlign w:val="center"/>
                </w:tcPr>
                <w:p w14:paraId="611A569E">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919" w:type="dxa"/>
                  <w:shd w:val="clear" w:color="auto" w:fill="auto"/>
                  <w:noWrap w:val="0"/>
                  <w:vAlign w:val="center"/>
                </w:tcPr>
                <w:p w14:paraId="61B35959">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沥青混凝土生产线</w:t>
                  </w:r>
                </w:p>
              </w:tc>
              <w:tc>
                <w:tcPr>
                  <w:tcW w:w="6205" w:type="dxa"/>
                  <w:gridSpan w:val="2"/>
                  <w:shd w:val="clear" w:color="auto" w:fill="auto"/>
                  <w:noWrap w:val="0"/>
                  <w:vAlign w:val="center"/>
                </w:tcPr>
                <w:p w14:paraId="135A5DCC">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在项目占地范围偏北侧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配置一</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整套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沥青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混凝土生产系统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占地面积约1500m</w:t>
                  </w:r>
                  <w:r>
                    <w:rPr>
                      <w:rFonts w:hint="eastAsia"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沥青混凝土生产线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皮带</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输送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机→烘干滚筒</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（末端配备燃烧机、风机）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拌合站（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热料提升系统</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称重计量系统</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沥青混合料搅拌设备</w:t>
                  </w:r>
                  <w:r>
                    <w:rPr>
                      <w:rFonts w:hint="eastAsia"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装车区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688" w:type="dxa"/>
                  <w:shd w:val="clear" w:color="auto" w:fill="auto"/>
                  <w:noWrap w:val="0"/>
                  <w:vAlign w:val="center"/>
                </w:tcPr>
                <w:p w14:paraId="18428C3B">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auto"/>
                      <w:sz w:val="21"/>
                      <w:szCs w:val="21"/>
                      <w:lang w:val="en-US" w:eastAsia="zh-CN"/>
                    </w:rPr>
                    <w:t>已建</w:t>
                  </w:r>
                </w:p>
              </w:tc>
            </w:tr>
            <w:tr w14:paraId="446A9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blHeader/>
                <w:jc w:val="center"/>
              </w:trPr>
              <w:tc>
                <w:tcPr>
                  <w:tcW w:w="684" w:type="dxa"/>
                  <w:vMerge w:val="restart"/>
                  <w:shd w:val="clear" w:color="auto" w:fill="auto"/>
                  <w:noWrap w:val="0"/>
                  <w:vAlign w:val="center"/>
                </w:tcPr>
                <w:p w14:paraId="55F6BD7F">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储运工程</w:t>
                  </w:r>
                </w:p>
              </w:tc>
              <w:tc>
                <w:tcPr>
                  <w:tcW w:w="919" w:type="dxa"/>
                  <w:shd w:val="clear" w:color="auto" w:fill="auto"/>
                  <w:noWrap w:val="0"/>
                  <w:vAlign w:val="center"/>
                </w:tcPr>
                <w:p w14:paraId="6FBBD6FC">
                  <w:pPr>
                    <w:pageBreakBefore w:val="0"/>
                    <w:widowControl/>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砂石料堆场</w:t>
                  </w:r>
                </w:p>
              </w:tc>
              <w:tc>
                <w:tcPr>
                  <w:tcW w:w="6205" w:type="dxa"/>
                  <w:gridSpan w:val="2"/>
                  <w:shd w:val="clear" w:color="auto" w:fill="auto"/>
                  <w:noWrap w:val="0"/>
                  <w:vAlign w:val="center"/>
                </w:tcPr>
                <w:p w14:paraId="0DACBC60">
                  <w:pPr>
                    <w:pageBreakBefore w:val="0"/>
                    <w:widowControl/>
                    <w:kinsoku/>
                    <w:wordWrap/>
                    <w:overflowPunct/>
                    <w:topLinePunct w:val="0"/>
                    <w:autoSpaceDE/>
                    <w:autoSpaceDN/>
                    <w:bidi w:val="0"/>
                    <w:adjustRightInd/>
                    <w:spacing w:line="360" w:lineRule="exact"/>
                    <w:ind w:left="0" w:leftChars="0" w:firstLine="0" w:firstLineChars="0"/>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5个，总尺寸</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5×6</w:t>
                  </w:r>
                  <w:r>
                    <w:rPr>
                      <w:rFonts w:hint="default" w:ascii="Arial" w:hAnsi="Arial" w:cs="Arial"/>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17m，</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用</w:t>
                  </w:r>
                  <w:r>
                    <w:rPr>
                      <w:rFonts w:hint="eastAsia" w:ascii="Times New Roman" w:hAnsi="Times New Roman" w:eastAsia="宋体" w:cs="Times New Roman"/>
                      <w:color w:val="auto"/>
                      <w:sz w:val="21"/>
                      <w:szCs w:val="21"/>
                      <w:highlight w:val="none"/>
                      <w:lang w:val="en-US" w:eastAsia="zh-CN"/>
                    </w:rPr>
                    <w:t>于</w:t>
                  </w:r>
                  <w:r>
                    <w:rPr>
                      <w:rFonts w:hint="eastAsia" w:cs="Times New Roman"/>
                      <w:color w:val="auto"/>
                      <w:sz w:val="21"/>
                      <w:szCs w:val="21"/>
                      <w:highlight w:val="none"/>
                      <w:lang w:val="en-US" w:eastAsia="zh-CN"/>
                    </w:rPr>
                    <w:t>储存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砂石料</w:t>
                  </w:r>
                  <w:r>
                    <w:rPr>
                      <w:rFonts w:hint="eastAsia" w:cs="Times New Roman"/>
                      <w:color w:val="000000" w:themeColor="text1"/>
                      <w:sz w:val="21"/>
                      <w:szCs w:val="21"/>
                      <w:highlight w:val="none"/>
                      <w:lang w:val="en-US" w:eastAsia="zh-CN"/>
                      <w14:textFill>
                        <w14:solidFill>
                          <w14:schemeClr w14:val="tx1"/>
                        </w14:solidFill>
                      </w14:textFill>
                    </w:rPr>
                    <w:t>，位于项目区南侧，砂石料来源于项目西南侧</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约20m采石场的3#堆料场</w:t>
                  </w:r>
                  <w:r>
                    <w:rPr>
                      <w:rFonts w:hint="eastAsia" w:cs="Times New Roman"/>
                      <w:color w:val="000000" w:themeColor="text1"/>
                      <w:sz w:val="21"/>
                      <w:szCs w:val="21"/>
                      <w:highlight w:val="none"/>
                      <w:lang w:val="en-US" w:eastAsia="zh-CN"/>
                      <w14:textFill>
                        <w14:solidFill>
                          <w14:schemeClr w14:val="tx1"/>
                        </w14:solidFill>
                      </w14:textFill>
                    </w:rPr>
                    <w:t>。</w:t>
                  </w:r>
                </w:p>
              </w:tc>
              <w:tc>
                <w:tcPr>
                  <w:tcW w:w="688" w:type="dxa"/>
                  <w:shd w:val="clear" w:color="auto" w:fill="auto"/>
                  <w:noWrap w:val="0"/>
                  <w:vAlign w:val="center"/>
                </w:tcPr>
                <w:p w14:paraId="59371D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已建</w:t>
                  </w:r>
                </w:p>
              </w:tc>
            </w:tr>
            <w:tr w14:paraId="2FDD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blHeader/>
                <w:jc w:val="center"/>
              </w:trPr>
              <w:tc>
                <w:tcPr>
                  <w:tcW w:w="684" w:type="dxa"/>
                  <w:vMerge w:val="continue"/>
                  <w:noWrap w:val="0"/>
                  <w:vAlign w:val="center"/>
                </w:tcPr>
                <w:p w14:paraId="69C213F8">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noWrap w:val="0"/>
                  <w:vAlign w:val="center"/>
                </w:tcPr>
                <w:p w14:paraId="7D2108CF">
                  <w:pPr>
                    <w:pageBreakBefore w:val="0"/>
                    <w:widowControl/>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计量仓</w:t>
                  </w:r>
                </w:p>
              </w:tc>
              <w:tc>
                <w:tcPr>
                  <w:tcW w:w="6205" w:type="dxa"/>
                  <w:gridSpan w:val="2"/>
                  <w:noWrap w:val="0"/>
                  <w:vAlign w:val="center"/>
                </w:tcPr>
                <w:p w14:paraId="138B0F58">
                  <w:pPr>
                    <w:pageBreakBefore w:val="0"/>
                    <w:widowControl/>
                    <w:kinsoku/>
                    <w:wordWrap/>
                    <w:overflowPunct/>
                    <w:topLinePunct w:val="0"/>
                    <w:autoSpaceDE/>
                    <w:autoSpaceDN/>
                    <w:bidi w:val="0"/>
                    <w:adjustRightInd/>
                    <w:spacing w:line="360" w:lineRule="exact"/>
                    <w:ind w:left="0" w:leftChars="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5个，用于</w:t>
                  </w:r>
                  <w:r>
                    <w:rPr>
                      <w:rFonts w:hint="eastAsia" w:cs="Times New Roman"/>
                      <w:color w:val="000000" w:themeColor="text1"/>
                      <w:sz w:val="21"/>
                      <w:szCs w:val="21"/>
                      <w:highlight w:val="none"/>
                      <w:lang w:val="en-US" w:eastAsia="zh-CN"/>
                      <w14:textFill>
                        <w14:solidFill>
                          <w14:schemeClr w14:val="tx1"/>
                        </w14:solidFill>
                      </w14:textFill>
                    </w:rPr>
                    <w:t>计量各规格</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砂石料，位于烘干滚筒</w:t>
                  </w:r>
                  <w:r>
                    <w:rPr>
                      <w:rFonts w:hint="eastAsia" w:cs="Times New Roman"/>
                      <w:color w:val="000000" w:themeColor="text1"/>
                      <w:sz w:val="21"/>
                      <w:szCs w:val="21"/>
                      <w:highlight w:val="none"/>
                      <w:lang w:val="en-US" w:eastAsia="zh-CN"/>
                      <w14:textFill>
                        <w14:solidFill>
                          <w14:schemeClr w14:val="tx1"/>
                        </w14:solidFill>
                      </w14:textFill>
                    </w:rPr>
                    <w:t>西</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南侧，连接皮带输送机</w:t>
                  </w:r>
                  <w:r>
                    <w:rPr>
                      <w:rFonts w:hint="eastAsia" w:cs="Times New Roman"/>
                      <w:color w:val="000000" w:themeColor="text1"/>
                      <w:sz w:val="21"/>
                      <w:szCs w:val="21"/>
                      <w:highlight w:val="none"/>
                      <w:lang w:val="en-US" w:eastAsia="zh-CN"/>
                      <w14:textFill>
                        <w14:solidFill>
                          <w14:schemeClr w14:val="tx1"/>
                        </w14:solidFill>
                      </w14:textFill>
                    </w:rPr>
                    <w:t>。</w:t>
                  </w:r>
                </w:p>
              </w:tc>
              <w:tc>
                <w:tcPr>
                  <w:tcW w:w="688" w:type="dxa"/>
                  <w:noWrap w:val="0"/>
                  <w:vAlign w:val="center"/>
                </w:tcPr>
                <w:p w14:paraId="5760DD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w:t>
                  </w:r>
                </w:p>
              </w:tc>
            </w:tr>
            <w:tr w14:paraId="23D5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blHeader/>
                <w:jc w:val="center"/>
              </w:trPr>
              <w:tc>
                <w:tcPr>
                  <w:tcW w:w="684" w:type="dxa"/>
                  <w:vMerge w:val="continue"/>
                  <w:noWrap w:val="0"/>
                  <w:vAlign w:val="center"/>
                </w:tcPr>
                <w:p w14:paraId="3112DC96">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shd w:val="clear" w:color="auto" w:fill="auto"/>
                  <w:noWrap w:val="0"/>
                  <w:vAlign w:val="center"/>
                </w:tcPr>
                <w:p w14:paraId="1371B9FD">
                  <w:pPr>
                    <w:pageBreakBefore w:val="0"/>
                    <w:widowControl/>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沥青</w:t>
                  </w:r>
                  <w:r>
                    <w:rPr>
                      <w:rFonts w:hint="eastAsia" w:cs="Times New Roman"/>
                      <w:color w:val="auto"/>
                      <w:kern w:val="0"/>
                      <w:sz w:val="21"/>
                      <w:szCs w:val="21"/>
                      <w:highlight w:val="none"/>
                      <w:lang w:val="en-US" w:eastAsia="zh-CN"/>
                    </w:rPr>
                    <w:t>储罐</w:t>
                  </w:r>
                </w:p>
              </w:tc>
              <w:tc>
                <w:tcPr>
                  <w:tcW w:w="6205" w:type="dxa"/>
                  <w:gridSpan w:val="2"/>
                  <w:shd w:val="clear" w:color="auto" w:fill="auto"/>
                  <w:noWrap w:val="0"/>
                  <w:vAlign w:val="center"/>
                </w:tcPr>
                <w:p w14:paraId="1C58A083">
                  <w:pPr>
                    <w:pageBreakBefore w:val="0"/>
                    <w:widowControl/>
                    <w:kinsoku/>
                    <w:wordWrap/>
                    <w:overflowPunct/>
                    <w:topLinePunct w:val="0"/>
                    <w:autoSpaceDE/>
                    <w:autoSpaceDN/>
                    <w:bidi w:val="0"/>
                    <w:adjustRightInd/>
                    <w:spacing w:line="36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设置2个90t沥青储罐，用于储存沥青，位于</w:t>
                  </w:r>
                  <w:r>
                    <w:rPr>
                      <w:rFonts w:hint="eastAsia" w:cs="Times New Roman"/>
                      <w:color w:val="auto"/>
                      <w:sz w:val="21"/>
                      <w:szCs w:val="21"/>
                      <w:highlight w:val="none"/>
                      <w:lang w:val="en-US" w:eastAsia="zh-CN"/>
                    </w:rPr>
                    <w:t>烘干滚筒</w:t>
                  </w:r>
                  <w:r>
                    <w:rPr>
                      <w:rFonts w:hint="eastAsia" w:ascii="Times New Roman" w:hAnsi="Times New Roman" w:eastAsia="宋体" w:cs="Times New Roman"/>
                      <w:color w:val="auto"/>
                      <w:sz w:val="21"/>
                      <w:szCs w:val="21"/>
                      <w:highlight w:val="none"/>
                      <w:lang w:val="en-US" w:eastAsia="zh-CN"/>
                    </w:rPr>
                    <w:t>南侧</w:t>
                  </w:r>
                  <w:r>
                    <w:rPr>
                      <w:rFonts w:hint="eastAsia" w:cs="Times New Roman"/>
                      <w:color w:val="auto"/>
                      <w:sz w:val="21"/>
                      <w:szCs w:val="21"/>
                      <w:highlight w:val="none"/>
                      <w:lang w:val="en-US" w:eastAsia="zh-CN"/>
                    </w:rPr>
                    <w:t>，地上双层结构，配</w:t>
                  </w:r>
                  <w:r>
                    <w:rPr>
                      <w:rFonts w:hint="eastAsia" w:ascii="Times New Roman" w:hAnsi="Times New Roman" w:eastAsia="宋体" w:cs="Times New Roman"/>
                      <w:color w:val="auto"/>
                      <w:sz w:val="21"/>
                      <w:szCs w:val="21"/>
                      <w:highlight w:val="none"/>
                      <w:lang w:val="en-US" w:eastAsia="zh-CN"/>
                    </w:rPr>
                    <w:t>置有机热载体炉用于沥青储罐保温，</w:t>
                  </w:r>
                  <w:r>
                    <w:rPr>
                      <w:rFonts w:hint="eastAsia" w:cs="Times New Roman"/>
                      <w:color w:val="auto"/>
                      <w:kern w:val="0"/>
                      <w:sz w:val="21"/>
                      <w:szCs w:val="21"/>
                      <w:lang w:val="en-US" w:eastAsia="zh-CN" w:bidi="ar"/>
                    </w:rPr>
                    <w:t>柴</w:t>
                  </w:r>
                  <w:r>
                    <w:rPr>
                      <w:rFonts w:hint="eastAsia" w:ascii="Times New Roman" w:hAnsi="Times New Roman" w:eastAsia="宋体" w:cs="Times New Roman"/>
                      <w:color w:val="auto"/>
                      <w:sz w:val="21"/>
                      <w:szCs w:val="21"/>
                      <w:highlight w:val="none"/>
                      <w:lang w:val="en-US" w:eastAsia="zh-CN"/>
                    </w:rPr>
                    <w:t>油作为热源燃料。</w:t>
                  </w:r>
                </w:p>
              </w:tc>
              <w:tc>
                <w:tcPr>
                  <w:tcW w:w="688" w:type="dxa"/>
                  <w:shd w:val="clear" w:color="auto" w:fill="auto"/>
                  <w:noWrap w:val="0"/>
                  <w:vAlign w:val="center"/>
                </w:tcPr>
                <w:p w14:paraId="6DE5D0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已建</w:t>
                  </w:r>
                </w:p>
              </w:tc>
            </w:tr>
            <w:tr w14:paraId="2362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blHeader/>
                <w:jc w:val="center"/>
              </w:trPr>
              <w:tc>
                <w:tcPr>
                  <w:tcW w:w="684" w:type="dxa"/>
                  <w:vMerge w:val="continue"/>
                  <w:noWrap w:val="0"/>
                  <w:vAlign w:val="center"/>
                </w:tcPr>
                <w:p w14:paraId="774D1949">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restart"/>
                  <w:shd w:val="clear" w:color="auto" w:fill="auto"/>
                  <w:noWrap w:val="0"/>
                  <w:vAlign w:val="center"/>
                </w:tcPr>
                <w:p w14:paraId="2B01FE90">
                  <w:pPr>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柴油</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储</w:t>
                  </w:r>
                  <w:r>
                    <w:rPr>
                      <w:rFonts w:hint="eastAsia" w:ascii="Times New Roman" w:hAnsi="Times New Roman" w:eastAsia="宋体" w:cs="Times New Roman"/>
                      <w:color w:val="auto"/>
                      <w:kern w:val="0"/>
                      <w:sz w:val="21"/>
                      <w:szCs w:val="21"/>
                      <w:highlight w:val="none"/>
                      <w:lang w:val="en-US" w:eastAsia="zh-CN"/>
                    </w:rPr>
                    <w:t>罐</w:t>
                  </w:r>
                </w:p>
              </w:tc>
              <w:tc>
                <w:tcPr>
                  <w:tcW w:w="6205" w:type="dxa"/>
                  <w:gridSpan w:val="2"/>
                  <w:shd w:val="clear" w:color="auto" w:fill="auto"/>
                  <w:noWrap w:val="0"/>
                  <w:vAlign w:val="center"/>
                </w:tcPr>
                <w:p w14:paraId="29069204">
                  <w:pPr>
                    <w:pageBreakBefore w:val="0"/>
                    <w:widowControl/>
                    <w:kinsoku/>
                    <w:wordWrap/>
                    <w:overflowPunct/>
                    <w:topLinePunct w:val="0"/>
                    <w:autoSpaceDE/>
                    <w:autoSpaceDN/>
                    <w:bidi w:val="0"/>
                    <w:adjustRightInd/>
                    <w:spacing w:line="360" w:lineRule="exact"/>
                    <w:ind w:left="0" w:lef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1个，储存</w:t>
                  </w:r>
                  <w:r>
                    <w:rPr>
                      <w:rFonts w:hint="eastAsia" w:cs="Times New Roman"/>
                      <w:color w:val="auto"/>
                      <w:sz w:val="21"/>
                      <w:szCs w:val="21"/>
                      <w:highlight w:val="none"/>
                      <w:lang w:val="en-US" w:eastAsia="zh-CN"/>
                    </w:rPr>
                    <w:t>柴油</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用作</w:t>
                  </w:r>
                  <w:r>
                    <w:rPr>
                      <w:rFonts w:hint="eastAsia" w:ascii="Times New Roman" w:hAnsi="Times New Roman" w:eastAsia="宋体" w:cs="Times New Roman"/>
                      <w:color w:val="auto"/>
                      <w:sz w:val="21"/>
                      <w:szCs w:val="21"/>
                      <w:highlight w:val="none"/>
                      <w:lang w:val="en-US" w:eastAsia="zh-CN"/>
                    </w:rPr>
                    <w:t>烘干滚筒加热燃料，储量为50t，位于沥青储罐东侧</w:t>
                  </w:r>
                  <w:r>
                    <w:rPr>
                      <w:rFonts w:hint="eastAsia" w:cs="Times New Roman"/>
                      <w:color w:val="auto"/>
                      <w:sz w:val="21"/>
                      <w:szCs w:val="21"/>
                      <w:highlight w:val="none"/>
                      <w:lang w:val="en-US" w:eastAsia="zh-CN"/>
                    </w:rPr>
                    <w:t>，地上双层结构。</w:t>
                  </w:r>
                </w:p>
              </w:tc>
              <w:tc>
                <w:tcPr>
                  <w:tcW w:w="688" w:type="dxa"/>
                  <w:shd w:val="clear" w:color="auto" w:fill="auto"/>
                  <w:noWrap w:val="0"/>
                  <w:vAlign w:val="center"/>
                </w:tcPr>
                <w:p w14:paraId="1008F2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w:t>
                  </w:r>
                </w:p>
              </w:tc>
            </w:tr>
            <w:tr w14:paraId="37AE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blHeader/>
                <w:jc w:val="center"/>
              </w:trPr>
              <w:tc>
                <w:tcPr>
                  <w:tcW w:w="684" w:type="dxa"/>
                  <w:vMerge w:val="continue"/>
                  <w:noWrap w:val="0"/>
                  <w:vAlign w:val="center"/>
                </w:tcPr>
                <w:p w14:paraId="47DF58BE">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shd w:val="clear" w:color="auto" w:fill="auto"/>
                  <w:noWrap w:val="0"/>
                  <w:vAlign w:val="center"/>
                </w:tcPr>
                <w:p w14:paraId="26A06AD3">
                  <w:pPr>
                    <w:pageBreakBefore w:val="0"/>
                    <w:widowControl/>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6205" w:type="dxa"/>
                  <w:gridSpan w:val="2"/>
                  <w:shd w:val="clear" w:color="auto" w:fill="auto"/>
                  <w:noWrap w:val="0"/>
                  <w:vAlign w:val="center"/>
                </w:tcPr>
                <w:p w14:paraId="2D5367C8">
                  <w:pPr>
                    <w:pageBreakBefore w:val="0"/>
                    <w:widowControl/>
                    <w:kinsoku/>
                    <w:wordWrap/>
                    <w:overflowPunct/>
                    <w:topLinePunct w:val="0"/>
                    <w:autoSpaceDE/>
                    <w:autoSpaceDN/>
                    <w:bidi w:val="0"/>
                    <w:adjustRightInd/>
                    <w:spacing w:line="360" w:lineRule="exact"/>
                    <w:ind w:left="0" w:lef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1个，</w:t>
                  </w:r>
                  <w:r>
                    <w:rPr>
                      <w:rFonts w:hint="eastAsia" w:ascii="Times New Roman" w:hAnsi="Times New Roman" w:eastAsia="宋体" w:cs="Times New Roman"/>
                      <w:color w:val="auto"/>
                      <w:sz w:val="21"/>
                      <w:szCs w:val="21"/>
                      <w:highlight w:val="none"/>
                      <w:lang w:val="en-US" w:eastAsia="zh-CN"/>
                    </w:rPr>
                    <w:t>储存</w:t>
                  </w:r>
                  <w:r>
                    <w:rPr>
                      <w:rFonts w:hint="eastAsia" w:cs="Times New Roman"/>
                      <w:color w:val="auto"/>
                      <w:kern w:val="0"/>
                      <w:sz w:val="21"/>
                      <w:szCs w:val="21"/>
                      <w:lang w:val="en-US" w:eastAsia="zh-CN" w:bidi="ar"/>
                    </w:rPr>
                    <w:t>柴油</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用作有机热载体炉燃料，储量为10t，位于有机热载体炉南侧，地上双层结构。</w:t>
                  </w:r>
                </w:p>
              </w:tc>
              <w:tc>
                <w:tcPr>
                  <w:tcW w:w="688" w:type="dxa"/>
                  <w:shd w:val="clear" w:color="auto" w:fill="auto"/>
                  <w:noWrap w:val="0"/>
                  <w:vAlign w:val="center"/>
                </w:tcPr>
                <w:p w14:paraId="24B604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w:t>
                  </w:r>
                </w:p>
              </w:tc>
            </w:tr>
            <w:tr w14:paraId="7BEE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4" w:type="dxa"/>
                  <w:vMerge w:val="continue"/>
                  <w:noWrap w:val="0"/>
                  <w:vAlign w:val="center"/>
                </w:tcPr>
                <w:p w14:paraId="69BBB856">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noWrap w:val="0"/>
                  <w:vAlign w:val="center"/>
                </w:tcPr>
                <w:p w14:paraId="439F371B">
                  <w:pPr>
                    <w:pageBreakBefore w:val="0"/>
                    <w:widowControl/>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矿粉</w:t>
                  </w:r>
                  <w:r>
                    <w:rPr>
                      <w:rFonts w:hint="eastAsia" w:cs="Times New Roman"/>
                      <w:color w:val="auto"/>
                      <w:kern w:val="0"/>
                      <w:sz w:val="21"/>
                      <w:szCs w:val="21"/>
                      <w:lang w:val="en-US" w:eastAsia="zh-CN"/>
                    </w:rPr>
                    <w:t>筒仓</w:t>
                  </w:r>
                </w:p>
              </w:tc>
              <w:tc>
                <w:tcPr>
                  <w:tcW w:w="6205" w:type="dxa"/>
                  <w:gridSpan w:val="2"/>
                  <w:noWrap w:val="0"/>
                  <w:vAlign w:val="center"/>
                </w:tcPr>
                <w:p w14:paraId="2DDF827C">
                  <w:pPr>
                    <w:pageBreakBefore w:val="0"/>
                    <w:widowControl/>
                    <w:kinsoku/>
                    <w:wordWrap/>
                    <w:overflowPunct/>
                    <w:topLinePunct w:val="0"/>
                    <w:autoSpaceDE/>
                    <w:autoSpaceDN/>
                    <w:bidi w:val="0"/>
                    <w:adjustRightInd/>
                    <w:spacing w:line="360" w:lineRule="exact"/>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1个，</w:t>
                  </w:r>
                  <w:r>
                    <w:rPr>
                      <w:rFonts w:hint="eastAsia" w:ascii="Times New Roman" w:hAnsi="Times New Roman" w:eastAsia="宋体" w:cs="Times New Roman"/>
                      <w:color w:val="auto"/>
                      <w:sz w:val="21"/>
                      <w:szCs w:val="21"/>
                      <w:highlight w:val="none"/>
                      <w:lang w:val="en-US" w:eastAsia="zh-CN"/>
                    </w:rPr>
                    <w:t>用于储存矿粉，</w:t>
                  </w:r>
                  <w:r>
                    <w:rPr>
                      <w:rFonts w:hint="eastAsia" w:ascii="Times New Roman" w:hAnsi="Times New Roman" w:eastAsia="宋体" w:cs="Times New Roman"/>
                      <w:color w:val="auto"/>
                      <w:sz w:val="21"/>
                      <w:szCs w:val="21"/>
                      <w:lang w:val="en-US" w:eastAsia="zh-CN"/>
                    </w:rPr>
                    <w:t>仓顶</w:t>
                  </w:r>
                  <w:r>
                    <w:rPr>
                      <w:rFonts w:hint="default" w:ascii="Times New Roman" w:hAnsi="Times New Roman" w:eastAsia="宋体" w:cs="Times New Roman"/>
                      <w:color w:val="auto"/>
                      <w:sz w:val="21"/>
                      <w:szCs w:val="21"/>
                    </w:rPr>
                    <w:t>配套</w:t>
                  </w:r>
                  <w:r>
                    <w:rPr>
                      <w:rFonts w:hint="eastAsia" w:ascii="Times New Roman" w:hAnsi="Times New Roman" w:eastAsia="宋体" w:cs="Times New Roman"/>
                      <w:color w:val="auto"/>
                      <w:sz w:val="21"/>
                      <w:szCs w:val="21"/>
                      <w:lang w:val="en-US" w:eastAsia="zh-CN"/>
                    </w:rPr>
                    <w:t>有</w:t>
                  </w:r>
                  <w:r>
                    <w:rPr>
                      <w:rFonts w:hint="default" w:ascii="Times New Roman" w:hAnsi="Times New Roman" w:eastAsia="宋体" w:cs="Times New Roman"/>
                      <w:color w:val="auto"/>
                      <w:sz w:val="21"/>
                      <w:szCs w:val="21"/>
                    </w:rPr>
                    <w:t>1套袋式除尘器</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储量为60t，位于</w:t>
                  </w:r>
                  <w:r>
                    <w:rPr>
                      <w:rFonts w:hint="eastAsia" w:cs="Times New Roman"/>
                      <w:color w:val="auto"/>
                      <w:sz w:val="21"/>
                      <w:szCs w:val="21"/>
                      <w:highlight w:val="none"/>
                      <w:lang w:val="en-US" w:eastAsia="zh-CN"/>
                    </w:rPr>
                    <w:t>拌合站北侧。</w:t>
                  </w:r>
                </w:p>
              </w:tc>
              <w:tc>
                <w:tcPr>
                  <w:tcW w:w="688" w:type="dxa"/>
                  <w:noWrap w:val="0"/>
                  <w:vAlign w:val="center"/>
                </w:tcPr>
                <w:p w14:paraId="1E06A10B">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w:t>
                  </w:r>
                </w:p>
              </w:tc>
            </w:tr>
            <w:tr w14:paraId="07F0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blHeader/>
                <w:jc w:val="center"/>
              </w:trPr>
              <w:tc>
                <w:tcPr>
                  <w:tcW w:w="684" w:type="dxa"/>
                  <w:vMerge w:val="continue"/>
                  <w:noWrap w:val="0"/>
                  <w:vAlign w:val="center"/>
                </w:tcPr>
                <w:p w14:paraId="63F0421C">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noWrap w:val="0"/>
                  <w:vAlign w:val="center"/>
                </w:tcPr>
                <w:p w14:paraId="77C5AE51">
                  <w:pPr>
                    <w:pageBreakBefore w:val="0"/>
                    <w:widowControl/>
                    <w:kinsoku/>
                    <w:wordWrap/>
                    <w:overflowPunct/>
                    <w:topLinePunct w:val="0"/>
                    <w:autoSpaceDE/>
                    <w:autoSpaceDN/>
                    <w:bidi w:val="0"/>
                    <w:adjustRightInd/>
                    <w:spacing w:line="360" w:lineRule="exact"/>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皮带输送机</w:t>
                  </w:r>
                </w:p>
              </w:tc>
              <w:tc>
                <w:tcPr>
                  <w:tcW w:w="6205" w:type="dxa"/>
                  <w:gridSpan w:val="2"/>
                  <w:noWrap w:val="0"/>
                  <w:vAlign w:val="center"/>
                </w:tcPr>
                <w:p w14:paraId="237D3A90">
                  <w:pPr>
                    <w:pageBreakBefore w:val="0"/>
                    <w:widowControl/>
                    <w:kinsoku/>
                    <w:wordWrap/>
                    <w:overflowPunct/>
                    <w:topLinePunct w:val="0"/>
                    <w:autoSpaceDE/>
                    <w:autoSpaceDN/>
                    <w:bidi w:val="0"/>
                    <w:adjustRightInd/>
                    <w:spacing w:line="360" w:lineRule="exact"/>
                    <w:ind w:left="0" w:leftChars="0"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2条，输送砂石料。</w:t>
                  </w:r>
                </w:p>
              </w:tc>
              <w:tc>
                <w:tcPr>
                  <w:tcW w:w="688" w:type="dxa"/>
                  <w:noWrap w:val="0"/>
                  <w:vAlign w:val="center"/>
                </w:tcPr>
                <w:p w14:paraId="69BCE06E">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已建</w:t>
                  </w:r>
                </w:p>
              </w:tc>
            </w:tr>
            <w:tr w14:paraId="6BEC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blHeader/>
                <w:jc w:val="center"/>
              </w:trPr>
              <w:tc>
                <w:tcPr>
                  <w:tcW w:w="684" w:type="dxa"/>
                  <w:noWrap w:val="0"/>
                  <w:vAlign w:val="center"/>
                </w:tcPr>
                <w:p w14:paraId="2C1890DF">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辅助工程</w:t>
                  </w:r>
                </w:p>
              </w:tc>
              <w:tc>
                <w:tcPr>
                  <w:tcW w:w="919" w:type="dxa"/>
                  <w:shd w:val="clear" w:color="auto" w:fill="auto"/>
                  <w:noWrap w:val="0"/>
                  <w:vAlign w:val="center"/>
                </w:tcPr>
                <w:p w14:paraId="7FAE068E">
                  <w:pPr>
                    <w:pageBreakBefore w:val="0"/>
                    <w:widowControl/>
                    <w:kinsoku/>
                    <w:wordWrap/>
                    <w:overflowPunct/>
                    <w:topLinePunct w:val="0"/>
                    <w:autoSpaceDE/>
                    <w:autoSpaceDN/>
                    <w:bidi w:val="0"/>
                    <w:adjustRightInd/>
                    <w:spacing w:line="360" w:lineRule="exact"/>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highlight w:val="none"/>
                      <w:lang w:val="en-US" w:eastAsia="zh-CN"/>
                    </w:rPr>
                    <w:t>办公区</w:t>
                  </w:r>
                </w:p>
              </w:tc>
              <w:tc>
                <w:tcPr>
                  <w:tcW w:w="6205" w:type="dxa"/>
                  <w:gridSpan w:val="2"/>
                  <w:shd w:val="clear" w:color="auto" w:fill="auto"/>
                  <w:noWrap w:val="0"/>
                  <w:vAlign w:val="center"/>
                </w:tcPr>
                <w:p w14:paraId="2ACA40D1">
                  <w:pPr>
                    <w:pageBreakBefore w:val="0"/>
                    <w:widowControl/>
                    <w:kinsoku/>
                    <w:wordWrap/>
                    <w:overflowPunct/>
                    <w:topLinePunct w:val="0"/>
                    <w:autoSpaceDE/>
                    <w:autoSpaceDN/>
                    <w:bidi w:val="0"/>
                    <w:adjustRightInd/>
                    <w:spacing w:line="360" w:lineRule="exact"/>
                    <w:ind w:left="0" w:lef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依托云南龙泉矿业开发有限公司</w:t>
                  </w:r>
                  <w:r>
                    <w:rPr>
                      <w:rFonts w:hint="eastAsia"/>
                      <w:color w:val="000000" w:themeColor="text1"/>
                      <w:sz w:val="21"/>
                      <w:szCs w:val="21"/>
                      <w:lang w:val="en-US" w:eastAsia="zh-CN"/>
                      <w14:textFill>
                        <w14:solidFill>
                          <w14:schemeClr w14:val="tx1"/>
                        </w14:solidFill>
                      </w14:textFill>
                    </w:rPr>
                    <w:t>西南侧</w:t>
                  </w:r>
                  <w:r>
                    <w:rPr>
                      <w:rFonts w:hint="eastAsia" w:ascii="Times New Roman" w:hAnsi="Times New Roman" w:eastAsia="宋体" w:cs="Times New Roman"/>
                      <w:color w:val="auto"/>
                      <w:sz w:val="21"/>
                      <w:szCs w:val="21"/>
                      <w:lang w:val="en-US" w:eastAsia="zh-CN"/>
                    </w:rPr>
                    <w:t>办公区。</w:t>
                  </w:r>
                </w:p>
              </w:tc>
              <w:tc>
                <w:tcPr>
                  <w:tcW w:w="688" w:type="dxa"/>
                  <w:shd w:val="clear" w:color="auto" w:fill="auto"/>
                  <w:noWrap w:val="0"/>
                  <w:vAlign w:val="center"/>
                </w:tcPr>
                <w:p w14:paraId="613ECE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依托</w:t>
                  </w:r>
                </w:p>
              </w:tc>
            </w:tr>
            <w:tr w14:paraId="648C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blHeader/>
                <w:jc w:val="center"/>
              </w:trPr>
              <w:tc>
                <w:tcPr>
                  <w:tcW w:w="684" w:type="dxa"/>
                  <w:vMerge w:val="restart"/>
                  <w:noWrap w:val="0"/>
                  <w:vAlign w:val="center"/>
                </w:tcPr>
                <w:p w14:paraId="5EE67664">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919" w:type="dxa"/>
                  <w:noWrap w:val="0"/>
                  <w:vAlign w:val="center"/>
                </w:tcPr>
                <w:p w14:paraId="629B669B">
                  <w:pPr>
                    <w:pageBreakBefore w:val="0"/>
                    <w:widowControl/>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供电</w:t>
                  </w:r>
                </w:p>
              </w:tc>
              <w:tc>
                <w:tcPr>
                  <w:tcW w:w="6205" w:type="dxa"/>
                  <w:gridSpan w:val="2"/>
                  <w:noWrap w:val="0"/>
                  <w:vAlign w:val="center"/>
                </w:tcPr>
                <w:p w14:paraId="1DDCBDA8">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left"/>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云南龙泉矿业开发有限公司供电系统</w:t>
                  </w:r>
                  <w:r>
                    <w:rPr>
                      <w:rFonts w:hint="eastAsia" w:cs="Times New Roman"/>
                      <w:color w:val="auto"/>
                      <w:kern w:val="0"/>
                      <w:sz w:val="21"/>
                      <w:szCs w:val="21"/>
                      <w:lang w:val="en-US" w:eastAsia="zh-CN" w:bidi="ar"/>
                    </w:rPr>
                    <w:t>，</w:t>
                  </w:r>
                  <w:r>
                    <w:rPr>
                      <w:rFonts w:hint="eastAsia"/>
                      <w:color w:val="000000" w:themeColor="text1"/>
                      <w:sz w:val="21"/>
                      <w:szCs w:val="21"/>
                      <w14:textFill>
                        <w14:solidFill>
                          <w14:schemeClr w14:val="tx1"/>
                        </w14:solidFill>
                      </w14:textFill>
                    </w:rPr>
                    <w:t>由寻甸县仁德镇供电所供应。</w:t>
                  </w:r>
                </w:p>
              </w:tc>
              <w:tc>
                <w:tcPr>
                  <w:tcW w:w="688" w:type="dxa"/>
                  <w:noWrap w:val="0"/>
                  <w:vAlign w:val="center"/>
                </w:tcPr>
                <w:p w14:paraId="205607C3">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14:paraId="7F01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blHeader/>
                <w:jc w:val="center"/>
              </w:trPr>
              <w:tc>
                <w:tcPr>
                  <w:tcW w:w="684" w:type="dxa"/>
                  <w:vMerge w:val="continue"/>
                  <w:noWrap w:val="0"/>
                  <w:vAlign w:val="center"/>
                </w:tcPr>
                <w:p w14:paraId="0D84FECE">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noWrap w:val="0"/>
                  <w:vAlign w:val="center"/>
                </w:tcPr>
                <w:p w14:paraId="1AFAA81D">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tc>
              <w:tc>
                <w:tcPr>
                  <w:tcW w:w="6205" w:type="dxa"/>
                  <w:gridSpan w:val="2"/>
                  <w:noWrap w:val="0"/>
                  <w:vAlign w:val="center"/>
                </w:tcPr>
                <w:p w14:paraId="0F22FF3D">
                  <w:pPr>
                    <w:pageBreakBefore w:val="0"/>
                    <w:kinsoku/>
                    <w:wordWrap/>
                    <w:overflowPunct/>
                    <w:topLinePunct w:val="0"/>
                    <w:autoSpaceDE/>
                    <w:autoSpaceDN/>
                    <w:bidi w:val="0"/>
                    <w:adjustRightInd/>
                    <w:snapToGrid w:val="0"/>
                    <w:spacing w:line="360" w:lineRule="exact"/>
                    <w:ind w:firstLine="0" w:firstLineChars="0"/>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云南龙泉矿业开发有限公司供水系统</w:t>
                  </w:r>
                  <w:r>
                    <w:rPr>
                      <w:rFonts w:hint="eastAsia" w:cs="Times New Roman"/>
                      <w:color w:val="auto"/>
                      <w:sz w:val="21"/>
                      <w:szCs w:val="21"/>
                      <w:lang w:val="en-US" w:eastAsia="zh-CN"/>
                    </w:rPr>
                    <w:t>，</w:t>
                  </w:r>
                  <w:r>
                    <w:rPr>
                      <w:rFonts w:hint="eastAsia"/>
                      <w:color w:val="auto"/>
                      <w:sz w:val="21"/>
                      <w:szCs w:val="21"/>
                    </w:rPr>
                    <w:t>从矿山西部双龙水泥厂井水铺设约0.5km水管线引水，供矿山生产、生活</w:t>
                  </w:r>
                  <w:r>
                    <w:rPr>
                      <w:rFonts w:hint="eastAsia"/>
                      <w:color w:val="auto"/>
                      <w:sz w:val="21"/>
                      <w:szCs w:val="21"/>
                      <w:lang w:val="en-US" w:eastAsia="zh-CN"/>
                    </w:rPr>
                    <w:t>使</w:t>
                  </w:r>
                  <w:r>
                    <w:rPr>
                      <w:rFonts w:hint="eastAsia"/>
                      <w:color w:val="auto"/>
                      <w:sz w:val="21"/>
                      <w:szCs w:val="21"/>
                    </w:rPr>
                    <w:t>用</w:t>
                  </w:r>
                  <w:r>
                    <w:rPr>
                      <w:rFonts w:hint="eastAsia"/>
                      <w:color w:val="auto"/>
                      <w:sz w:val="21"/>
                      <w:szCs w:val="21"/>
                      <w:lang w:eastAsia="zh-CN"/>
                    </w:rPr>
                    <w:t>。</w:t>
                  </w:r>
                </w:p>
              </w:tc>
              <w:tc>
                <w:tcPr>
                  <w:tcW w:w="688" w:type="dxa"/>
                  <w:noWrap w:val="0"/>
                  <w:vAlign w:val="center"/>
                </w:tcPr>
                <w:p w14:paraId="6E60928D">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14:paraId="32F3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blHeader/>
                <w:jc w:val="center"/>
              </w:trPr>
              <w:tc>
                <w:tcPr>
                  <w:tcW w:w="684" w:type="dxa"/>
                  <w:vMerge w:val="continue"/>
                  <w:noWrap w:val="0"/>
                  <w:vAlign w:val="center"/>
                </w:tcPr>
                <w:p w14:paraId="49D60250">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noWrap w:val="0"/>
                  <w:vAlign w:val="center"/>
                </w:tcPr>
                <w:p w14:paraId="23E50698">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供热</w:t>
                  </w:r>
                </w:p>
              </w:tc>
              <w:tc>
                <w:tcPr>
                  <w:tcW w:w="6205" w:type="dxa"/>
                  <w:gridSpan w:val="2"/>
                  <w:noWrap w:val="0"/>
                  <w:vAlign w:val="center"/>
                </w:tcPr>
                <w:p w14:paraId="39B506FC">
                  <w:pPr>
                    <w:pageBreakBefore w:val="0"/>
                    <w:kinsoku/>
                    <w:wordWrap/>
                    <w:overflowPunct/>
                    <w:topLinePunct w:val="0"/>
                    <w:autoSpaceDE/>
                    <w:autoSpaceDN/>
                    <w:bidi w:val="0"/>
                    <w:adjustRightInd/>
                    <w:snapToGrid w:val="0"/>
                    <w:spacing w:line="360" w:lineRule="exact"/>
                    <w:ind w:firstLine="0" w:firstLineChars="0"/>
                    <w:textAlignment w:val="auto"/>
                    <w:rPr>
                      <w:rFonts w:hint="eastAsia"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项目供热主要为骨料烘干</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沥青融化</w:t>
                  </w:r>
                  <w:r>
                    <w:rPr>
                      <w:rFonts w:hint="eastAsia" w:cs="Times New Roman"/>
                      <w:color w:val="auto"/>
                      <w:sz w:val="21"/>
                      <w:szCs w:val="21"/>
                      <w:lang w:val="en-US" w:eastAsia="zh-CN"/>
                    </w:rPr>
                    <w:t>及保温</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烘干滚筒配备</w:t>
                  </w:r>
                  <w:r>
                    <w:rPr>
                      <w:rFonts w:hint="default" w:ascii="Times New Roman" w:hAnsi="Times New Roman" w:eastAsia="宋体" w:cs="Times New Roman"/>
                      <w:color w:val="auto"/>
                      <w:sz w:val="21"/>
                      <w:szCs w:val="21"/>
                    </w:rPr>
                    <w:t>一套燃烧</w:t>
                  </w:r>
                  <w:r>
                    <w:rPr>
                      <w:rFonts w:hint="eastAsia" w:cs="Times New Roman"/>
                      <w:color w:val="auto"/>
                      <w:sz w:val="21"/>
                      <w:szCs w:val="21"/>
                      <w:lang w:val="en-US" w:eastAsia="zh-CN"/>
                    </w:rPr>
                    <w:t>机</w:t>
                  </w:r>
                  <w:r>
                    <w:rPr>
                      <w:rFonts w:hint="default" w:ascii="Times New Roman" w:hAnsi="Times New Roman" w:eastAsia="宋体" w:cs="Times New Roman"/>
                      <w:color w:val="auto"/>
                      <w:sz w:val="21"/>
                      <w:szCs w:val="21"/>
                    </w:rPr>
                    <w:t>用于骨料加热烘干，建设一</w:t>
                  </w:r>
                  <w:r>
                    <w:rPr>
                      <w:rFonts w:hint="eastAsia" w:cs="Times New Roman"/>
                      <w:color w:val="auto"/>
                      <w:sz w:val="21"/>
                      <w:szCs w:val="21"/>
                      <w:lang w:val="en-US" w:eastAsia="zh-CN"/>
                    </w:rPr>
                    <w:t>台</w:t>
                  </w:r>
                  <w:r>
                    <w:rPr>
                      <w:rFonts w:hint="eastAsia" w:ascii="Times New Roman" w:hAnsi="Times New Roman" w:eastAsia="宋体" w:cs="Times New Roman"/>
                      <w:color w:val="auto"/>
                      <w:sz w:val="21"/>
                      <w:szCs w:val="21"/>
                      <w:lang w:val="en-US" w:eastAsia="zh-CN"/>
                    </w:rPr>
                    <w:t>700kW有机热载体</w:t>
                  </w:r>
                  <w:r>
                    <w:rPr>
                      <w:rFonts w:hint="default" w:ascii="Times New Roman" w:hAnsi="Times New Roman" w:eastAsia="宋体" w:cs="Times New Roman"/>
                      <w:color w:val="auto"/>
                      <w:sz w:val="21"/>
                      <w:szCs w:val="21"/>
                    </w:rPr>
                    <w:t>炉用于沥青融化</w:t>
                  </w:r>
                  <w:r>
                    <w:rPr>
                      <w:rFonts w:hint="eastAsia" w:cs="Times New Roman"/>
                      <w:color w:val="auto"/>
                      <w:sz w:val="21"/>
                      <w:szCs w:val="21"/>
                      <w:lang w:val="en-US" w:eastAsia="zh-CN"/>
                    </w:rPr>
                    <w:t>及保温</w:t>
                  </w:r>
                  <w:r>
                    <w:rPr>
                      <w:rFonts w:hint="default" w:ascii="Times New Roman" w:hAnsi="Times New Roman" w:eastAsia="宋体" w:cs="Times New Roman"/>
                      <w:color w:val="auto"/>
                      <w:sz w:val="21"/>
                      <w:szCs w:val="21"/>
                    </w:rPr>
                    <w:t>。</w:t>
                  </w:r>
                </w:p>
              </w:tc>
              <w:tc>
                <w:tcPr>
                  <w:tcW w:w="688" w:type="dxa"/>
                  <w:noWrap w:val="0"/>
                  <w:vAlign w:val="center"/>
                </w:tcPr>
                <w:p w14:paraId="11C35288">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已建</w:t>
                  </w:r>
                </w:p>
              </w:tc>
            </w:tr>
            <w:tr w14:paraId="3E83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blHeader/>
                <w:jc w:val="center"/>
              </w:trPr>
              <w:tc>
                <w:tcPr>
                  <w:tcW w:w="684" w:type="dxa"/>
                  <w:vMerge w:val="continue"/>
                  <w:noWrap w:val="0"/>
                  <w:vAlign w:val="center"/>
                </w:tcPr>
                <w:p w14:paraId="71C81463">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noWrap w:val="0"/>
                  <w:vAlign w:val="center"/>
                </w:tcPr>
                <w:p w14:paraId="26E03B1A">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tc>
              <w:tc>
                <w:tcPr>
                  <w:tcW w:w="6205" w:type="dxa"/>
                  <w:gridSpan w:val="2"/>
                  <w:noWrap w:val="0"/>
                  <w:vAlign w:val="center"/>
                </w:tcPr>
                <w:p w14:paraId="78CC84AD">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
                    </w:rPr>
                    <w:t>依托</w:t>
                  </w:r>
                  <w:r>
                    <w:rPr>
                      <w:rFonts w:hint="eastAsia" w:ascii="Times New Roman" w:hAnsi="Times New Roman" w:eastAsia="宋体" w:cs="Times New Roman"/>
                      <w:color w:val="auto"/>
                      <w:sz w:val="21"/>
                      <w:szCs w:val="21"/>
                      <w:lang w:val="en-US" w:eastAsia="zh-CN"/>
                    </w:rPr>
                    <w:t>云南龙泉矿业开发有限公司排水系统</w:t>
                  </w:r>
                  <w:r>
                    <w:rPr>
                      <w:rFonts w:hint="default" w:ascii="Times New Roman" w:hAnsi="Times New Roman" w:eastAsia="宋体" w:cs="Times New Roman"/>
                      <w:color w:val="auto"/>
                      <w:kern w:val="0"/>
                      <w:sz w:val="21"/>
                      <w:szCs w:val="21"/>
                      <w:lang w:val="en-US" w:eastAsia="zh-CN" w:bidi="ar"/>
                    </w:rPr>
                    <w:t>。</w:t>
                  </w:r>
                </w:p>
              </w:tc>
              <w:tc>
                <w:tcPr>
                  <w:tcW w:w="688" w:type="dxa"/>
                  <w:noWrap w:val="0"/>
                  <w:vAlign w:val="center"/>
                </w:tcPr>
                <w:p w14:paraId="5F92F65B">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依托</w:t>
                  </w:r>
                </w:p>
              </w:tc>
            </w:tr>
            <w:tr w14:paraId="71C9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blHeader/>
                <w:jc w:val="center"/>
              </w:trPr>
              <w:tc>
                <w:tcPr>
                  <w:tcW w:w="684" w:type="dxa"/>
                  <w:vMerge w:val="continue"/>
                  <w:noWrap w:val="0"/>
                  <w:vAlign w:val="center"/>
                </w:tcPr>
                <w:p w14:paraId="0B1461F2">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noWrap w:val="0"/>
                  <w:vAlign w:val="center"/>
                </w:tcPr>
                <w:p w14:paraId="61DCE4E4">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运输</w:t>
                  </w:r>
                </w:p>
              </w:tc>
              <w:tc>
                <w:tcPr>
                  <w:tcW w:w="6205" w:type="dxa"/>
                  <w:gridSpan w:val="2"/>
                  <w:noWrap w:val="0"/>
                  <w:vAlign w:val="center"/>
                </w:tcPr>
                <w:p w14:paraId="1B4622F5">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依托采石场内部道路运输，可直达项目位置；外</w:t>
                  </w:r>
                  <w:r>
                    <w:rPr>
                      <w:rFonts w:hint="eastAsia" w:ascii="Times New Roman" w:hAnsi="Times New Roman" w:eastAsia="宋体" w:cs="Times New Roman"/>
                      <w:color w:val="auto"/>
                      <w:kern w:val="0"/>
                      <w:sz w:val="21"/>
                      <w:szCs w:val="21"/>
                      <w:lang w:val="en-US" w:eastAsia="zh-CN" w:bidi="ar"/>
                    </w:rPr>
                    <w:t>部道路利用项目西侧森林消防道路（与县道XD85相连），路面结构为沥青混凝土路面，平均路宽约5m，长约1580m。</w:t>
                  </w:r>
                </w:p>
              </w:tc>
              <w:tc>
                <w:tcPr>
                  <w:tcW w:w="688" w:type="dxa"/>
                  <w:noWrap w:val="0"/>
                  <w:vAlign w:val="center"/>
                </w:tcPr>
                <w:p w14:paraId="211F9F2B">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依托</w:t>
                  </w:r>
                </w:p>
              </w:tc>
            </w:tr>
            <w:tr w14:paraId="4113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blHeader/>
                <w:jc w:val="center"/>
              </w:trPr>
              <w:tc>
                <w:tcPr>
                  <w:tcW w:w="684" w:type="dxa"/>
                  <w:vMerge w:val="restart"/>
                  <w:noWrap w:val="0"/>
                  <w:vAlign w:val="center"/>
                </w:tcPr>
                <w:p w14:paraId="26C54942">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919" w:type="dxa"/>
                  <w:vMerge w:val="restart"/>
                  <w:noWrap w:val="0"/>
                  <w:vAlign w:val="center"/>
                </w:tcPr>
                <w:p w14:paraId="43322BCB">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废气治理设施</w:t>
                  </w:r>
                </w:p>
              </w:tc>
              <w:tc>
                <w:tcPr>
                  <w:tcW w:w="998" w:type="dxa"/>
                  <w:noWrap w:val="0"/>
                  <w:vAlign w:val="center"/>
                </w:tcPr>
                <w:p w14:paraId="559EBC13">
                  <w:pPr>
                    <w:pageBreakBefore w:val="0"/>
                    <w:kinsoku/>
                    <w:wordWrap/>
                    <w:overflowPunct/>
                    <w:topLinePunct w:val="0"/>
                    <w:autoSpaceDE/>
                    <w:autoSpaceDN/>
                    <w:bidi w:val="0"/>
                    <w:adjustRightInd/>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装卸废气</w:t>
                  </w:r>
                </w:p>
              </w:tc>
              <w:tc>
                <w:tcPr>
                  <w:tcW w:w="5207" w:type="dxa"/>
                  <w:noWrap w:val="0"/>
                  <w:vAlign w:val="center"/>
                </w:tcPr>
                <w:p w14:paraId="17A7DDB5">
                  <w:pPr>
                    <w:pageBreakBefore w:val="0"/>
                    <w:kinsoku/>
                    <w:wordWrap/>
                    <w:overflowPunct/>
                    <w:topLinePunct w:val="0"/>
                    <w:autoSpaceDE/>
                    <w:autoSpaceDN/>
                    <w:bidi w:val="0"/>
                    <w:adjustRightInd/>
                    <w:spacing w:line="360" w:lineRule="exact"/>
                    <w:ind w:firstLine="0" w:firstLineChars="0"/>
                    <w:jc w:val="left"/>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砂石料由</w:t>
                  </w:r>
                  <w:r>
                    <w:rPr>
                      <w:rFonts w:hint="eastAsia" w:ascii="Times New Roman" w:hAnsi="Times New Roman" w:eastAsia="宋体" w:cs="Times New Roman"/>
                      <w:b w:val="0"/>
                      <w:bCs w:val="0"/>
                      <w:color w:val="auto"/>
                      <w:sz w:val="21"/>
                      <w:szCs w:val="21"/>
                      <w:highlight w:val="none"/>
                      <w:lang w:val="en-US" w:eastAsia="zh-CN"/>
                    </w:rPr>
                    <w:t>采石场的3#堆料场</w:t>
                  </w:r>
                  <w:r>
                    <w:rPr>
                      <w:rFonts w:hint="eastAsia" w:cs="Times New Roman"/>
                      <w:b w:val="0"/>
                      <w:bCs w:val="0"/>
                      <w:color w:val="auto"/>
                      <w:sz w:val="21"/>
                      <w:szCs w:val="21"/>
                      <w:highlight w:val="none"/>
                      <w:lang w:val="en-US" w:eastAsia="zh-CN"/>
                    </w:rPr>
                    <w:t>由装载车运至项目砂石料堆场，砂石料堆场设置了</w:t>
                  </w:r>
                  <w:r>
                    <w:rPr>
                      <w:rFonts w:hint="eastAsia"/>
                      <w:b w:val="0"/>
                      <w:bCs w:val="0"/>
                      <w:color w:val="auto"/>
                      <w:sz w:val="21"/>
                      <w:szCs w:val="21"/>
                    </w:rPr>
                    <w:t>大棚，采用三</w:t>
                  </w:r>
                  <w:r>
                    <w:rPr>
                      <w:rFonts w:hint="eastAsia" w:ascii="Times New Roman" w:hAnsi="Times New Roman" w:eastAsia="宋体" w:cs="Times New Roman"/>
                      <w:b w:val="0"/>
                      <w:bCs w:val="0"/>
                      <w:color w:val="auto"/>
                      <w:sz w:val="21"/>
                      <w:szCs w:val="21"/>
                      <w:lang w:val="en-US" w:eastAsia="zh-CN"/>
                    </w:rPr>
                    <w:t>面围挡</w:t>
                  </w:r>
                  <w:r>
                    <w:rPr>
                      <w:rFonts w:hint="eastAsia" w:cs="Times New Roman"/>
                      <w:b w:val="0"/>
                      <w:bCs w:val="0"/>
                      <w:color w:val="auto"/>
                      <w:sz w:val="21"/>
                      <w:szCs w:val="21"/>
                      <w:lang w:val="en-US" w:eastAsia="zh-CN"/>
                    </w:rPr>
                    <w:t>。</w:t>
                  </w:r>
                </w:p>
                <w:p w14:paraId="3BBD2736">
                  <w:pPr>
                    <w:pageBreakBefore w:val="0"/>
                    <w:kinsoku/>
                    <w:wordWrap/>
                    <w:overflowPunct/>
                    <w:topLinePunct w:val="0"/>
                    <w:autoSpaceDE/>
                    <w:autoSpaceDN/>
                    <w:bidi w:val="0"/>
                    <w:adjustRightInd/>
                    <w:spacing w:line="360" w:lineRule="exact"/>
                    <w:ind w:firstLine="0" w:firstLineChars="0"/>
                    <w:jc w:val="left"/>
                    <w:textAlignment w:val="auto"/>
                    <w:rPr>
                      <w:rFonts w:hint="default" w:cs="Times New Roman"/>
                      <w:b w:val="0"/>
                      <w:bCs w:val="0"/>
                      <w:color w:val="auto"/>
                      <w:sz w:val="21"/>
                      <w:szCs w:val="21"/>
                      <w:lang w:val="en-US" w:eastAsia="zh-CN"/>
                    </w:rPr>
                  </w:pPr>
                  <w:r>
                    <w:rPr>
                      <w:rFonts w:hint="eastAsia" w:cs="Times New Roman"/>
                      <w:color w:val="auto"/>
                      <w:sz w:val="21"/>
                      <w:szCs w:val="21"/>
                      <w:lang w:val="en-US" w:eastAsia="zh-CN"/>
                    </w:rPr>
                    <w:t>此次环评提出：采用人工通过软管定期对厂区进行洒水降尘。</w:t>
                  </w:r>
                </w:p>
              </w:tc>
              <w:tc>
                <w:tcPr>
                  <w:tcW w:w="688" w:type="dxa"/>
                  <w:noWrap w:val="0"/>
                  <w:vAlign w:val="center"/>
                </w:tcPr>
                <w:p w14:paraId="1DB4AF60">
                  <w:pPr>
                    <w:pStyle w:val="3"/>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已建，</w:t>
                  </w:r>
                  <w:r>
                    <w:rPr>
                      <w:rFonts w:hint="eastAsia" w:ascii="Times New Roman" w:hAnsi="Times New Roman" w:eastAsia="宋体" w:cs="Times New Roman"/>
                      <w:b w:val="0"/>
                      <w:bCs w:val="0"/>
                      <w:color w:val="auto"/>
                      <w:kern w:val="2"/>
                      <w:sz w:val="21"/>
                      <w:szCs w:val="21"/>
                      <w:lang w:val="en-US" w:eastAsia="zh-CN" w:bidi="ar-SA"/>
                    </w:rPr>
                    <w:t>环评提出新增</w:t>
                  </w:r>
                </w:p>
              </w:tc>
            </w:tr>
            <w:tr w14:paraId="1BBA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blHeader/>
                <w:jc w:val="center"/>
              </w:trPr>
              <w:tc>
                <w:tcPr>
                  <w:tcW w:w="684" w:type="dxa"/>
                  <w:vMerge w:val="continue"/>
                  <w:noWrap w:val="0"/>
                  <w:vAlign w:val="center"/>
                </w:tcPr>
                <w:p w14:paraId="1FE69D2F">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3BA810E8">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0CCF56C2">
                  <w:pPr>
                    <w:pageBreakBefore w:val="0"/>
                    <w:kinsoku/>
                    <w:wordWrap/>
                    <w:overflowPunct/>
                    <w:topLinePunct w:val="0"/>
                    <w:autoSpaceDE/>
                    <w:autoSpaceDN/>
                    <w:bidi w:val="0"/>
                    <w:adjustRightInd/>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上料扬尘</w:t>
                  </w:r>
                </w:p>
              </w:tc>
              <w:tc>
                <w:tcPr>
                  <w:tcW w:w="5207" w:type="dxa"/>
                  <w:noWrap w:val="0"/>
                  <w:vAlign w:val="center"/>
                </w:tcPr>
                <w:p w14:paraId="729D258A">
                  <w:pPr>
                    <w:pageBreakBefore w:val="0"/>
                    <w:kinsoku/>
                    <w:wordWrap/>
                    <w:overflowPunct/>
                    <w:topLinePunct w:val="0"/>
                    <w:autoSpaceDE/>
                    <w:autoSpaceDN/>
                    <w:bidi w:val="0"/>
                    <w:adjustRightInd/>
                    <w:spacing w:line="360" w:lineRule="exact"/>
                    <w:ind w:firstLine="0" w:firstLineChars="0"/>
                    <w:jc w:val="left"/>
                    <w:textAlignment w:val="auto"/>
                    <w:rPr>
                      <w:rFonts w:hint="eastAsia" w:cs="Times New Roman"/>
                      <w:color w:val="auto"/>
                      <w:sz w:val="21"/>
                      <w:szCs w:val="21"/>
                      <w:lang w:val="en-US" w:eastAsia="zh-CN"/>
                    </w:rPr>
                  </w:pPr>
                  <w:r>
                    <w:rPr>
                      <w:rFonts w:hint="eastAsia" w:cs="Times New Roman"/>
                      <w:b w:val="0"/>
                      <w:bCs w:val="0"/>
                      <w:color w:val="auto"/>
                      <w:sz w:val="21"/>
                      <w:szCs w:val="21"/>
                      <w:lang w:val="en-US" w:eastAsia="zh-CN"/>
                    </w:rPr>
                    <w:t>投料口上方设置集气罩，投料废气经集气罩收集通过管道与烘干废气一起进入“旋风除尘器+布袋除尘器”处理</w:t>
                  </w:r>
                  <w:r>
                    <w:rPr>
                      <w:rFonts w:hint="eastAsia" w:cs="Times New Roman"/>
                      <w:color w:val="auto"/>
                      <w:sz w:val="21"/>
                      <w:szCs w:val="21"/>
                      <w:lang w:val="en-US" w:eastAsia="zh-CN"/>
                    </w:rPr>
                    <w:t>后通过1根15m高、直径约0.5m的排气筒（DA001）排放</w:t>
                  </w:r>
                  <w:r>
                    <w:rPr>
                      <w:rFonts w:hint="eastAsia" w:cs="Times New Roman"/>
                      <w:b w:val="0"/>
                      <w:bCs w:val="0"/>
                      <w:color w:val="auto"/>
                      <w:sz w:val="21"/>
                      <w:szCs w:val="21"/>
                      <w:lang w:val="en-US" w:eastAsia="zh-CN"/>
                    </w:rPr>
                    <w:t>。</w:t>
                  </w:r>
                </w:p>
              </w:tc>
              <w:tc>
                <w:tcPr>
                  <w:tcW w:w="688" w:type="dxa"/>
                  <w:noWrap w:val="0"/>
                  <w:vAlign w:val="center"/>
                </w:tcPr>
                <w:p w14:paraId="14BEB6EE">
                  <w:pPr>
                    <w:pStyle w:val="3"/>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已建</w:t>
                  </w:r>
                </w:p>
              </w:tc>
            </w:tr>
            <w:tr w14:paraId="1807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blHeader/>
                <w:jc w:val="center"/>
              </w:trPr>
              <w:tc>
                <w:tcPr>
                  <w:tcW w:w="684" w:type="dxa"/>
                  <w:vMerge w:val="continue"/>
                  <w:noWrap w:val="0"/>
                  <w:vAlign w:val="center"/>
                </w:tcPr>
                <w:p w14:paraId="01511C71">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125E9470">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2F9C0E76">
                  <w:pPr>
                    <w:pageBreakBefore w:val="0"/>
                    <w:kinsoku/>
                    <w:wordWrap/>
                    <w:overflowPunct/>
                    <w:topLinePunct w:val="0"/>
                    <w:autoSpaceDE/>
                    <w:autoSpaceDN/>
                    <w:bidi w:val="0"/>
                    <w:adjustRightInd/>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皮带输</w:t>
                  </w:r>
                  <w:r>
                    <w:rPr>
                      <w:rFonts w:hint="eastAsia" w:ascii="Times New Roman" w:hAnsi="Times New Roman" w:eastAsia="宋体" w:cs="Times New Roman"/>
                      <w:color w:val="auto"/>
                      <w:sz w:val="21"/>
                      <w:szCs w:val="21"/>
                      <w:lang w:val="en-US" w:eastAsia="zh-CN"/>
                    </w:rPr>
                    <w:t>送扬</w:t>
                  </w:r>
                  <w:r>
                    <w:rPr>
                      <w:rFonts w:hint="eastAsia" w:cs="Times New Roman"/>
                      <w:color w:val="auto"/>
                      <w:sz w:val="21"/>
                      <w:szCs w:val="21"/>
                      <w:lang w:val="en-US" w:eastAsia="zh-CN"/>
                    </w:rPr>
                    <w:t>尘</w:t>
                  </w:r>
                </w:p>
              </w:tc>
              <w:tc>
                <w:tcPr>
                  <w:tcW w:w="5207" w:type="dxa"/>
                  <w:noWrap w:val="0"/>
                  <w:vAlign w:val="center"/>
                </w:tcPr>
                <w:p w14:paraId="325B5BD0">
                  <w:pPr>
                    <w:pageBreakBefore w:val="0"/>
                    <w:kinsoku/>
                    <w:wordWrap/>
                    <w:overflowPunct/>
                    <w:topLinePunct w:val="0"/>
                    <w:autoSpaceDE/>
                    <w:autoSpaceDN/>
                    <w:bidi w:val="0"/>
                    <w:adjustRightInd/>
                    <w:spacing w:line="360" w:lineRule="exact"/>
                    <w:ind w:firstLine="0" w:firstLineChars="0"/>
                    <w:jc w:val="left"/>
                    <w:textAlignment w:val="auto"/>
                    <w:rPr>
                      <w:rFonts w:hint="eastAsia" w:cs="Times New Roman"/>
                      <w:color w:val="auto"/>
                      <w:sz w:val="21"/>
                      <w:szCs w:val="21"/>
                      <w:lang w:val="en-US" w:eastAsia="zh-CN"/>
                    </w:rPr>
                  </w:pPr>
                  <w:r>
                    <w:rPr>
                      <w:rFonts w:hint="eastAsia" w:cs="Times New Roman"/>
                      <w:color w:val="auto"/>
                      <w:sz w:val="21"/>
                      <w:szCs w:val="21"/>
                      <w:lang w:val="en-US" w:eastAsia="zh-CN"/>
                    </w:rPr>
                    <w:t>皮带输送机实施廊道密封，少量以无组织形式排放。</w:t>
                  </w:r>
                </w:p>
              </w:tc>
              <w:tc>
                <w:tcPr>
                  <w:tcW w:w="688" w:type="dxa"/>
                  <w:noWrap w:val="0"/>
                  <w:vAlign w:val="center"/>
                </w:tcPr>
                <w:p w14:paraId="2EDB397B">
                  <w:pPr>
                    <w:pStyle w:val="3"/>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本次环评提出新增</w:t>
                  </w:r>
                </w:p>
              </w:tc>
            </w:tr>
            <w:tr w14:paraId="36E9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684" w:type="dxa"/>
                  <w:vMerge w:val="continue"/>
                  <w:noWrap w:val="0"/>
                  <w:vAlign w:val="center"/>
                </w:tcPr>
                <w:p w14:paraId="57BED966">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777124FF">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3E42840C">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烘干滚筒</w:t>
                  </w:r>
                  <w:r>
                    <w:rPr>
                      <w:rFonts w:hint="eastAsia" w:cs="Times New Roman"/>
                      <w:color w:val="auto"/>
                      <w:sz w:val="21"/>
                      <w:szCs w:val="21"/>
                      <w:lang w:val="en-US" w:eastAsia="zh-CN"/>
                    </w:rPr>
                    <w:t>燃烧</w:t>
                  </w:r>
                  <w:r>
                    <w:rPr>
                      <w:rFonts w:hint="eastAsia" w:ascii="Times New Roman" w:hAnsi="Times New Roman" w:eastAsia="宋体" w:cs="Times New Roman"/>
                      <w:color w:val="auto"/>
                      <w:sz w:val="21"/>
                      <w:szCs w:val="21"/>
                      <w:lang w:val="en-US" w:eastAsia="zh-CN"/>
                    </w:rPr>
                    <w:t>废气</w:t>
                  </w:r>
                  <w:r>
                    <w:rPr>
                      <w:rFonts w:hint="eastAsia" w:cs="Times New Roman"/>
                      <w:color w:val="auto"/>
                      <w:sz w:val="21"/>
                      <w:szCs w:val="21"/>
                      <w:lang w:val="en-US" w:eastAsia="zh-CN"/>
                    </w:rPr>
                    <w:t>、烘干滚筒石料滚动扬尘</w:t>
                  </w:r>
                </w:p>
              </w:tc>
              <w:tc>
                <w:tcPr>
                  <w:tcW w:w="5207" w:type="dxa"/>
                  <w:noWrap w:val="0"/>
                  <w:vAlign w:val="center"/>
                </w:tcPr>
                <w:p w14:paraId="1D271EFA">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left"/>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烘干滚筒燃烧废气和</w:t>
                  </w:r>
                  <w:r>
                    <w:rPr>
                      <w:rFonts w:hint="eastAsia" w:cs="Times New Roman"/>
                      <w:color w:val="auto"/>
                      <w:sz w:val="21"/>
                      <w:szCs w:val="21"/>
                      <w:lang w:val="en-US" w:eastAsia="zh-CN"/>
                    </w:rPr>
                    <w:t>烘干滚筒石料滚动扬尘</w:t>
                  </w:r>
                  <w:r>
                    <w:rPr>
                      <w:rFonts w:hint="eastAsia" w:cs="Times New Roman"/>
                      <w:color w:val="000000" w:themeColor="text1"/>
                      <w:sz w:val="21"/>
                      <w:szCs w:val="21"/>
                      <w:lang w:val="en-US" w:eastAsia="zh-CN"/>
                      <w14:textFill>
                        <w14:solidFill>
                          <w14:schemeClr w14:val="tx1"/>
                        </w14:solidFill>
                      </w14:textFill>
                    </w:rPr>
                    <w:t>经管道进入旋风除尘器处理再经布袋除尘器处理后通过1根15m高</w:t>
                  </w:r>
                  <w:r>
                    <w:rPr>
                      <w:rFonts w:hint="eastAsia" w:cs="Times New Roman"/>
                      <w:color w:val="auto"/>
                      <w:sz w:val="21"/>
                      <w:szCs w:val="21"/>
                      <w:lang w:val="en-US" w:eastAsia="zh-CN"/>
                    </w:rPr>
                    <w:t>、直径约0.5m</w:t>
                  </w:r>
                  <w:r>
                    <w:rPr>
                      <w:rFonts w:hint="eastAsia" w:cs="Times New Roman"/>
                      <w:color w:val="000000" w:themeColor="text1"/>
                      <w:sz w:val="21"/>
                      <w:szCs w:val="21"/>
                      <w:lang w:val="en-US" w:eastAsia="zh-CN"/>
                      <w14:textFill>
                        <w14:solidFill>
                          <w14:schemeClr w14:val="tx1"/>
                        </w14:solidFill>
                      </w14:textFill>
                    </w:rPr>
                    <w:t>排气</w:t>
                  </w:r>
                  <w:r>
                    <w:rPr>
                      <w:rFonts w:hint="eastAsia" w:cs="Times New Roman"/>
                      <w:color w:val="auto"/>
                      <w:sz w:val="21"/>
                      <w:szCs w:val="21"/>
                      <w:lang w:val="en-US" w:eastAsia="zh-CN"/>
                    </w:rPr>
                    <w:t>筒</w:t>
                  </w:r>
                  <w:r>
                    <w:rPr>
                      <w:rFonts w:hint="eastAsia" w:cs="Times New Roman"/>
                      <w:color w:val="auto"/>
                      <w:kern w:val="0"/>
                      <w:sz w:val="21"/>
                      <w:szCs w:val="21"/>
                      <w:lang w:val="en-US" w:eastAsia="zh-CN" w:bidi="ar"/>
                    </w:rPr>
                    <w:t>（DA001）</w:t>
                  </w:r>
                  <w:r>
                    <w:rPr>
                      <w:rFonts w:hint="eastAsia" w:cs="Times New Roman"/>
                      <w:color w:val="000000" w:themeColor="text1"/>
                      <w:sz w:val="21"/>
                      <w:szCs w:val="21"/>
                      <w:lang w:val="en-US" w:eastAsia="zh-CN"/>
                      <w14:textFill>
                        <w14:solidFill>
                          <w14:schemeClr w14:val="tx1"/>
                        </w14:solidFill>
                      </w14:textFill>
                    </w:rPr>
                    <w:t>排放。</w:t>
                  </w:r>
                </w:p>
              </w:tc>
              <w:tc>
                <w:tcPr>
                  <w:tcW w:w="688" w:type="dxa"/>
                  <w:noWrap w:val="0"/>
                  <w:vAlign w:val="center"/>
                </w:tcPr>
                <w:p w14:paraId="416FCD56">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已建</w:t>
                  </w:r>
                </w:p>
              </w:tc>
            </w:tr>
            <w:tr w14:paraId="36D8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684" w:type="dxa"/>
                  <w:vMerge w:val="continue"/>
                  <w:noWrap w:val="0"/>
                  <w:vAlign w:val="center"/>
                </w:tcPr>
                <w:p w14:paraId="2FF9210D">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74672B6A">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1FC15B92">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沥青加热、</w:t>
                  </w:r>
                  <w:r>
                    <w:rPr>
                      <w:rFonts w:hint="eastAsia" w:ascii="Times New Roman" w:hAnsi="Times New Roman" w:eastAsia="宋体" w:cs="Times New Roman"/>
                      <w:color w:val="auto"/>
                      <w:sz w:val="21"/>
                      <w:szCs w:val="21"/>
                      <w:lang w:val="en-US" w:eastAsia="zh-CN"/>
                    </w:rPr>
                    <w:t>搅拌</w:t>
                  </w:r>
                  <w:r>
                    <w:rPr>
                      <w:rFonts w:hint="eastAsia" w:cs="Times New Roman"/>
                      <w:color w:val="auto"/>
                      <w:sz w:val="21"/>
                      <w:szCs w:val="21"/>
                      <w:lang w:val="en-US" w:eastAsia="zh-CN"/>
                    </w:rPr>
                    <w:t>和出料逸散</w:t>
                  </w:r>
                  <w:r>
                    <w:rPr>
                      <w:rFonts w:hint="eastAsia" w:ascii="Times New Roman" w:hAnsi="Times New Roman" w:eastAsia="宋体" w:cs="Times New Roman"/>
                      <w:color w:val="auto"/>
                      <w:sz w:val="21"/>
                      <w:szCs w:val="21"/>
                      <w:lang w:val="en-US" w:eastAsia="zh-CN"/>
                    </w:rPr>
                    <w:t>废气</w:t>
                  </w:r>
                </w:p>
              </w:tc>
              <w:tc>
                <w:tcPr>
                  <w:tcW w:w="5207" w:type="dxa"/>
                  <w:noWrap w:val="0"/>
                  <w:vAlign w:val="center"/>
                </w:tcPr>
                <w:p w14:paraId="04A36990">
                  <w:pPr>
                    <w:keepNext w:val="0"/>
                    <w:keepLines w:val="0"/>
                    <w:pageBreakBefore w:val="0"/>
                    <w:widowControl/>
                    <w:suppressLineNumbers w:val="0"/>
                    <w:kinsoku/>
                    <w:wordWrap/>
                    <w:overflowPunct/>
                    <w:topLinePunct w:val="0"/>
                    <w:autoSpaceDE/>
                    <w:autoSpaceDN/>
                    <w:bidi w:val="0"/>
                    <w:adjustRightInd/>
                    <w:spacing w:line="360" w:lineRule="exact"/>
                    <w:ind w:left="0" w:leftChars="0" w:firstLine="0" w:firstLineChars="0"/>
                    <w:jc w:val="left"/>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rPr>
                    <w:t>沥青罐</w:t>
                  </w:r>
                  <w:r>
                    <w:rPr>
                      <w:rFonts w:hint="eastAsia" w:ascii="Times New Roman" w:hAnsi="Times New Roman" w:eastAsia="宋体" w:cs="Times New Roman"/>
                      <w:color w:val="auto"/>
                      <w:sz w:val="21"/>
                      <w:szCs w:val="21"/>
                      <w:lang w:val="en-US" w:eastAsia="zh-CN"/>
                    </w:rPr>
                    <w:t>顶部呼吸口</w:t>
                  </w:r>
                  <w:r>
                    <w:rPr>
                      <w:rFonts w:hint="default" w:ascii="Times New Roman" w:hAnsi="Times New Roman" w:eastAsia="宋体" w:cs="Times New Roman"/>
                      <w:color w:val="auto"/>
                      <w:sz w:val="21"/>
                      <w:szCs w:val="21"/>
                    </w:rPr>
                    <w:t>、搅拌</w:t>
                  </w:r>
                  <w:r>
                    <w:rPr>
                      <w:rFonts w:hint="eastAsia"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呼吸口</w:t>
                  </w:r>
                  <w:r>
                    <w:rPr>
                      <w:rFonts w:hint="eastAsia" w:cs="Times New Roman"/>
                      <w:color w:val="auto"/>
                      <w:sz w:val="21"/>
                      <w:szCs w:val="21"/>
                      <w:lang w:val="en-US" w:eastAsia="zh-CN"/>
                    </w:rPr>
                    <w:t>产生废气经管道负压收集</w:t>
                  </w:r>
                  <w:r>
                    <w:rPr>
                      <w:rFonts w:hint="eastAsia" w:ascii="Times New Roman" w:hAnsi="Times New Roman" w:eastAsia="宋体" w:cs="Times New Roman"/>
                      <w:color w:val="auto"/>
                      <w:sz w:val="21"/>
                      <w:szCs w:val="21"/>
                      <w:lang w:val="en-US" w:eastAsia="zh-CN"/>
                    </w:rPr>
                    <w:t>，出料口逸散废气经集气罩</w:t>
                  </w:r>
                  <w:r>
                    <w:rPr>
                      <w:rFonts w:hint="eastAsia" w:cs="Times New Roman"/>
                      <w:color w:val="auto"/>
                      <w:sz w:val="21"/>
                      <w:szCs w:val="21"/>
                      <w:lang w:val="en-US" w:eastAsia="zh-CN"/>
                    </w:rPr>
                    <w:t>负压</w:t>
                  </w:r>
                  <w:r>
                    <w:rPr>
                      <w:rFonts w:hint="eastAsia" w:ascii="Times New Roman" w:hAnsi="Times New Roman" w:eastAsia="宋体" w:cs="Times New Roman"/>
                      <w:color w:val="auto"/>
                      <w:sz w:val="21"/>
                      <w:szCs w:val="21"/>
                      <w:lang w:val="en-US" w:eastAsia="zh-CN"/>
                    </w:rPr>
                    <w:t>收集均进入“电捕焦油器+活性炭吸附</w:t>
                  </w:r>
                  <w:r>
                    <w:rPr>
                      <w:rFonts w:hint="eastAsia" w:cs="Times New Roman"/>
                      <w:color w:val="auto"/>
                      <w:kern w:val="0"/>
                      <w:sz w:val="21"/>
                      <w:szCs w:val="21"/>
                      <w:lang w:val="en-US" w:eastAsia="zh-CN" w:bidi="ar"/>
                    </w:rPr>
                    <w:t>”装置处理后由1根15m排气筒（DA003）排放</w:t>
                  </w:r>
                  <w:r>
                    <w:rPr>
                      <w:rFonts w:hint="eastAsia" w:cs="Times New Roman"/>
                      <w:color w:val="auto"/>
                      <w:sz w:val="21"/>
                      <w:szCs w:val="21"/>
                      <w:lang w:val="en-US" w:eastAsia="zh-CN"/>
                    </w:rPr>
                    <w:t>。</w:t>
                  </w:r>
                </w:p>
              </w:tc>
              <w:tc>
                <w:tcPr>
                  <w:tcW w:w="688" w:type="dxa"/>
                  <w:noWrap w:val="0"/>
                  <w:vAlign w:val="center"/>
                </w:tcPr>
                <w:p w14:paraId="2569D98B">
                  <w:pPr>
                    <w:pStyle w:val="3"/>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环评提出新增</w:t>
                  </w:r>
                </w:p>
              </w:tc>
            </w:tr>
            <w:tr w14:paraId="0045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684" w:type="dxa"/>
                  <w:vMerge w:val="continue"/>
                  <w:noWrap w:val="0"/>
                  <w:vAlign w:val="center"/>
                </w:tcPr>
                <w:p w14:paraId="3202DBF4">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446FA357">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shd w:val="clear" w:color="auto" w:fill="auto"/>
                  <w:noWrap w:val="0"/>
                  <w:vAlign w:val="center"/>
                </w:tcPr>
                <w:p w14:paraId="68ED6A95">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b w:val="0"/>
                      <w:bCs w:val="0"/>
                      <w:color w:val="auto"/>
                      <w:kern w:val="0"/>
                      <w:sz w:val="21"/>
                      <w:szCs w:val="21"/>
                      <w:highlight w:val="none"/>
                      <w:lang w:val="en-US" w:eastAsia="zh-CN" w:bidi="ar"/>
                    </w:rPr>
                    <w:t>有机热载体炉废气</w:t>
                  </w:r>
                </w:p>
              </w:tc>
              <w:tc>
                <w:tcPr>
                  <w:tcW w:w="5207" w:type="dxa"/>
                  <w:shd w:val="clear" w:color="auto" w:fill="auto"/>
                  <w:noWrap w:val="0"/>
                  <w:vAlign w:val="center"/>
                </w:tcPr>
                <w:p w14:paraId="22136860">
                  <w:pPr>
                    <w:keepNext w:val="0"/>
                    <w:keepLines w:val="0"/>
                    <w:pageBreakBefore w:val="0"/>
                    <w:widowControl/>
                    <w:suppressLineNumbers w:val="0"/>
                    <w:tabs>
                      <w:tab w:val="left" w:pos="816"/>
                    </w:tabs>
                    <w:kinsoku/>
                    <w:wordWrap/>
                    <w:overflowPunct/>
                    <w:topLinePunct w:val="0"/>
                    <w:autoSpaceDE/>
                    <w:autoSpaceDN/>
                    <w:bidi w:val="0"/>
                    <w:adjustRightInd/>
                    <w:spacing w:line="360" w:lineRule="exact"/>
                    <w:ind w:firstLine="0" w:firstLineChars="0"/>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现状建有1根5m排气筒（DA002）。</w:t>
                  </w:r>
                </w:p>
                <w:p w14:paraId="64E65CCD">
                  <w:pPr>
                    <w:keepNext w:val="0"/>
                    <w:keepLines w:val="0"/>
                    <w:pageBreakBefore w:val="0"/>
                    <w:widowControl/>
                    <w:suppressLineNumbers w:val="0"/>
                    <w:tabs>
                      <w:tab w:val="left" w:pos="816"/>
                    </w:tabs>
                    <w:kinsoku/>
                    <w:wordWrap/>
                    <w:overflowPunct/>
                    <w:topLinePunct w:val="0"/>
                    <w:autoSpaceDE/>
                    <w:autoSpaceDN/>
                    <w:bidi w:val="0"/>
                    <w:adjustRightInd/>
                    <w:spacing w:line="360" w:lineRule="exact"/>
                    <w:ind w:firstLine="0" w:firstLineChars="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z w:val="21"/>
                      <w:szCs w:val="21"/>
                      <w:lang w:val="en-US" w:eastAsia="zh-CN"/>
                    </w:rPr>
                    <w:t>此次环评提出：</w:t>
                  </w:r>
                  <w:r>
                    <w:rPr>
                      <w:rFonts w:hint="eastAsia" w:cs="Times New Roman"/>
                      <w:color w:val="auto"/>
                      <w:kern w:val="0"/>
                      <w:sz w:val="21"/>
                      <w:szCs w:val="21"/>
                      <w:highlight w:val="none"/>
                      <w:lang w:val="en-US" w:eastAsia="zh-CN" w:bidi="ar"/>
                    </w:rPr>
                    <w:t>整改为8m高。</w:t>
                  </w:r>
                </w:p>
              </w:tc>
              <w:tc>
                <w:tcPr>
                  <w:tcW w:w="688" w:type="dxa"/>
                  <w:shd w:val="clear" w:color="auto" w:fill="auto"/>
                  <w:noWrap w:val="0"/>
                  <w:vAlign w:val="center"/>
                </w:tcPr>
                <w:p w14:paraId="4333F9EE">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环评提出整改</w:t>
                  </w:r>
                </w:p>
              </w:tc>
            </w:tr>
            <w:tr w14:paraId="25A8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blHeader/>
                <w:jc w:val="center"/>
              </w:trPr>
              <w:tc>
                <w:tcPr>
                  <w:tcW w:w="684" w:type="dxa"/>
                  <w:vMerge w:val="continue"/>
                  <w:noWrap w:val="0"/>
                  <w:vAlign w:val="center"/>
                </w:tcPr>
                <w:p w14:paraId="7D2CAEEC">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5D8CFE51">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1EBA613A">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柴</w:t>
                  </w:r>
                  <w:r>
                    <w:rPr>
                      <w:rFonts w:hint="eastAsia" w:cs="Times New Roman"/>
                      <w:color w:val="auto"/>
                      <w:sz w:val="21"/>
                      <w:szCs w:val="21"/>
                      <w:lang w:val="en-US" w:eastAsia="zh-CN"/>
                    </w:rPr>
                    <w:t>油储罐挥发废气</w:t>
                  </w:r>
                </w:p>
              </w:tc>
              <w:tc>
                <w:tcPr>
                  <w:tcW w:w="5207" w:type="dxa"/>
                  <w:noWrap w:val="0"/>
                  <w:vAlign w:val="center"/>
                </w:tcPr>
                <w:p w14:paraId="1E4A4295">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left"/>
                    <w:textAlignment w:val="auto"/>
                    <w:rPr>
                      <w:rFonts w:hint="eastAsia" w:ascii="Times New Roman" w:hAnsi="Times New Roman" w:eastAsia="宋体" w:cs="Times New Roman"/>
                      <w:color w:val="auto"/>
                      <w:sz w:val="21"/>
                      <w:szCs w:val="21"/>
                      <w:lang w:eastAsia="zh-CN"/>
                    </w:rPr>
                  </w:pPr>
                  <w:r>
                    <w:rPr>
                      <w:rFonts w:hint="eastAsia" w:cs="Times New Roman"/>
                      <w:color w:val="auto"/>
                      <w:kern w:val="0"/>
                      <w:sz w:val="21"/>
                      <w:szCs w:val="21"/>
                      <w:lang w:val="en-US" w:eastAsia="zh-CN" w:bidi="ar"/>
                    </w:rPr>
                    <w:t>柴</w:t>
                  </w:r>
                  <w:r>
                    <w:rPr>
                      <w:rFonts w:hint="default" w:ascii="Times New Roman" w:hAnsi="Times New Roman" w:eastAsia="宋体" w:cs="Times New Roman"/>
                      <w:color w:val="auto"/>
                      <w:sz w:val="21"/>
                      <w:szCs w:val="21"/>
                    </w:rPr>
                    <w:t>油仅转运使用时会有一定量的挥发，挥发量较小，呈无组织排放</w:t>
                  </w:r>
                  <w:r>
                    <w:rPr>
                      <w:rFonts w:hint="eastAsia" w:ascii="Times New Roman" w:hAnsi="Times New Roman" w:eastAsia="宋体" w:cs="Times New Roman"/>
                      <w:color w:val="auto"/>
                      <w:sz w:val="21"/>
                      <w:szCs w:val="21"/>
                      <w:lang w:eastAsia="zh-CN"/>
                    </w:rPr>
                    <w:t>。</w:t>
                  </w:r>
                </w:p>
              </w:tc>
              <w:tc>
                <w:tcPr>
                  <w:tcW w:w="688" w:type="dxa"/>
                  <w:noWrap w:val="0"/>
                  <w:vAlign w:val="center"/>
                </w:tcPr>
                <w:p w14:paraId="3C1DD512">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b w:val="0"/>
                      <w:bCs w:val="0"/>
                      <w:color w:val="auto"/>
                      <w:sz w:val="21"/>
                      <w:szCs w:val="21"/>
                      <w:highlight w:val="none"/>
                      <w:lang w:val="en-US" w:eastAsia="zh-CN"/>
                    </w:rPr>
                  </w:pPr>
                  <w:r>
                    <w:rPr>
                      <w:rFonts w:hint="eastAsia" w:cs="Times New Roman"/>
                      <w:color w:val="auto"/>
                      <w:sz w:val="21"/>
                      <w:szCs w:val="21"/>
                      <w:lang w:val="en-US" w:eastAsia="zh-CN"/>
                    </w:rPr>
                    <w:t>已建</w:t>
                  </w:r>
                </w:p>
              </w:tc>
            </w:tr>
            <w:tr w14:paraId="3DFD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blHeader/>
                <w:jc w:val="center"/>
              </w:trPr>
              <w:tc>
                <w:tcPr>
                  <w:tcW w:w="684" w:type="dxa"/>
                  <w:vMerge w:val="continue"/>
                  <w:noWrap w:val="0"/>
                  <w:vAlign w:val="center"/>
                </w:tcPr>
                <w:p w14:paraId="1AFC0508">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73B54192">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4AC16A37">
                  <w:pPr>
                    <w:pageBreakBefore w:val="0"/>
                    <w:kinsoku/>
                    <w:wordWrap/>
                    <w:overflowPunct/>
                    <w:topLinePunct w:val="0"/>
                    <w:autoSpaceDE/>
                    <w:autoSpaceDN/>
                    <w:bidi w:val="0"/>
                    <w:adjustRightInd/>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矿粉筒仓废气</w:t>
                  </w:r>
                </w:p>
              </w:tc>
              <w:tc>
                <w:tcPr>
                  <w:tcW w:w="5207" w:type="dxa"/>
                  <w:noWrap w:val="0"/>
                  <w:vAlign w:val="center"/>
                </w:tcPr>
                <w:p w14:paraId="3F43C843">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left"/>
                    <w:textAlignment w:val="auto"/>
                    <w:rPr>
                      <w:rFonts w:hint="default" w:cs="Times New Roman"/>
                      <w:color w:val="auto"/>
                      <w:sz w:val="21"/>
                      <w:szCs w:val="21"/>
                      <w:lang w:val="en-US" w:eastAsia="zh-CN"/>
                    </w:rPr>
                  </w:pPr>
                  <w:r>
                    <w:rPr>
                      <w:rFonts w:hint="eastAsia" w:cs="Times New Roman"/>
                      <w:color w:val="auto"/>
                      <w:sz w:val="21"/>
                      <w:szCs w:val="21"/>
                      <w:lang w:val="en-US" w:eastAsia="zh-CN"/>
                    </w:rPr>
                    <w:t>由矿粉筒仓配套袋式除尘器处理后无组织排放。</w:t>
                  </w:r>
                </w:p>
              </w:tc>
              <w:tc>
                <w:tcPr>
                  <w:tcW w:w="688" w:type="dxa"/>
                  <w:noWrap w:val="0"/>
                  <w:vAlign w:val="center"/>
                </w:tcPr>
                <w:p w14:paraId="22D6DB47">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已建</w:t>
                  </w:r>
                </w:p>
              </w:tc>
            </w:tr>
            <w:tr w14:paraId="71F0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blHeader/>
                <w:jc w:val="center"/>
              </w:trPr>
              <w:tc>
                <w:tcPr>
                  <w:tcW w:w="684" w:type="dxa"/>
                  <w:vMerge w:val="continue"/>
                  <w:noWrap w:val="0"/>
                  <w:vAlign w:val="center"/>
                </w:tcPr>
                <w:p w14:paraId="23D71A17">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7A1AC744">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18D27E26">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运输扬尘</w:t>
                  </w:r>
                </w:p>
              </w:tc>
              <w:tc>
                <w:tcPr>
                  <w:tcW w:w="5207" w:type="dxa"/>
                  <w:noWrap w:val="0"/>
                  <w:vAlign w:val="center"/>
                </w:tcPr>
                <w:p w14:paraId="49DB34B5">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厂区定期进行洒水降尘，运输车辆减速行驶，行驶过程中产生的扬尘呈无组织形式排放。</w:t>
                  </w:r>
                </w:p>
              </w:tc>
              <w:tc>
                <w:tcPr>
                  <w:tcW w:w="688" w:type="dxa"/>
                  <w:noWrap w:val="0"/>
                  <w:vAlign w:val="center"/>
                </w:tcPr>
                <w:p w14:paraId="086FD0B7">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环评提出</w:t>
                  </w:r>
                </w:p>
              </w:tc>
            </w:tr>
            <w:tr w14:paraId="008D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108CBECC">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restart"/>
                  <w:noWrap w:val="0"/>
                  <w:vAlign w:val="center"/>
                </w:tcPr>
                <w:p w14:paraId="4C99D25D">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废水治理设施</w:t>
                  </w:r>
                </w:p>
              </w:tc>
              <w:tc>
                <w:tcPr>
                  <w:tcW w:w="998" w:type="dxa"/>
                  <w:noWrap w:val="0"/>
                  <w:vAlign w:val="center"/>
                </w:tcPr>
                <w:p w14:paraId="616700C0">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运输车辆清洗水</w:t>
                  </w:r>
                </w:p>
              </w:tc>
              <w:tc>
                <w:tcPr>
                  <w:tcW w:w="5207" w:type="dxa"/>
                  <w:noWrap w:val="0"/>
                  <w:vAlign w:val="center"/>
                </w:tcPr>
                <w:p w14:paraId="717EA634">
                  <w:pPr>
                    <w:pageBreakBefore w:val="0"/>
                    <w:kinsoku/>
                    <w:wordWrap/>
                    <w:overflowPunct/>
                    <w:topLinePunct w:val="0"/>
                    <w:autoSpaceDE/>
                    <w:autoSpaceDN/>
                    <w:bidi w:val="0"/>
                    <w:adjustRightInd/>
                    <w:spacing w:line="360" w:lineRule="exact"/>
                    <w:ind w:firstLine="0" w:firstLineChars="0"/>
                    <w:jc w:val="both"/>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进出口处设置1个容积为</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洗车池，运输</w:t>
                  </w:r>
                  <w:r>
                    <w:rPr>
                      <w:rFonts w:hint="eastAsia" w:ascii="Times New Roman" w:hAnsi="Times New Roman" w:eastAsia="宋体" w:cs="Times New Roman"/>
                      <w:color w:val="auto"/>
                      <w:sz w:val="21"/>
                      <w:szCs w:val="21"/>
                      <w:lang w:val="en-US" w:eastAsia="zh-CN"/>
                    </w:rPr>
                    <w:t>车辆</w:t>
                  </w:r>
                  <w:r>
                    <w:rPr>
                      <w:rFonts w:hint="default" w:ascii="Times New Roman" w:hAnsi="Times New Roman" w:eastAsia="宋体" w:cs="Times New Roman"/>
                      <w:color w:val="auto"/>
                      <w:sz w:val="21"/>
                      <w:szCs w:val="21"/>
                      <w:lang w:val="en-US" w:eastAsia="zh-CN"/>
                    </w:rPr>
                    <w:t>清洗废水</w:t>
                  </w:r>
                  <w:r>
                    <w:rPr>
                      <w:rFonts w:hint="eastAsia" w:cs="Times New Roman"/>
                      <w:color w:val="auto"/>
                      <w:sz w:val="21"/>
                      <w:szCs w:val="21"/>
                      <w:lang w:val="en-US" w:eastAsia="zh-CN"/>
                    </w:rPr>
                    <w:t>循环使用，当不能满足洗车条件后用于厂区洒水降尘</w:t>
                  </w:r>
                  <w:r>
                    <w:rPr>
                      <w:rFonts w:hint="default" w:ascii="Times New Roman" w:hAnsi="Times New Roman" w:eastAsia="宋体" w:cs="Times New Roman"/>
                      <w:color w:val="auto"/>
                      <w:sz w:val="21"/>
                      <w:szCs w:val="21"/>
                      <w:lang w:val="en-US" w:eastAsia="zh-CN"/>
                    </w:rPr>
                    <w:t>，不外排</w:t>
                  </w:r>
                  <w:r>
                    <w:rPr>
                      <w:rFonts w:hint="eastAsia" w:ascii="Times New Roman" w:hAnsi="Times New Roman" w:eastAsia="宋体" w:cs="Times New Roman"/>
                      <w:color w:val="auto"/>
                      <w:sz w:val="21"/>
                      <w:szCs w:val="21"/>
                      <w:lang w:val="en-US" w:eastAsia="zh-CN"/>
                    </w:rPr>
                    <w:t>。</w:t>
                  </w:r>
                </w:p>
              </w:tc>
              <w:tc>
                <w:tcPr>
                  <w:tcW w:w="688" w:type="dxa"/>
                  <w:shd w:val="clear" w:color="auto" w:fill="auto"/>
                  <w:noWrap w:val="0"/>
                  <w:vAlign w:val="center"/>
                </w:tcPr>
                <w:p w14:paraId="24EEB81C">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环评提出</w:t>
                  </w:r>
                  <w:r>
                    <w:rPr>
                      <w:rFonts w:hint="eastAsia" w:ascii="Times New Roman" w:hAnsi="Times New Roman" w:eastAsia="宋体" w:cs="Times New Roman"/>
                      <w:b w:val="0"/>
                      <w:bCs w:val="0"/>
                      <w:color w:val="auto"/>
                      <w:kern w:val="2"/>
                      <w:sz w:val="21"/>
                      <w:szCs w:val="21"/>
                      <w:lang w:val="en-US" w:eastAsia="zh-CN" w:bidi="ar-SA"/>
                    </w:rPr>
                    <w:t>新增</w:t>
                  </w:r>
                </w:p>
              </w:tc>
            </w:tr>
            <w:tr w14:paraId="49D3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01D93123">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28504A6A">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261FBDCF">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初期雨水</w:t>
                  </w:r>
                </w:p>
              </w:tc>
              <w:tc>
                <w:tcPr>
                  <w:tcW w:w="5207" w:type="dxa"/>
                  <w:noWrap w:val="0"/>
                  <w:vAlign w:val="center"/>
                </w:tcPr>
                <w:p w14:paraId="47D43734">
                  <w:pPr>
                    <w:pageBreakBefore w:val="0"/>
                    <w:kinsoku/>
                    <w:wordWrap/>
                    <w:overflowPunct/>
                    <w:topLinePunct w:val="0"/>
                    <w:autoSpaceDE/>
                    <w:autoSpaceDN/>
                    <w:bidi w:val="0"/>
                    <w:adjustRightInd/>
                    <w:spacing w:line="360" w:lineRule="exact"/>
                    <w:ind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新建1个</w:t>
                  </w:r>
                  <w:r>
                    <w:rPr>
                      <w:rFonts w:hint="default" w:ascii="Times New Roman" w:hAnsi="Times New Roman" w:eastAsia="宋体" w:cs="Times New Roman"/>
                      <w:color w:val="auto"/>
                      <w:sz w:val="21"/>
                      <w:szCs w:val="21"/>
                    </w:rPr>
                    <w:t>容积为</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w:t>
                  </w:r>
                  <w:r>
                    <w:rPr>
                      <w:rFonts w:hint="eastAsia" w:cs="Times New Roman"/>
                      <w:color w:val="auto"/>
                      <w:sz w:val="21"/>
                      <w:szCs w:val="21"/>
                      <w:lang w:val="en-US" w:eastAsia="zh-CN"/>
                    </w:rPr>
                    <w:t>初期雨水隔油沉淀</w:t>
                  </w:r>
                  <w:r>
                    <w:rPr>
                      <w:rFonts w:hint="eastAsia" w:ascii="Times New Roman" w:hAnsi="Times New Roman" w:eastAsia="宋体" w:cs="Times New Roman"/>
                      <w:color w:val="auto"/>
                      <w:sz w:val="21"/>
                      <w:szCs w:val="21"/>
                      <w:lang w:val="en-US" w:eastAsia="zh-CN"/>
                    </w:rPr>
                    <w:t>池，</w:t>
                  </w:r>
                  <w:r>
                    <w:rPr>
                      <w:rFonts w:hint="eastAsia" w:ascii="Times New Roman" w:hAnsi="Times New Roman" w:eastAsia="宋体" w:cs="Times New Roman"/>
                      <w:color w:val="auto"/>
                      <w:sz w:val="21"/>
                      <w:szCs w:val="21"/>
                      <w:highlight w:val="none"/>
                      <w:lang w:val="en-US" w:eastAsia="zh-CN"/>
                    </w:rPr>
                    <w:t>位于厂</w:t>
                  </w:r>
                  <w:r>
                    <w:rPr>
                      <w:rFonts w:hint="eastAsia" w:ascii="Times New Roman" w:hAnsi="Times New Roman" w:eastAsia="宋体" w:cs="Times New Roman"/>
                      <w:color w:val="auto"/>
                      <w:sz w:val="21"/>
                      <w:szCs w:val="21"/>
                      <w:lang w:val="en-US" w:eastAsia="zh-CN"/>
                    </w:rPr>
                    <w:t>区西侧，</w:t>
                  </w:r>
                  <w:r>
                    <w:rPr>
                      <w:rFonts w:hint="eastAsia" w:cs="Times New Roman"/>
                      <w:color w:val="auto"/>
                      <w:sz w:val="21"/>
                      <w:szCs w:val="21"/>
                      <w:lang w:val="en-US" w:eastAsia="zh-CN"/>
                    </w:rPr>
                    <w:t>隔油、</w:t>
                  </w:r>
                  <w:r>
                    <w:rPr>
                      <w:rFonts w:hint="default" w:ascii="Times New Roman" w:hAnsi="Times New Roman" w:eastAsia="宋体" w:cs="Times New Roman"/>
                      <w:color w:val="auto"/>
                      <w:sz w:val="21"/>
                      <w:szCs w:val="21"/>
                    </w:rPr>
                    <w:t>沉淀</w:t>
                  </w:r>
                  <w:r>
                    <w:rPr>
                      <w:rFonts w:hint="eastAsia"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rPr>
                    <w:t>后用于厂区洒水降尘</w:t>
                  </w:r>
                  <w:r>
                    <w:rPr>
                      <w:rFonts w:hint="eastAsia" w:ascii="Times New Roman" w:hAnsi="Times New Roman" w:eastAsia="宋体" w:cs="Times New Roman"/>
                      <w:color w:val="auto"/>
                      <w:sz w:val="21"/>
                      <w:szCs w:val="21"/>
                      <w:lang w:val="en-US" w:eastAsia="zh-CN"/>
                    </w:rPr>
                    <w:t>。</w:t>
                  </w:r>
                </w:p>
              </w:tc>
              <w:tc>
                <w:tcPr>
                  <w:tcW w:w="688" w:type="dxa"/>
                  <w:shd w:val="clear" w:color="auto" w:fill="auto"/>
                  <w:noWrap w:val="0"/>
                  <w:vAlign w:val="center"/>
                </w:tcPr>
                <w:p w14:paraId="68422CD9">
                  <w:pPr>
                    <w:pageBreakBefore w:val="0"/>
                    <w:kinsoku/>
                    <w:wordWrap/>
                    <w:overflowPunct/>
                    <w:topLinePunct w:val="0"/>
                    <w:autoSpaceDE/>
                    <w:autoSpaceDN/>
                    <w:bidi w:val="0"/>
                    <w:adjustRightInd/>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环评提出</w:t>
                  </w:r>
                  <w:r>
                    <w:rPr>
                      <w:rFonts w:hint="eastAsia" w:ascii="Times New Roman" w:hAnsi="Times New Roman" w:eastAsia="宋体" w:cs="Times New Roman"/>
                      <w:b w:val="0"/>
                      <w:bCs w:val="0"/>
                      <w:color w:val="auto"/>
                      <w:kern w:val="2"/>
                      <w:sz w:val="21"/>
                      <w:szCs w:val="21"/>
                      <w:lang w:val="en-US" w:eastAsia="zh-CN" w:bidi="ar-SA"/>
                    </w:rPr>
                    <w:t>新增</w:t>
                  </w:r>
                </w:p>
              </w:tc>
            </w:tr>
            <w:tr w14:paraId="58BF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4882E92F">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4D852B24">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03116223">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办公废水</w:t>
                  </w:r>
                </w:p>
              </w:tc>
              <w:tc>
                <w:tcPr>
                  <w:tcW w:w="5207" w:type="dxa"/>
                  <w:noWrap w:val="0"/>
                  <w:vAlign w:val="center"/>
                </w:tcPr>
                <w:p w14:paraId="2623EB3F">
                  <w:pPr>
                    <w:pageBreakBefore w:val="0"/>
                    <w:kinsoku/>
                    <w:wordWrap/>
                    <w:overflowPunct/>
                    <w:topLinePunct w:val="0"/>
                    <w:autoSpaceDE/>
                    <w:autoSpaceDN/>
                    <w:bidi w:val="0"/>
                    <w:adjustRightInd/>
                    <w:spacing w:line="360" w:lineRule="exact"/>
                    <w:ind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云南龙泉矿业开发有限公司</w:t>
                  </w:r>
                  <w:r>
                    <w:rPr>
                      <w:rFonts w:hint="eastAsia"/>
                      <w:color w:val="auto"/>
                      <w:sz w:val="21"/>
                      <w:szCs w:val="21"/>
                      <w:lang w:val="en-US" w:eastAsia="zh-CN"/>
                    </w:rPr>
                    <w:t>西南侧</w:t>
                  </w:r>
                  <w:r>
                    <w:rPr>
                      <w:rFonts w:hint="eastAsia" w:ascii="Times New Roman" w:hAnsi="Times New Roman" w:eastAsia="宋体" w:cs="Times New Roman"/>
                      <w:color w:val="auto"/>
                      <w:sz w:val="21"/>
                      <w:szCs w:val="21"/>
                      <w:lang w:val="en-US" w:eastAsia="zh-CN"/>
                    </w:rPr>
                    <w:t>办公区设置</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个</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，办公废水经</w:t>
                  </w:r>
                  <w:r>
                    <w:rPr>
                      <w:rFonts w:hint="eastAsia"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处理后</w:t>
                  </w:r>
                  <w:r>
                    <w:rPr>
                      <w:rFonts w:hint="eastAsia" w:cs="Times New Roman"/>
                      <w:color w:val="auto"/>
                      <w:sz w:val="21"/>
                      <w:szCs w:val="21"/>
                      <w:lang w:val="en-US" w:eastAsia="zh-CN"/>
                    </w:rPr>
                    <w:t>定期清掏用作周围农作物施肥。</w:t>
                  </w:r>
                </w:p>
              </w:tc>
              <w:tc>
                <w:tcPr>
                  <w:tcW w:w="688" w:type="dxa"/>
                  <w:shd w:val="clear" w:color="auto" w:fill="auto"/>
                  <w:noWrap w:val="0"/>
                  <w:vAlign w:val="center"/>
                </w:tcPr>
                <w:p w14:paraId="3BC95365">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环评提出</w:t>
                  </w:r>
                </w:p>
              </w:tc>
            </w:tr>
            <w:tr w14:paraId="1C253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blHeader/>
                <w:jc w:val="center"/>
              </w:trPr>
              <w:tc>
                <w:tcPr>
                  <w:tcW w:w="684" w:type="dxa"/>
                  <w:vMerge w:val="continue"/>
                  <w:noWrap w:val="0"/>
                  <w:vAlign w:val="center"/>
                </w:tcPr>
                <w:p w14:paraId="508F6974">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noWrap w:val="0"/>
                  <w:vAlign w:val="center"/>
                </w:tcPr>
                <w:p w14:paraId="0EA31D38">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噪声控制</w:t>
                  </w:r>
                </w:p>
              </w:tc>
              <w:tc>
                <w:tcPr>
                  <w:tcW w:w="6205" w:type="dxa"/>
                  <w:gridSpan w:val="2"/>
                  <w:noWrap w:val="0"/>
                  <w:vAlign w:val="center"/>
                </w:tcPr>
                <w:p w14:paraId="29234AF1">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产噪设备安装减振垫。</w:t>
                  </w:r>
                </w:p>
              </w:tc>
              <w:tc>
                <w:tcPr>
                  <w:tcW w:w="688" w:type="dxa"/>
                  <w:noWrap w:val="0"/>
                  <w:vAlign w:val="center"/>
                </w:tcPr>
                <w:p w14:paraId="52C788C1">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环评提出</w:t>
                  </w:r>
                </w:p>
              </w:tc>
            </w:tr>
            <w:tr w14:paraId="2A5C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54FE37E7">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restart"/>
                  <w:noWrap w:val="0"/>
                  <w:vAlign w:val="center"/>
                </w:tcPr>
                <w:p w14:paraId="1BAB799D">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固废治理设施</w:t>
                  </w:r>
                </w:p>
              </w:tc>
              <w:tc>
                <w:tcPr>
                  <w:tcW w:w="998" w:type="dxa"/>
                  <w:noWrap w:val="0"/>
                  <w:vAlign w:val="center"/>
                </w:tcPr>
                <w:p w14:paraId="59E834A4">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除尘器收集粉尘</w:t>
                  </w:r>
                </w:p>
              </w:tc>
              <w:tc>
                <w:tcPr>
                  <w:tcW w:w="5207" w:type="dxa"/>
                  <w:noWrap w:val="0"/>
                  <w:vAlign w:val="center"/>
                </w:tcPr>
                <w:p w14:paraId="37F73CD6">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收集后作为矿粉填料回用与生产</w:t>
                  </w:r>
                  <w:r>
                    <w:rPr>
                      <w:rFonts w:hint="eastAsia" w:cs="Times New Roman"/>
                      <w:color w:val="auto"/>
                      <w:sz w:val="21"/>
                      <w:szCs w:val="21"/>
                      <w:highlight w:val="none"/>
                      <w:lang w:eastAsia="zh-CN"/>
                    </w:rPr>
                    <w:t>。</w:t>
                  </w:r>
                </w:p>
              </w:tc>
              <w:tc>
                <w:tcPr>
                  <w:tcW w:w="688" w:type="dxa"/>
                  <w:shd w:val="clear" w:color="auto" w:fill="auto"/>
                  <w:noWrap w:val="0"/>
                  <w:vAlign w:val="center"/>
                </w:tcPr>
                <w:p w14:paraId="32C73268">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环评提出</w:t>
                  </w:r>
                </w:p>
              </w:tc>
            </w:tr>
            <w:tr w14:paraId="1483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462CFF9E">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004E09E4">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7C5555EB">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废布袋</w:t>
                  </w:r>
                </w:p>
              </w:tc>
              <w:tc>
                <w:tcPr>
                  <w:tcW w:w="5207" w:type="dxa"/>
                  <w:noWrap w:val="0"/>
                  <w:vAlign w:val="center"/>
                </w:tcPr>
                <w:p w14:paraId="42189FA1">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更换厂家</w:t>
                  </w:r>
                  <w:r>
                    <w:rPr>
                      <w:rFonts w:hint="eastAsia" w:cs="Times New Roman"/>
                      <w:color w:val="auto"/>
                      <w:sz w:val="21"/>
                      <w:szCs w:val="21"/>
                      <w:highlight w:val="none"/>
                      <w:lang w:val="en-US" w:eastAsia="zh-CN"/>
                    </w:rPr>
                    <w:t>带走</w:t>
                  </w:r>
                  <w:r>
                    <w:rPr>
                      <w:rFonts w:hint="default" w:ascii="Times New Roman" w:hAnsi="Times New Roman" w:eastAsia="宋体" w:cs="Times New Roman"/>
                      <w:color w:val="auto"/>
                      <w:sz w:val="21"/>
                      <w:szCs w:val="21"/>
                      <w:highlight w:val="none"/>
                      <w:lang w:eastAsia="zh-CN"/>
                    </w:rPr>
                    <w:t>回收处置</w:t>
                  </w:r>
                  <w:r>
                    <w:rPr>
                      <w:rFonts w:hint="eastAsia" w:ascii="Times New Roman" w:hAnsi="Times New Roman" w:eastAsia="宋体" w:cs="Times New Roman"/>
                      <w:color w:val="auto"/>
                      <w:sz w:val="21"/>
                      <w:szCs w:val="21"/>
                      <w:highlight w:val="none"/>
                      <w:lang w:val="en-US" w:eastAsia="zh-CN"/>
                    </w:rPr>
                    <w:t>，不在厂区</w:t>
                  </w:r>
                  <w:r>
                    <w:rPr>
                      <w:rFonts w:hint="eastAsia"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lang w:eastAsia="zh-CN"/>
                    </w:rPr>
                    <w:t>。</w:t>
                  </w:r>
                </w:p>
              </w:tc>
              <w:tc>
                <w:tcPr>
                  <w:tcW w:w="688" w:type="dxa"/>
                  <w:shd w:val="clear" w:color="auto" w:fill="auto"/>
                  <w:noWrap w:val="0"/>
                  <w:vAlign w:val="center"/>
                </w:tcPr>
                <w:p w14:paraId="6D5E948A">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环评提出</w:t>
                  </w:r>
                </w:p>
              </w:tc>
            </w:tr>
            <w:tr w14:paraId="579A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44D19307">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185A600C">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1836B722">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滴漏沥青及拌合残渣</w:t>
                  </w:r>
                </w:p>
              </w:tc>
              <w:tc>
                <w:tcPr>
                  <w:tcW w:w="5207" w:type="dxa"/>
                  <w:noWrap w:val="0"/>
                  <w:vAlign w:val="center"/>
                </w:tcPr>
                <w:p w14:paraId="7C001BB5">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暂存于密闭的塑料</w:t>
                  </w:r>
                  <w:r>
                    <w:rPr>
                      <w:rFonts w:hint="eastAsia" w:cs="Times New Roman"/>
                      <w:color w:val="auto"/>
                      <w:sz w:val="21"/>
                      <w:szCs w:val="21"/>
                      <w:highlight w:val="none"/>
                      <w:lang w:val="en-US" w:eastAsia="zh-CN"/>
                    </w:rPr>
                    <w:t>桶</w:t>
                  </w:r>
                  <w:r>
                    <w:rPr>
                      <w:rFonts w:hint="eastAsia" w:ascii="Times New Roman" w:hAnsi="Times New Roman" w:eastAsia="宋体" w:cs="Times New Roman"/>
                      <w:color w:val="auto"/>
                      <w:sz w:val="21"/>
                      <w:szCs w:val="21"/>
                      <w:highlight w:val="none"/>
                      <w:lang w:val="en-US" w:eastAsia="zh-CN"/>
                    </w:rPr>
                    <w:t>内，外</w:t>
                  </w:r>
                  <w:r>
                    <w:rPr>
                      <w:rFonts w:hint="eastAsia" w:cs="Times New Roman"/>
                      <w:color w:val="auto"/>
                      <w:sz w:val="21"/>
                      <w:szCs w:val="21"/>
                      <w:highlight w:val="none"/>
                      <w:lang w:val="en-US" w:eastAsia="zh-CN"/>
                    </w:rPr>
                    <w:t>售</w:t>
                  </w:r>
                  <w:r>
                    <w:rPr>
                      <w:rFonts w:hint="eastAsia" w:ascii="Times New Roman" w:hAnsi="Times New Roman" w:eastAsia="宋体" w:cs="Times New Roman"/>
                      <w:color w:val="auto"/>
                      <w:sz w:val="21"/>
                      <w:szCs w:val="21"/>
                      <w:highlight w:val="none"/>
                      <w:lang w:val="en-US" w:eastAsia="zh-CN"/>
                    </w:rPr>
                    <w:t>作为建筑材料</w:t>
                  </w:r>
                  <w:r>
                    <w:rPr>
                      <w:rFonts w:hint="eastAsia" w:cs="Times New Roman"/>
                      <w:color w:val="auto"/>
                      <w:sz w:val="21"/>
                      <w:szCs w:val="21"/>
                      <w:highlight w:val="none"/>
                      <w:lang w:val="en-US" w:eastAsia="zh-CN"/>
                    </w:rPr>
                    <w:t>。</w:t>
                  </w:r>
                </w:p>
              </w:tc>
              <w:tc>
                <w:tcPr>
                  <w:tcW w:w="688" w:type="dxa"/>
                  <w:shd w:val="clear" w:color="auto" w:fill="auto"/>
                  <w:noWrap w:val="0"/>
                  <w:vAlign w:val="center"/>
                </w:tcPr>
                <w:p w14:paraId="5AF10B49">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环评提出</w:t>
                  </w:r>
                </w:p>
              </w:tc>
            </w:tr>
            <w:tr w14:paraId="5F62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2E35CD4A">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3838C9E3">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453173D8">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焦油渣</w:t>
                  </w:r>
                </w:p>
              </w:tc>
              <w:tc>
                <w:tcPr>
                  <w:tcW w:w="5207" w:type="dxa"/>
                  <w:noWrap w:val="0"/>
                  <w:vAlign w:val="center"/>
                </w:tcPr>
                <w:p w14:paraId="7906283D">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收集后</w:t>
                  </w:r>
                  <w:r>
                    <w:rPr>
                      <w:rFonts w:hint="eastAsia" w:cs="Times New Roman"/>
                      <w:color w:val="auto"/>
                      <w:sz w:val="21"/>
                      <w:szCs w:val="21"/>
                      <w:highlight w:val="none"/>
                      <w:lang w:val="en-US" w:eastAsia="zh-CN"/>
                    </w:rPr>
                    <w:t>暂</w:t>
                  </w:r>
                  <w:r>
                    <w:rPr>
                      <w:rFonts w:hint="eastAsia" w:ascii="Times New Roman" w:hAnsi="Times New Roman" w:eastAsia="宋体" w:cs="Times New Roman"/>
                      <w:color w:val="auto"/>
                      <w:sz w:val="21"/>
                      <w:szCs w:val="21"/>
                      <w:highlight w:val="none"/>
                      <w:lang w:val="en-US" w:eastAsia="zh-CN"/>
                    </w:rPr>
                    <w:t>存于</w:t>
                  </w:r>
                  <w:r>
                    <w:rPr>
                      <w:rFonts w:hint="eastAsia" w:cs="Times New Roman"/>
                      <w:color w:val="auto"/>
                      <w:sz w:val="21"/>
                      <w:szCs w:val="21"/>
                      <w:highlight w:val="none"/>
                      <w:lang w:val="en-US" w:eastAsia="zh-CN"/>
                    </w:rPr>
                    <w:t>采石场</w:t>
                  </w:r>
                  <w:r>
                    <w:rPr>
                      <w:rFonts w:hint="eastAsia" w:ascii="Times New Roman" w:hAnsi="Times New Roman" w:eastAsia="宋体" w:cs="Times New Roman"/>
                      <w:color w:val="auto"/>
                      <w:sz w:val="21"/>
                      <w:szCs w:val="21"/>
                      <w:highlight w:val="none"/>
                      <w:lang w:val="en-US" w:eastAsia="zh-CN"/>
                    </w:rPr>
                    <w:t>危废暂存间，定期委托有资质单位清运处置。</w:t>
                  </w:r>
                </w:p>
              </w:tc>
              <w:tc>
                <w:tcPr>
                  <w:tcW w:w="688" w:type="dxa"/>
                  <w:shd w:val="clear" w:color="auto" w:fill="auto"/>
                  <w:noWrap w:val="0"/>
                  <w:vAlign w:val="center"/>
                </w:tcPr>
                <w:p w14:paraId="0730B724">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环评提出</w:t>
                  </w:r>
                </w:p>
              </w:tc>
            </w:tr>
            <w:tr w14:paraId="4658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38BDCEAF">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7DA10B2A">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3E471DC1">
                  <w:pPr>
                    <w:pageBreakBefore w:val="0"/>
                    <w:kinsoku/>
                    <w:wordWrap/>
                    <w:overflowPunct/>
                    <w:topLinePunct w:val="0"/>
                    <w:autoSpaceDE/>
                    <w:autoSpaceDN/>
                    <w:bidi w:val="0"/>
                    <w:adjustRightInd/>
                    <w:spacing w:line="360" w:lineRule="exact"/>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废活性炭</w:t>
                  </w:r>
                </w:p>
              </w:tc>
              <w:tc>
                <w:tcPr>
                  <w:tcW w:w="5207" w:type="dxa"/>
                  <w:noWrap w:val="0"/>
                  <w:vAlign w:val="center"/>
                </w:tcPr>
                <w:p w14:paraId="057ED163">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由更换厂家带走回收处置，不在厂区暂存</w:t>
                  </w:r>
                  <w:r>
                    <w:rPr>
                      <w:rFonts w:hint="eastAsia" w:ascii="Times New Roman" w:hAnsi="Times New Roman" w:eastAsia="宋体" w:cs="Times New Roman"/>
                      <w:color w:val="auto"/>
                      <w:sz w:val="21"/>
                      <w:szCs w:val="21"/>
                      <w:highlight w:val="none"/>
                      <w:lang w:val="en-US" w:eastAsia="zh-CN"/>
                    </w:rPr>
                    <w:t>。</w:t>
                  </w:r>
                </w:p>
              </w:tc>
              <w:tc>
                <w:tcPr>
                  <w:tcW w:w="688" w:type="dxa"/>
                  <w:shd w:val="clear" w:color="auto" w:fill="auto"/>
                  <w:noWrap w:val="0"/>
                  <w:vAlign w:val="center"/>
                </w:tcPr>
                <w:p w14:paraId="24529489">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环评提出</w:t>
                  </w:r>
                </w:p>
              </w:tc>
            </w:tr>
            <w:tr w14:paraId="4696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5B7D062C">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103AED3C">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noWrap w:val="0"/>
                  <w:vAlign w:val="center"/>
                </w:tcPr>
                <w:p w14:paraId="3D705BA3">
                  <w:pPr>
                    <w:pageBreakBefore w:val="0"/>
                    <w:kinsoku/>
                    <w:wordWrap/>
                    <w:overflowPunct/>
                    <w:topLinePunct w:val="0"/>
                    <w:autoSpaceDE/>
                    <w:autoSpaceDN/>
                    <w:bidi w:val="0"/>
                    <w:adjustRightInd/>
                    <w:spacing w:line="360" w:lineRule="exact"/>
                    <w:ind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废机油、含机油废抹布和废手套</w:t>
                  </w:r>
                </w:p>
              </w:tc>
              <w:tc>
                <w:tcPr>
                  <w:tcW w:w="5207" w:type="dxa"/>
                  <w:noWrap w:val="0"/>
                  <w:vAlign w:val="center"/>
                </w:tcPr>
                <w:p w14:paraId="1E7A9A3A">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收集后</w:t>
                  </w:r>
                  <w:r>
                    <w:rPr>
                      <w:rFonts w:hint="eastAsia" w:cs="Times New Roman"/>
                      <w:color w:val="auto"/>
                      <w:sz w:val="21"/>
                      <w:szCs w:val="21"/>
                      <w:highlight w:val="none"/>
                      <w:lang w:val="en-US" w:eastAsia="zh-CN"/>
                    </w:rPr>
                    <w:t>暂</w:t>
                  </w:r>
                  <w:r>
                    <w:rPr>
                      <w:rFonts w:hint="eastAsia" w:ascii="Times New Roman" w:hAnsi="Times New Roman" w:eastAsia="宋体" w:cs="Times New Roman"/>
                      <w:color w:val="auto"/>
                      <w:sz w:val="21"/>
                      <w:szCs w:val="21"/>
                      <w:highlight w:val="none"/>
                      <w:lang w:val="en-US" w:eastAsia="zh-CN"/>
                    </w:rPr>
                    <w:t>存于</w:t>
                  </w:r>
                  <w:r>
                    <w:rPr>
                      <w:rFonts w:hint="eastAsia" w:cs="Times New Roman"/>
                      <w:color w:val="auto"/>
                      <w:sz w:val="21"/>
                      <w:szCs w:val="21"/>
                      <w:highlight w:val="none"/>
                      <w:lang w:val="en-US" w:eastAsia="zh-CN"/>
                    </w:rPr>
                    <w:t>采石场</w:t>
                  </w:r>
                  <w:r>
                    <w:rPr>
                      <w:rFonts w:hint="eastAsia" w:ascii="Times New Roman" w:hAnsi="Times New Roman" w:eastAsia="宋体" w:cs="Times New Roman"/>
                      <w:color w:val="auto"/>
                      <w:sz w:val="21"/>
                      <w:szCs w:val="21"/>
                      <w:highlight w:val="none"/>
                      <w:lang w:val="en-US" w:eastAsia="zh-CN"/>
                    </w:rPr>
                    <w:t>危废暂存间，定期委托有资质单位清运处置。</w:t>
                  </w:r>
                </w:p>
              </w:tc>
              <w:tc>
                <w:tcPr>
                  <w:tcW w:w="688" w:type="dxa"/>
                  <w:shd w:val="clear" w:color="auto" w:fill="auto"/>
                  <w:noWrap w:val="0"/>
                  <w:vAlign w:val="center"/>
                </w:tcPr>
                <w:p w14:paraId="79A45CDA">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环评提出</w:t>
                  </w:r>
                </w:p>
              </w:tc>
            </w:tr>
            <w:tr w14:paraId="6E69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684" w:type="dxa"/>
                  <w:vMerge w:val="continue"/>
                  <w:noWrap w:val="0"/>
                  <w:vAlign w:val="center"/>
                </w:tcPr>
                <w:p w14:paraId="47EA7149">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680695A7">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rPr>
                  </w:pPr>
                </w:p>
              </w:tc>
              <w:tc>
                <w:tcPr>
                  <w:tcW w:w="998" w:type="dxa"/>
                  <w:shd w:val="clear" w:color="auto" w:fill="auto"/>
                  <w:noWrap w:val="0"/>
                  <w:vAlign w:val="center"/>
                </w:tcPr>
                <w:p w14:paraId="085A47CD">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垃圾收集设施</w:t>
                  </w:r>
                </w:p>
              </w:tc>
              <w:tc>
                <w:tcPr>
                  <w:tcW w:w="5207" w:type="dxa"/>
                  <w:shd w:val="clear" w:color="auto" w:fill="auto"/>
                  <w:noWrap w:val="0"/>
                  <w:vAlign w:val="center"/>
                </w:tcPr>
                <w:p w14:paraId="2F295745">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设置若干垃圾桶</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688" w:type="dxa"/>
                  <w:shd w:val="clear" w:color="auto" w:fill="auto"/>
                  <w:noWrap w:val="0"/>
                  <w:vAlign w:val="center"/>
                </w:tcPr>
                <w:p w14:paraId="55ED7F0F">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环评提出</w:t>
                  </w:r>
                </w:p>
              </w:tc>
            </w:tr>
            <w:tr w14:paraId="4416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684" w:type="dxa"/>
                  <w:vMerge w:val="continue"/>
                  <w:noWrap w:val="0"/>
                  <w:vAlign w:val="center"/>
                </w:tcPr>
                <w:p w14:paraId="0B2120A2">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vMerge w:val="continue"/>
                  <w:noWrap w:val="0"/>
                  <w:vAlign w:val="center"/>
                </w:tcPr>
                <w:p w14:paraId="6A9D4575">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998" w:type="dxa"/>
                  <w:noWrap w:val="0"/>
                  <w:vAlign w:val="center"/>
                </w:tcPr>
                <w:p w14:paraId="58F2AA63">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危废</w:t>
                  </w:r>
                  <w:r>
                    <w:rPr>
                      <w:rFonts w:hint="eastAsia" w:cs="Times New Roman"/>
                      <w:color w:val="auto"/>
                      <w:kern w:val="0"/>
                      <w:sz w:val="21"/>
                      <w:szCs w:val="21"/>
                      <w:lang w:val="en-US" w:eastAsia="zh-CN"/>
                    </w:rPr>
                    <w:t>暂存间</w:t>
                  </w:r>
                </w:p>
              </w:tc>
              <w:tc>
                <w:tcPr>
                  <w:tcW w:w="5207" w:type="dxa"/>
                  <w:noWrap w:val="0"/>
                  <w:vAlign w:val="center"/>
                </w:tcPr>
                <w:p w14:paraId="695158A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依托采石场西南侧办公区1个5m</w:t>
                  </w:r>
                  <w:r>
                    <w:rPr>
                      <w:rFonts w:hint="eastAsia" w:cs="Times New Roman"/>
                      <w:color w:val="000000" w:themeColor="text1"/>
                      <w:kern w:val="0"/>
                      <w:sz w:val="21"/>
                      <w:szCs w:val="21"/>
                      <w:vertAlign w:val="superscript"/>
                      <w:lang w:val="en-US" w:eastAsia="zh-CN" w:bidi="ar"/>
                      <w14:textFill>
                        <w14:solidFill>
                          <w14:schemeClr w14:val="tx1"/>
                        </w14:solidFill>
                      </w14:textFill>
                    </w:rPr>
                    <w:t>2</w:t>
                  </w:r>
                  <w:r>
                    <w:rPr>
                      <w:rFonts w:hint="eastAsia" w:cs="Times New Roman"/>
                      <w:color w:val="000000" w:themeColor="text1"/>
                      <w:kern w:val="0"/>
                      <w:sz w:val="21"/>
                      <w:szCs w:val="21"/>
                      <w:lang w:val="en-US" w:eastAsia="zh-CN" w:bidi="ar"/>
                      <w14:textFill>
                        <w14:solidFill>
                          <w14:schemeClr w14:val="tx1"/>
                        </w14:solidFill>
                      </w14:textFill>
                    </w:rPr>
                    <w:t>的危废暂存间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688" w:type="dxa"/>
                  <w:shd w:val="clear" w:color="auto" w:fill="auto"/>
                  <w:noWrap w:val="0"/>
                  <w:vAlign w:val="center"/>
                </w:tcPr>
                <w:p w14:paraId="1DCDCFEE">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w:t>
                  </w:r>
                </w:p>
              </w:tc>
            </w:tr>
            <w:tr w14:paraId="1F7B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684" w:type="dxa"/>
                  <w:noWrap w:val="0"/>
                  <w:vAlign w:val="center"/>
                </w:tcPr>
                <w:p w14:paraId="3DF77F62">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919" w:type="dxa"/>
                  <w:noWrap w:val="0"/>
                  <w:vAlign w:val="center"/>
                </w:tcPr>
                <w:p w14:paraId="3A62F72D">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地下水、土壤</w:t>
                  </w:r>
                </w:p>
              </w:tc>
              <w:tc>
                <w:tcPr>
                  <w:tcW w:w="998" w:type="dxa"/>
                  <w:noWrap w:val="0"/>
                  <w:vAlign w:val="center"/>
                </w:tcPr>
                <w:p w14:paraId="6CC6CC86">
                  <w:pPr>
                    <w:pageBreakBefore w:val="0"/>
                    <w:kinsoku/>
                    <w:wordWrap/>
                    <w:overflowPunct/>
                    <w:topLinePunct w:val="0"/>
                    <w:autoSpaceDE/>
                    <w:autoSpaceDN/>
                    <w:bidi w:val="0"/>
                    <w:adjustRightInd/>
                    <w:spacing w:line="360" w:lineRule="exact"/>
                    <w:ind w:firstLine="0" w:firstLineChars="0"/>
                    <w:jc w:val="center"/>
                    <w:textAlignment w:val="auto"/>
                    <w:rPr>
                      <w:rFonts w:hint="default" w:cs="Times New Roman"/>
                      <w:color w:val="auto"/>
                      <w:kern w:val="0"/>
                      <w:sz w:val="21"/>
                      <w:szCs w:val="21"/>
                      <w:lang w:val="en-US" w:eastAsia="zh-CN"/>
                    </w:rPr>
                  </w:pPr>
                  <w:r>
                    <w:rPr>
                      <w:rFonts w:hint="eastAsia" w:cs="Times New Roman"/>
                      <w:color w:val="auto"/>
                      <w:kern w:val="0"/>
                      <w:sz w:val="21"/>
                      <w:szCs w:val="21"/>
                      <w:lang w:val="en-US" w:eastAsia="zh-CN"/>
                    </w:rPr>
                    <w:t>防渗措施</w:t>
                  </w:r>
                </w:p>
              </w:tc>
              <w:tc>
                <w:tcPr>
                  <w:tcW w:w="5207" w:type="dxa"/>
                  <w:noWrap w:val="0"/>
                  <w:vAlign w:val="center"/>
                </w:tcPr>
                <w:p w14:paraId="235813A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项目</w:t>
                  </w:r>
                  <w:r>
                    <w:rPr>
                      <w:rFonts w:hint="eastAsia" w:ascii="Times New Roman" w:hAnsi="Times New Roman" w:eastAsia="宋体" w:cs="Times New Roman"/>
                      <w:color w:val="auto"/>
                      <w:kern w:val="0"/>
                      <w:sz w:val="21"/>
                      <w:szCs w:val="21"/>
                      <w:highlight w:val="none"/>
                      <w:lang w:val="en-US" w:eastAsia="zh-CN" w:bidi="ar"/>
                    </w:rPr>
                    <w:t>沥青储罐、</w:t>
                  </w:r>
                  <w:r>
                    <w:rPr>
                      <w:rFonts w:hint="eastAsia" w:cs="Times New Roman"/>
                      <w:color w:val="auto"/>
                      <w:kern w:val="0"/>
                      <w:sz w:val="21"/>
                      <w:szCs w:val="21"/>
                      <w:lang w:val="en-US" w:eastAsia="zh-CN" w:bidi="ar"/>
                    </w:rPr>
                    <w:t>柴</w:t>
                  </w:r>
                  <w:r>
                    <w:rPr>
                      <w:rFonts w:hint="eastAsia" w:cs="Times New Roman"/>
                      <w:color w:val="auto"/>
                      <w:kern w:val="0"/>
                      <w:sz w:val="21"/>
                      <w:szCs w:val="21"/>
                      <w:highlight w:val="none"/>
                      <w:lang w:val="en-US" w:eastAsia="zh-CN" w:bidi="ar"/>
                    </w:rPr>
                    <w:t>油</w:t>
                  </w:r>
                  <w:r>
                    <w:rPr>
                      <w:rFonts w:hint="eastAsia" w:ascii="Times New Roman" w:hAnsi="Times New Roman" w:eastAsia="宋体" w:cs="Times New Roman"/>
                      <w:color w:val="auto"/>
                      <w:kern w:val="0"/>
                      <w:sz w:val="21"/>
                      <w:szCs w:val="21"/>
                      <w:highlight w:val="none"/>
                      <w:lang w:val="en-US" w:eastAsia="zh-CN" w:bidi="ar"/>
                    </w:rPr>
                    <w:t>储罐区</w:t>
                  </w:r>
                  <w:r>
                    <w:rPr>
                      <w:rFonts w:hint="eastAsia" w:cs="Times New Roman"/>
                      <w:color w:val="auto"/>
                      <w:kern w:val="0"/>
                      <w:sz w:val="21"/>
                      <w:szCs w:val="21"/>
                      <w:highlight w:val="none"/>
                      <w:lang w:val="en-US" w:eastAsia="zh-CN" w:bidi="ar"/>
                    </w:rPr>
                    <w:t>、有机热载体炉区、拌合站为重点防渗区，采用黏土层6m+</w:t>
                  </w:r>
                  <w:r>
                    <w:rPr>
                      <w:rFonts w:hint="eastAsia"/>
                      <w:color w:val="auto"/>
                      <w:spacing w:val="10"/>
                      <w:sz w:val="21"/>
                      <w:szCs w:val="18"/>
                      <w:highlight w:val="none"/>
                      <w:lang w:val="en-US" w:eastAsia="zh-CN"/>
                    </w:rPr>
                    <w:t>抗渗混凝土浇灌10cm</w:t>
                  </w:r>
                  <w:r>
                    <w:rPr>
                      <w:rFonts w:hint="eastAsia" w:cs="Times New Roman"/>
                      <w:color w:val="auto"/>
                      <w:kern w:val="0"/>
                      <w:sz w:val="21"/>
                      <w:szCs w:val="21"/>
                      <w:highlight w:val="none"/>
                      <w:lang w:val="en-US" w:eastAsia="zh-CN" w:bidi="ar"/>
                    </w:rPr>
                    <w:t>；</w:t>
                  </w:r>
                </w:p>
                <w:p w14:paraId="10A7727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eastAsia"/>
                      <w:color w:val="auto"/>
                      <w:spacing w:val="10"/>
                      <w:sz w:val="21"/>
                      <w:szCs w:val="18"/>
                      <w:highlight w:val="none"/>
                      <w:lang w:val="en-US" w:eastAsia="zh-CN"/>
                    </w:rPr>
                  </w:pPr>
                  <w:r>
                    <w:rPr>
                      <w:rFonts w:hint="eastAsia"/>
                      <w:color w:val="auto"/>
                      <w:spacing w:val="10"/>
                      <w:sz w:val="21"/>
                      <w:szCs w:val="18"/>
                      <w:highlight w:val="none"/>
                      <w:lang w:val="en-US" w:eastAsia="zh-CN"/>
                    </w:rPr>
                    <w:t>烘干滚筒区域为一般防渗区，</w:t>
                  </w:r>
                  <w:r>
                    <w:rPr>
                      <w:rFonts w:hint="eastAsia" w:cs="Times New Roman"/>
                      <w:color w:val="auto"/>
                      <w:kern w:val="0"/>
                      <w:sz w:val="21"/>
                      <w:szCs w:val="21"/>
                      <w:highlight w:val="none"/>
                      <w:lang w:val="en-US" w:eastAsia="zh-CN" w:bidi="ar"/>
                    </w:rPr>
                    <w:t>采用</w:t>
                  </w:r>
                  <w:r>
                    <w:rPr>
                      <w:rFonts w:hint="eastAsia"/>
                      <w:color w:val="auto"/>
                      <w:spacing w:val="10"/>
                      <w:sz w:val="21"/>
                      <w:szCs w:val="18"/>
                      <w:highlight w:val="none"/>
                      <w:lang w:val="en-US" w:eastAsia="zh-CN"/>
                    </w:rPr>
                    <w:t>抗渗混凝土浇灌25cm，抗渗等级为P8；</w:t>
                  </w:r>
                </w:p>
                <w:p w14:paraId="05E1148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left"/>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砂石料堆场和</w:t>
                  </w:r>
                  <w:r>
                    <w:rPr>
                      <w:rFonts w:hint="eastAsia" w:ascii="Times New Roman" w:hAnsi="Times New Roman" w:eastAsia="宋体" w:cs="Times New Roman"/>
                      <w:color w:val="auto"/>
                      <w:kern w:val="0"/>
                      <w:sz w:val="21"/>
                      <w:szCs w:val="21"/>
                      <w:highlight w:val="none"/>
                      <w:lang w:val="en-US" w:eastAsia="zh-CN" w:bidi="ar"/>
                    </w:rPr>
                    <w:t>其他区域为简单防渗区，进行一般地面硬化。</w:t>
                  </w:r>
                </w:p>
              </w:tc>
              <w:tc>
                <w:tcPr>
                  <w:tcW w:w="688" w:type="dxa"/>
                  <w:shd w:val="clear" w:color="auto" w:fill="auto"/>
                  <w:noWrap w:val="0"/>
                  <w:vAlign w:val="center"/>
                </w:tcPr>
                <w:p w14:paraId="44E020E8">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依托</w:t>
                  </w:r>
                </w:p>
              </w:tc>
            </w:tr>
            <w:tr w14:paraId="3211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684" w:type="dxa"/>
                  <w:noWrap w:val="0"/>
                  <w:vAlign w:val="center"/>
                </w:tcPr>
                <w:p w14:paraId="4D7D2FDD">
                  <w:pPr>
                    <w:pageBreakBefore w:val="0"/>
                    <w:kinsoku/>
                    <w:wordWrap/>
                    <w:overflowPunct/>
                    <w:topLinePunct w:val="0"/>
                    <w:autoSpaceDE/>
                    <w:autoSpaceDN/>
                    <w:bidi w:val="0"/>
                    <w:adjustRightInd/>
                    <w:spacing w:line="360" w:lineRule="exact"/>
                    <w:ind w:firstLine="0" w:firstLineChars="0"/>
                    <w:textAlignment w:val="auto"/>
                    <w:rPr>
                      <w:rFonts w:hint="default" w:ascii="Times New Roman" w:hAnsi="Times New Roman" w:eastAsia="宋体" w:cs="Times New Roman"/>
                      <w:color w:val="auto"/>
                      <w:sz w:val="21"/>
                      <w:szCs w:val="21"/>
                    </w:rPr>
                  </w:pPr>
                </w:p>
              </w:tc>
              <w:tc>
                <w:tcPr>
                  <w:tcW w:w="1917" w:type="dxa"/>
                  <w:gridSpan w:val="2"/>
                  <w:noWrap w:val="0"/>
                  <w:vAlign w:val="center"/>
                </w:tcPr>
                <w:p w14:paraId="0A5AF169">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环境风险</w:t>
                  </w:r>
                </w:p>
              </w:tc>
              <w:tc>
                <w:tcPr>
                  <w:tcW w:w="5207" w:type="dxa"/>
                  <w:noWrap w:val="0"/>
                  <w:vAlign w:val="center"/>
                </w:tcPr>
                <w:p w14:paraId="4E39180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firstLine="0" w:firstLineChars="0"/>
                    <w:jc w:val="both"/>
                    <w:textAlignment w:val="auto"/>
                    <w:rPr>
                      <w:rFonts w:hint="eastAsia"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highlight w:val="none"/>
                      <w:lang w:val="en-US" w:eastAsia="zh-CN" w:bidi="ar"/>
                    </w:rPr>
                    <w:t>储罐区为相对独立的区域，沥青储罐区设置不低于</w:t>
                  </w:r>
                  <w:r>
                    <w:rPr>
                      <w:rFonts w:hint="eastAsia" w:cs="Times New Roman"/>
                      <w:color w:val="auto"/>
                      <w:kern w:val="0"/>
                      <w:sz w:val="21"/>
                      <w:szCs w:val="21"/>
                      <w:highlight w:val="none"/>
                      <w:lang w:val="en-US" w:eastAsia="zh-CN" w:bidi="ar"/>
                    </w:rPr>
                    <w:t>50</w:t>
                  </w:r>
                  <w:r>
                    <w:rPr>
                      <w:rFonts w:hint="eastAsia" w:ascii="Times New Roman" w:hAnsi="Times New Roman" w:eastAsia="宋体" w:cs="Times New Roman"/>
                      <w:color w:val="auto"/>
                      <w:kern w:val="0"/>
                      <w:sz w:val="21"/>
                      <w:szCs w:val="21"/>
                      <w:highlight w:val="none"/>
                      <w:lang w:val="en-US" w:eastAsia="zh-CN" w:bidi="ar"/>
                    </w:rPr>
                    <w:t>cm高的围堰</w:t>
                  </w:r>
                  <w:r>
                    <w:rPr>
                      <w:rFonts w:hint="eastAsia" w:cs="Times New Roman"/>
                      <w:color w:val="auto"/>
                      <w:kern w:val="0"/>
                      <w:sz w:val="21"/>
                      <w:szCs w:val="21"/>
                      <w:highlight w:val="none"/>
                      <w:lang w:val="en-US" w:eastAsia="zh-CN" w:bidi="ar"/>
                    </w:rPr>
                    <w:t>，围堰总容积为75m</w:t>
                  </w:r>
                  <w:r>
                    <w:rPr>
                      <w:rFonts w:hint="eastAsia"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50t</w:t>
                  </w:r>
                  <w:r>
                    <w:rPr>
                      <w:rFonts w:hint="eastAsia" w:cs="Times New Roman"/>
                      <w:color w:val="auto"/>
                      <w:kern w:val="0"/>
                      <w:sz w:val="21"/>
                      <w:szCs w:val="21"/>
                      <w:lang w:val="en-US" w:eastAsia="zh-CN" w:bidi="ar"/>
                    </w:rPr>
                    <w:t>柴</w:t>
                  </w:r>
                  <w:r>
                    <w:rPr>
                      <w:rFonts w:hint="eastAsia" w:cs="Times New Roman"/>
                      <w:color w:val="auto"/>
                      <w:kern w:val="0"/>
                      <w:sz w:val="21"/>
                      <w:szCs w:val="21"/>
                      <w:highlight w:val="none"/>
                      <w:lang w:val="en-US" w:eastAsia="zh-CN" w:bidi="ar"/>
                    </w:rPr>
                    <w:t>油</w:t>
                  </w:r>
                  <w:r>
                    <w:rPr>
                      <w:rFonts w:hint="eastAsia" w:ascii="Times New Roman" w:hAnsi="Times New Roman" w:eastAsia="宋体" w:cs="Times New Roman"/>
                      <w:color w:val="auto"/>
                      <w:kern w:val="0"/>
                      <w:sz w:val="21"/>
                      <w:szCs w:val="21"/>
                      <w:highlight w:val="none"/>
                      <w:lang w:val="en-US" w:eastAsia="zh-CN" w:bidi="ar"/>
                    </w:rPr>
                    <w:t>储罐区设置</w:t>
                  </w:r>
                  <w:r>
                    <w:rPr>
                      <w:rFonts w:hint="eastAsia" w:cs="Times New Roman"/>
                      <w:color w:val="auto"/>
                      <w:kern w:val="0"/>
                      <w:sz w:val="21"/>
                      <w:szCs w:val="21"/>
                      <w:highlight w:val="none"/>
                      <w:lang w:val="en-US" w:eastAsia="zh-CN" w:bidi="ar"/>
                    </w:rPr>
                    <w:t>50c</w:t>
                  </w:r>
                  <w:r>
                    <w:rPr>
                      <w:rFonts w:hint="eastAsia" w:ascii="Times New Roman" w:hAnsi="Times New Roman" w:eastAsia="宋体" w:cs="Times New Roman"/>
                      <w:color w:val="auto"/>
                      <w:kern w:val="0"/>
                      <w:sz w:val="21"/>
                      <w:szCs w:val="21"/>
                      <w:highlight w:val="none"/>
                      <w:lang w:val="en-US" w:eastAsia="zh-CN" w:bidi="ar"/>
                    </w:rPr>
                    <w:t>m高的围堰</w:t>
                  </w:r>
                  <w:r>
                    <w:rPr>
                      <w:rFonts w:hint="eastAsia" w:cs="Times New Roman"/>
                      <w:color w:val="auto"/>
                      <w:kern w:val="0"/>
                      <w:sz w:val="21"/>
                      <w:szCs w:val="21"/>
                      <w:highlight w:val="none"/>
                      <w:lang w:val="en-US" w:eastAsia="zh-CN" w:bidi="ar"/>
                    </w:rPr>
                    <w:t>，围堰总容积约45m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；10t</w:t>
                  </w:r>
                  <w:r>
                    <w:rPr>
                      <w:rFonts w:hint="eastAsia" w:cs="Times New Roman"/>
                      <w:color w:val="auto"/>
                      <w:sz w:val="21"/>
                      <w:szCs w:val="21"/>
                      <w:lang w:val="en-US" w:eastAsia="zh-CN"/>
                    </w:rPr>
                    <w:t>柴</w:t>
                  </w:r>
                  <w:r>
                    <w:rPr>
                      <w:rFonts w:hint="eastAsia" w:cs="Times New Roman"/>
                      <w:color w:val="auto"/>
                      <w:kern w:val="0"/>
                      <w:sz w:val="21"/>
                      <w:szCs w:val="21"/>
                      <w:highlight w:val="none"/>
                      <w:lang w:val="en-US" w:eastAsia="zh-CN" w:bidi="ar"/>
                    </w:rPr>
                    <w:t>油</w:t>
                  </w:r>
                  <w:r>
                    <w:rPr>
                      <w:rFonts w:hint="eastAsia" w:ascii="Times New Roman" w:hAnsi="Times New Roman" w:eastAsia="宋体" w:cs="Times New Roman"/>
                      <w:color w:val="auto"/>
                      <w:kern w:val="0"/>
                      <w:sz w:val="21"/>
                      <w:szCs w:val="21"/>
                      <w:highlight w:val="none"/>
                      <w:lang w:val="en-US" w:eastAsia="zh-CN" w:bidi="ar"/>
                    </w:rPr>
                    <w:t>储罐区设置</w:t>
                  </w:r>
                  <w:r>
                    <w:rPr>
                      <w:rFonts w:hint="eastAsia" w:cs="Times New Roman"/>
                      <w:color w:val="auto"/>
                      <w:kern w:val="0"/>
                      <w:sz w:val="21"/>
                      <w:szCs w:val="21"/>
                      <w:highlight w:val="none"/>
                      <w:lang w:val="en-US" w:eastAsia="zh-CN" w:bidi="ar"/>
                    </w:rPr>
                    <w:t>20c</w:t>
                  </w:r>
                  <w:r>
                    <w:rPr>
                      <w:rFonts w:hint="eastAsia" w:ascii="Times New Roman" w:hAnsi="Times New Roman" w:eastAsia="宋体" w:cs="Times New Roman"/>
                      <w:color w:val="auto"/>
                      <w:kern w:val="0"/>
                      <w:sz w:val="21"/>
                      <w:szCs w:val="21"/>
                      <w:highlight w:val="none"/>
                      <w:lang w:val="en-US" w:eastAsia="zh-CN" w:bidi="ar"/>
                    </w:rPr>
                    <w:t>m高的围堰</w:t>
                  </w:r>
                  <w:r>
                    <w:rPr>
                      <w:rFonts w:hint="eastAsia" w:cs="Times New Roman"/>
                      <w:color w:val="auto"/>
                      <w:kern w:val="0"/>
                      <w:sz w:val="21"/>
                      <w:szCs w:val="21"/>
                      <w:highlight w:val="none"/>
                      <w:lang w:val="en-US" w:eastAsia="zh-CN" w:bidi="ar"/>
                    </w:rPr>
                    <w:t>，围堰总容积为10m</w:t>
                  </w:r>
                  <w:r>
                    <w:rPr>
                      <w:rFonts w:hint="eastAsia"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vertAlign w:val="baseline"/>
                      <w:lang w:val="en-US" w:eastAsia="zh-CN" w:bidi="ar"/>
                    </w:rPr>
                    <w:t>。</w:t>
                  </w:r>
                </w:p>
              </w:tc>
              <w:tc>
                <w:tcPr>
                  <w:tcW w:w="688" w:type="dxa"/>
                  <w:shd w:val="clear" w:color="auto" w:fill="auto"/>
                  <w:noWrap w:val="0"/>
                  <w:vAlign w:val="center"/>
                </w:tcPr>
                <w:p w14:paraId="22842BE3">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环评提出</w:t>
                  </w:r>
                </w:p>
              </w:tc>
            </w:tr>
          </w:tbl>
          <w:p w14:paraId="445F319B">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color w:val="auto"/>
                <w:szCs w:val="22"/>
              </w:rPr>
            </w:pPr>
            <w:r>
              <w:rPr>
                <w:rFonts w:hint="eastAsia" w:ascii="Times New Roman" w:hAnsi="Times New Roman" w:eastAsia="宋体" w:cs="Times New Roman"/>
                <w:b/>
                <w:color w:val="auto"/>
                <w:szCs w:val="22"/>
                <w:lang w:val="en-US" w:eastAsia="zh-CN"/>
              </w:rPr>
              <w:t>四、</w:t>
            </w:r>
            <w:r>
              <w:rPr>
                <w:rFonts w:hint="default" w:ascii="Times New Roman" w:hAnsi="Times New Roman" w:eastAsia="宋体" w:cs="Times New Roman"/>
                <w:b/>
                <w:color w:val="auto"/>
                <w:szCs w:val="22"/>
              </w:rPr>
              <w:t>产品方案</w:t>
            </w:r>
          </w:p>
          <w:p w14:paraId="31553DD5">
            <w:pPr>
              <w:keepNext/>
              <w:widowControl/>
              <w:ind w:firstLine="480"/>
              <w:jc w:val="left"/>
            </w:pPr>
            <w:r>
              <w:rPr>
                <w:kern w:val="0"/>
                <w:lang w:bidi="ar"/>
              </w:rPr>
              <w:t>本</w:t>
            </w:r>
            <w:r>
              <w:rPr>
                <w:rFonts w:hint="eastAsia"/>
                <w:kern w:val="0"/>
                <w:lang w:bidi="ar"/>
              </w:rPr>
              <w:t>项目产品方案详见下表2-2</w:t>
            </w:r>
            <w:r>
              <w:t>。</w:t>
            </w:r>
          </w:p>
          <w:p w14:paraId="2E31E0F5">
            <w:pPr>
              <w:keepNext/>
              <w:widowControl/>
              <w:ind w:firstLine="0" w:firstLineChars="0"/>
              <w:jc w:val="center"/>
              <w:rPr>
                <w:b/>
                <w:kern w:val="24"/>
                <w:sz w:val="21"/>
                <w:szCs w:val="21"/>
              </w:rPr>
            </w:pPr>
            <w:r>
              <w:rPr>
                <w:b/>
                <w:kern w:val="24"/>
                <w:sz w:val="21"/>
                <w:szCs w:val="21"/>
              </w:rPr>
              <w:t>表2-</w:t>
            </w:r>
            <w:r>
              <w:rPr>
                <w:rFonts w:hint="eastAsia"/>
                <w:b/>
                <w:kern w:val="24"/>
                <w:sz w:val="21"/>
                <w:szCs w:val="21"/>
              </w:rPr>
              <w:t>2</w:t>
            </w:r>
            <w:r>
              <w:rPr>
                <w:rFonts w:hint="eastAsia"/>
                <w:b/>
                <w:kern w:val="24"/>
                <w:sz w:val="21"/>
                <w:szCs w:val="21"/>
                <w:lang w:val="en-US" w:eastAsia="zh-CN"/>
              </w:rPr>
              <w:t xml:space="preserve">  </w:t>
            </w:r>
            <w:r>
              <w:rPr>
                <w:rFonts w:hint="eastAsia"/>
                <w:b/>
                <w:kern w:val="24"/>
                <w:sz w:val="21"/>
                <w:szCs w:val="21"/>
              </w:rPr>
              <w:t>项目产品方案一览表</w:t>
            </w:r>
          </w:p>
          <w:tbl>
            <w:tblPr>
              <w:tblStyle w:val="16"/>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468"/>
              <w:gridCol w:w="2684"/>
              <w:gridCol w:w="1689"/>
              <w:gridCol w:w="1351"/>
            </w:tblGrid>
            <w:tr w14:paraId="0AB5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6" w:type="dxa"/>
                  <w:vAlign w:val="center"/>
                </w:tcPr>
                <w:p w14:paraId="6524E3A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序号</w:t>
                  </w:r>
                </w:p>
              </w:tc>
              <w:tc>
                <w:tcPr>
                  <w:tcW w:w="1468" w:type="dxa"/>
                  <w:vAlign w:val="center"/>
                </w:tcPr>
                <w:p w14:paraId="2AD9D61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产品名称</w:t>
                  </w:r>
                </w:p>
              </w:tc>
              <w:tc>
                <w:tcPr>
                  <w:tcW w:w="2684" w:type="dxa"/>
                  <w:vAlign w:val="center"/>
                </w:tcPr>
                <w:p w14:paraId="273E595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规格</w:t>
                  </w:r>
                </w:p>
              </w:tc>
              <w:tc>
                <w:tcPr>
                  <w:tcW w:w="1689" w:type="dxa"/>
                  <w:vAlign w:val="center"/>
                </w:tcPr>
                <w:p w14:paraId="6D79CF6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产品产量</w:t>
                  </w:r>
                </w:p>
              </w:tc>
              <w:tc>
                <w:tcPr>
                  <w:tcW w:w="1351" w:type="dxa"/>
                  <w:vAlign w:val="center"/>
                </w:tcPr>
                <w:p w14:paraId="0F96C94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备注</w:t>
                  </w:r>
                </w:p>
              </w:tc>
            </w:tr>
            <w:tr w14:paraId="6D90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86" w:type="dxa"/>
                  <w:vAlign w:val="center"/>
                </w:tcPr>
                <w:p w14:paraId="651687D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w:t>
                  </w:r>
                </w:p>
              </w:tc>
              <w:tc>
                <w:tcPr>
                  <w:tcW w:w="1468" w:type="dxa"/>
                  <w:vMerge w:val="restart"/>
                  <w:vAlign w:val="center"/>
                </w:tcPr>
                <w:p w14:paraId="699EC01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ascii="Times New Roman" w:hAnsi="Times New Roman" w:eastAsia="宋体" w:cs="Times New Roman"/>
                      <w:color w:val="000000" w:themeColor="text1"/>
                      <w:kern w:val="0"/>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沥青混凝土</w:t>
                  </w:r>
                </w:p>
              </w:tc>
              <w:tc>
                <w:tcPr>
                  <w:tcW w:w="2684" w:type="dxa"/>
                  <w:vAlign w:val="center"/>
                </w:tcPr>
                <w:p w14:paraId="5F11DF1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细粒式沥青混凝土AC13</w:t>
                  </w:r>
                </w:p>
              </w:tc>
              <w:tc>
                <w:tcPr>
                  <w:tcW w:w="1689" w:type="dxa"/>
                  <w:vAlign w:val="center"/>
                </w:tcPr>
                <w:p w14:paraId="31C4545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14:textFill>
                        <w14:solidFill>
                          <w14:schemeClr w14:val="tx1"/>
                        </w14:solidFill>
                      </w14:textFill>
                    </w:rPr>
                    <w:t>0000t/a</w:t>
                  </w:r>
                </w:p>
              </w:tc>
              <w:tc>
                <w:tcPr>
                  <w:tcW w:w="1351" w:type="dxa"/>
                  <w:vAlign w:val="center"/>
                </w:tcPr>
                <w:p w14:paraId="527B331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w:t>
                  </w:r>
                </w:p>
              </w:tc>
            </w:tr>
            <w:tr w14:paraId="6589E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86" w:type="dxa"/>
                  <w:vAlign w:val="center"/>
                </w:tcPr>
                <w:p w14:paraId="582AABB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2</w:t>
                  </w:r>
                </w:p>
              </w:tc>
              <w:tc>
                <w:tcPr>
                  <w:tcW w:w="1468" w:type="dxa"/>
                  <w:vMerge w:val="continue"/>
                  <w:vAlign w:val="center"/>
                </w:tcPr>
                <w:p w14:paraId="14E8D9B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2684" w:type="dxa"/>
                  <w:vAlign w:val="center"/>
                </w:tcPr>
                <w:p w14:paraId="0A089557">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中粒式沥青混凝土AC16</w:t>
                  </w:r>
                </w:p>
              </w:tc>
              <w:tc>
                <w:tcPr>
                  <w:tcW w:w="1689" w:type="dxa"/>
                  <w:vAlign w:val="center"/>
                </w:tcPr>
                <w:p w14:paraId="5DC3A6A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35000</w:t>
                  </w:r>
                  <w:r>
                    <w:rPr>
                      <w:rFonts w:hint="eastAsia" w:ascii="Times New Roman" w:hAnsi="Times New Roman" w:eastAsia="宋体" w:cs="Times New Roman"/>
                      <w:color w:val="000000" w:themeColor="text1"/>
                      <w:sz w:val="21"/>
                      <w:szCs w:val="21"/>
                      <w14:textFill>
                        <w14:solidFill>
                          <w14:schemeClr w14:val="tx1"/>
                        </w14:solidFill>
                      </w14:textFill>
                    </w:rPr>
                    <w:t>t/a</w:t>
                  </w:r>
                </w:p>
              </w:tc>
              <w:tc>
                <w:tcPr>
                  <w:tcW w:w="1351" w:type="dxa"/>
                  <w:vAlign w:val="center"/>
                </w:tcPr>
                <w:p w14:paraId="187C132C">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w:t>
                  </w:r>
                </w:p>
              </w:tc>
            </w:tr>
            <w:tr w14:paraId="6F54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86" w:type="dxa"/>
                  <w:vAlign w:val="center"/>
                </w:tcPr>
                <w:p w14:paraId="2A28A98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3</w:t>
                  </w:r>
                </w:p>
              </w:tc>
              <w:tc>
                <w:tcPr>
                  <w:tcW w:w="1468" w:type="dxa"/>
                  <w:vMerge w:val="continue"/>
                  <w:vAlign w:val="center"/>
                </w:tcPr>
                <w:p w14:paraId="462C825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p>
              </w:tc>
              <w:tc>
                <w:tcPr>
                  <w:tcW w:w="2684" w:type="dxa"/>
                  <w:vAlign w:val="center"/>
                </w:tcPr>
                <w:p w14:paraId="06E938AA">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粗粒式沥青混凝土AC20</w:t>
                  </w:r>
                </w:p>
              </w:tc>
              <w:tc>
                <w:tcPr>
                  <w:tcW w:w="1689" w:type="dxa"/>
                  <w:vAlign w:val="center"/>
                </w:tcPr>
                <w:p w14:paraId="4F43A00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35000</w:t>
                  </w:r>
                  <w:r>
                    <w:rPr>
                      <w:rFonts w:hint="eastAsia" w:ascii="Times New Roman" w:hAnsi="Times New Roman" w:eastAsia="宋体" w:cs="Times New Roman"/>
                      <w:color w:val="000000" w:themeColor="text1"/>
                      <w:sz w:val="21"/>
                      <w:szCs w:val="21"/>
                      <w14:textFill>
                        <w14:solidFill>
                          <w14:schemeClr w14:val="tx1"/>
                        </w14:solidFill>
                      </w14:textFill>
                    </w:rPr>
                    <w:t>t/a</w:t>
                  </w:r>
                </w:p>
              </w:tc>
              <w:tc>
                <w:tcPr>
                  <w:tcW w:w="1351" w:type="dxa"/>
                  <w:vAlign w:val="center"/>
                </w:tcPr>
                <w:p w14:paraId="2CDCBF9A">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w:t>
                  </w:r>
                </w:p>
              </w:tc>
            </w:tr>
            <w:tr w14:paraId="2312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838" w:type="dxa"/>
                  <w:gridSpan w:val="3"/>
                  <w:vAlign w:val="center"/>
                </w:tcPr>
                <w:p w14:paraId="5F395229">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b/>
                      <w:bCs/>
                      <w:color w:val="auto"/>
                      <w:kern w:val="0"/>
                      <w:sz w:val="21"/>
                      <w:szCs w:val="21"/>
                      <w:lang w:val="en-US" w:eastAsia="zh-CN" w:bidi="ar"/>
                    </w:rPr>
                    <w:t>合计</w:t>
                  </w:r>
                </w:p>
              </w:tc>
              <w:tc>
                <w:tcPr>
                  <w:tcW w:w="1689" w:type="dxa"/>
                  <w:vAlign w:val="center"/>
                </w:tcPr>
                <w:p w14:paraId="7060284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100000</w:t>
                  </w:r>
                  <w:r>
                    <w:rPr>
                      <w:rFonts w:hint="eastAsia" w:ascii="Times New Roman" w:hAnsi="Times New Roman" w:eastAsia="宋体" w:cs="Times New Roman"/>
                      <w:color w:val="000000" w:themeColor="text1"/>
                      <w:sz w:val="21"/>
                      <w:szCs w:val="21"/>
                      <w14:textFill>
                        <w14:solidFill>
                          <w14:schemeClr w14:val="tx1"/>
                        </w14:solidFill>
                      </w14:textFill>
                    </w:rPr>
                    <w:t>t/a</w:t>
                  </w:r>
                </w:p>
              </w:tc>
              <w:tc>
                <w:tcPr>
                  <w:tcW w:w="1351" w:type="dxa"/>
                  <w:vAlign w:val="center"/>
                </w:tcPr>
                <w:p w14:paraId="04F30667">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w:t>
                  </w:r>
                </w:p>
              </w:tc>
            </w:tr>
          </w:tbl>
          <w:p w14:paraId="48FC6C25">
            <w:pPr>
              <w:keepNext w:val="0"/>
              <w:keepLines w:val="0"/>
              <w:pageBreakBefore w:val="0"/>
              <w:widowControl w:val="0"/>
              <w:kinsoku/>
              <w:wordWrap/>
              <w:overflowPunct/>
              <w:topLinePunct w:val="0"/>
              <w:autoSpaceDE/>
              <w:autoSpaceDN/>
              <w:bidi w:val="0"/>
              <w:adjustRightInd/>
              <w:snapToGrid/>
              <w:spacing w:before="157" w:beforeLines="50"/>
              <w:ind w:firstLine="482"/>
              <w:textAlignment w:val="baseline"/>
              <w:rPr>
                <w:rFonts w:hint="default" w:ascii="Times New Roman" w:hAnsi="Times New Roman" w:eastAsia="宋体" w:cs="Times New Roman"/>
                <w:b/>
                <w:color w:val="auto"/>
                <w:highlight w:val="none"/>
              </w:rPr>
            </w:pPr>
            <w:r>
              <w:rPr>
                <w:rFonts w:hint="eastAsia" w:ascii="Times New Roman" w:hAnsi="Times New Roman" w:eastAsia="宋体" w:cs="Times New Roman"/>
                <w:b/>
                <w:color w:val="auto"/>
                <w:highlight w:val="none"/>
                <w:lang w:val="en-US" w:eastAsia="zh-CN"/>
              </w:rPr>
              <w:t>五</w:t>
            </w:r>
            <w:r>
              <w:rPr>
                <w:rFonts w:hint="default" w:ascii="Times New Roman" w:hAnsi="Times New Roman" w:eastAsia="宋体" w:cs="Times New Roman"/>
                <w:b/>
                <w:color w:val="auto"/>
                <w:highlight w:val="none"/>
              </w:rPr>
              <w:t>、主要原辅材料</w:t>
            </w:r>
          </w:p>
          <w:p w14:paraId="4E948179">
            <w:pPr>
              <w:keepNext/>
              <w:widowControl/>
              <w:ind w:firstLine="480"/>
              <w:jc w:val="left"/>
              <w:rPr>
                <w:rFonts w:hint="default" w:eastAsia="宋体"/>
                <w:b/>
                <w:kern w:val="24"/>
                <w:sz w:val="21"/>
                <w:szCs w:val="21"/>
                <w:lang w:val="en-US" w:eastAsia="zh-CN"/>
              </w:rPr>
            </w:pPr>
            <w:r>
              <w:rPr>
                <w:rFonts w:hint="eastAsia" w:ascii="Times New Roman" w:hAnsi="Times New Roman" w:eastAsia="宋体" w:cs="Times New Roman"/>
                <w:kern w:val="0"/>
                <w:lang w:bidi="ar"/>
              </w:rPr>
              <w:t>本项目沥青混合料生产线中</w:t>
            </w:r>
            <w:r>
              <w:rPr>
                <w:rFonts w:hint="eastAsia" w:ascii="Times New Roman" w:hAnsi="Times New Roman" w:eastAsia="宋体" w:cs="Times New Roman"/>
                <w:color w:val="auto"/>
                <w:kern w:val="0"/>
                <w:lang w:bidi="ar"/>
              </w:rPr>
              <w:t>，</w:t>
            </w:r>
            <w:r>
              <w:rPr>
                <w:rFonts w:hint="eastAsia" w:ascii="Times New Roman" w:hAnsi="Times New Roman" w:eastAsia="宋体" w:cs="Times New Roman"/>
                <w:b w:val="0"/>
                <w:bCs w:val="0"/>
                <w:color w:val="auto"/>
                <w:sz w:val="24"/>
                <w:szCs w:val="24"/>
                <w:lang w:val="en-US" w:eastAsia="zh-CN"/>
              </w:rPr>
              <w:t>骨料配比为92％，沥青为4％，矿粉为4％</w:t>
            </w:r>
            <w:r>
              <w:rPr>
                <w:rFonts w:hint="eastAsia" w:ascii="Times New Roman" w:hAnsi="Times New Roman" w:eastAsia="宋体" w:cs="Times New Roman"/>
                <w:kern w:val="0"/>
                <w:lang w:bidi="ar"/>
              </w:rPr>
              <w:t>；原辅材料</w:t>
            </w:r>
            <w:r>
              <w:rPr>
                <w:rFonts w:hint="eastAsia" w:ascii="Times New Roman" w:hAnsi="Times New Roman" w:eastAsia="宋体" w:cs="Times New Roman"/>
                <w:kern w:val="0"/>
                <w:lang w:val="en-US" w:eastAsia="zh-CN" w:bidi="ar"/>
              </w:rPr>
              <w:t>年</w:t>
            </w:r>
            <w:r>
              <w:rPr>
                <w:rFonts w:hint="eastAsia" w:ascii="Times New Roman" w:hAnsi="Times New Roman" w:eastAsia="宋体" w:cs="Times New Roman"/>
                <w:kern w:val="0"/>
                <w:lang w:bidi="ar"/>
              </w:rPr>
              <w:t>消耗见下表</w:t>
            </w:r>
            <w:r>
              <w:rPr>
                <w:rFonts w:hint="eastAsia" w:ascii="Times New Roman" w:hAnsi="Times New Roman" w:eastAsia="宋体" w:cs="Times New Roman"/>
                <w:kern w:val="0"/>
                <w:lang w:val="en-US" w:eastAsia="zh-CN" w:bidi="ar"/>
              </w:rPr>
              <w:t>2-3。</w:t>
            </w:r>
          </w:p>
          <w:p w14:paraId="5E9AEEE6">
            <w:pPr>
              <w:keepNext/>
              <w:widowControl/>
              <w:ind w:firstLine="0" w:firstLineChars="0"/>
              <w:jc w:val="center"/>
              <w:rPr>
                <w:rFonts w:hint="default"/>
                <w:b/>
                <w:kern w:val="24"/>
                <w:sz w:val="21"/>
                <w:szCs w:val="21"/>
                <w:lang w:val="en-US" w:eastAsia="zh-CN"/>
              </w:rPr>
            </w:pPr>
            <w:r>
              <w:rPr>
                <w:rFonts w:hint="default"/>
                <w:b/>
                <w:kern w:val="24"/>
                <w:sz w:val="21"/>
                <w:szCs w:val="21"/>
              </w:rPr>
              <w:t>表2-3</w:t>
            </w:r>
            <w:r>
              <w:rPr>
                <w:rFonts w:hint="eastAsia"/>
                <w:b/>
                <w:kern w:val="24"/>
                <w:sz w:val="21"/>
                <w:szCs w:val="21"/>
                <w:lang w:val="en-US" w:eastAsia="zh-CN"/>
              </w:rPr>
              <w:t xml:space="preserve">  </w:t>
            </w:r>
            <w:r>
              <w:rPr>
                <w:rFonts w:hint="default"/>
                <w:b/>
                <w:kern w:val="24"/>
                <w:sz w:val="21"/>
                <w:szCs w:val="21"/>
              </w:rPr>
              <w:t>项目主要原辅料用量</w:t>
            </w:r>
            <w:r>
              <w:rPr>
                <w:rFonts w:hint="default"/>
                <w:b/>
                <w:kern w:val="24"/>
                <w:sz w:val="21"/>
                <w:szCs w:val="21"/>
                <w:lang w:val="en-US" w:eastAsia="zh-CN"/>
              </w:rPr>
              <w:t>一览表</w:t>
            </w:r>
          </w:p>
          <w:tbl>
            <w:tblPr>
              <w:tblStyle w:val="15"/>
              <w:tblW w:w="50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084"/>
              <w:gridCol w:w="732"/>
              <w:gridCol w:w="500"/>
              <w:gridCol w:w="802"/>
              <w:gridCol w:w="954"/>
              <w:gridCol w:w="1328"/>
              <w:gridCol w:w="2571"/>
            </w:tblGrid>
            <w:tr w14:paraId="2876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38" w:type="pct"/>
                  <w:noWrap w:val="0"/>
                  <w:vAlign w:val="center"/>
                </w:tcPr>
                <w:p w14:paraId="7C9A833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84" w:type="pct"/>
                  <w:gridSpan w:val="2"/>
                  <w:noWrap w:val="0"/>
                  <w:vAlign w:val="center"/>
                </w:tcPr>
                <w:p w14:paraId="789FCE0A">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材料名称</w:t>
                  </w:r>
                </w:p>
              </w:tc>
              <w:tc>
                <w:tcPr>
                  <w:tcW w:w="298" w:type="pct"/>
                  <w:noWrap w:val="0"/>
                  <w:vAlign w:val="center"/>
                </w:tcPr>
                <w:p w14:paraId="3F6AA8F1">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479" w:type="pct"/>
                  <w:noWrap w:val="0"/>
                  <w:vAlign w:val="center"/>
                </w:tcPr>
                <w:p w14:paraId="5E7F458A">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569" w:type="pct"/>
                  <w:noWrap w:val="0"/>
                  <w:vAlign w:val="center"/>
                </w:tcPr>
                <w:p w14:paraId="69F3818B">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最大暂存量</w:t>
                  </w:r>
                </w:p>
              </w:tc>
              <w:tc>
                <w:tcPr>
                  <w:tcW w:w="793" w:type="pct"/>
                  <w:noWrap w:val="0"/>
                  <w:vAlign w:val="center"/>
                </w:tcPr>
                <w:p w14:paraId="3E24B581">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储存方式</w:t>
                  </w:r>
                </w:p>
              </w:tc>
              <w:tc>
                <w:tcPr>
                  <w:tcW w:w="1535" w:type="pct"/>
                  <w:noWrap w:val="0"/>
                  <w:vAlign w:val="center"/>
                </w:tcPr>
                <w:p w14:paraId="362EEC86">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来源</w:t>
                  </w:r>
                </w:p>
              </w:tc>
            </w:tr>
            <w:tr w14:paraId="680C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38" w:type="pct"/>
                  <w:vMerge w:val="restart"/>
                  <w:noWrap w:val="0"/>
                  <w:vAlign w:val="center"/>
                </w:tcPr>
                <w:p w14:paraId="5D660E3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47" w:type="pct"/>
                  <w:vMerge w:val="restart"/>
                  <w:noWrap w:val="0"/>
                  <w:vAlign w:val="center"/>
                </w:tcPr>
                <w:p w14:paraId="76FE69E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砂石料</w:t>
                  </w:r>
                  <w:r>
                    <w:rPr>
                      <w:rFonts w:hint="eastAsia"/>
                      <w:color w:val="auto"/>
                      <w:sz w:val="21"/>
                      <w:szCs w:val="21"/>
                      <w:lang w:eastAsia="zh-CN"/>
                    </w:rPr>
                    <w:t>（</w:t>
                  </w:r>
                  <w:r>
                    <w:rPr>
                      <w:rFonts w:hint="default" w:ascii="Times New Roman" w:hAnsi="Times New Roman" w:cs="Times New Roman"/>
                      <w:color w:val="auto"/>
                      <w:sz w:val="21"/>
                      <w:szCs w:val="21"/>
                      <w:lang w:val="en-US" w:eastAsia="zh-CN"/>
                    </w:rPr>
                    <w:t>含水率约10%</w:t>
                  </w:r>
                  <w:r>
                    <w:rPr>
                      <w:rFonts w:hint="default" w:ascii="Times New Roman" w:hAnsi="Times New Roman" w:cs="Times New Roman"/>
                      <w:color w:val="auto"/>
                      <w:sz w:val="21"/>
                      <w:szCs w:val="21"/>
                      <w:lang w:eastAsia="zh-CN"/>
                    </w:rPr>
                    <w:t>）</w:t>
                  </w:r>
                </w:p>
              </w:tc>
              <w:tc>
                <w:tcPr>
                  <w:tcW w:w="437" w:type="pct"/>
                  <w:tcBorders>
                    <w:bottom w:val="single" w:color="000000" w:sz="4" w:space="0"/>
                  </w:tcBorders>
                  <w:noWrap w:val="0"/>
                  <w:vAlign w:val="center"/>
                </w:tcPr>
                <w:p w14:paraId="72BC818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AC13</w:t>
                  </w:r>
                </w:p>
              </w:tc>
              <w:tc>
                <w:tcPr>
                  <w:tcW w:w="298" w:type="pct"/>
                  <w:tcBorders>
                    <w:bottom w:val="single" w:color="000000" w:sz="4" w:space="0"/>
                  </w:tcBorders>
                  <w:noWrap w:val="0"/>
                  <w:vAlign w:val="center"/>
                </w:tcPr>
                <w:p w14:paraId="197F069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w:t>
                  </w:r>
                </w:p>
              </w:tc>
              <w:tc>
                <w:tcPr>
                  <w:tcW w:w="479" w:type="pct"/>
                  <w:tcBorders>
                    <w:bottom w:val="single" w:color="000000" w:sz="4" w:space="0"/>
                  </w:tcBorders>
                  <w:noWrap w:val="0"/>
                  <w:vAlign w:val="center"/>
                </w:tcPr>
                <w:p w14:paraId="4659280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27600</w:t>
                  </w:r>
                </w:p>
              </w:tc>
              <w:tc>
                <w:tcPr>
                  <w:tcW w:w="569" w:type="pct"/>
                  <w:tcBorders>
                    <w:bottom w:val="single" w:color="000000" w:sz="4" w:space="0"/>
                  </w:tcBorders>
                  <w:noWrap w:val="0"/>
                  <w:vAlign w:val="center"/>
                </w:tcPr>
                <w:p w14:paraId="6E5D5BD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93" w:type="pct"/>
                  <w:vMerge w:val="restart"/>
                  <w:noWrap w:val="0"/>
                  <w:vAlign w:val="center"/>
                </w:tcPr>
                <w:p w14:paraId="165F7CAA">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砂石料</w:t>
                  </w:r>
                  <w:r>
                    <w:rPr>
                      <w:rFonts w:hint="eastAsia" w:ascii="Times New Roman" w:hAnsi="Times New Roman" w:cs="Times New Roman"/>
                      <w:color w:val="000000" w:themeColor="text1"/>
                      <w:sz w:val="21"/>
                      <w:szCs w:val="21"/>
                      <w:lang w:val="en-US" w:eastAsia="zh-CN"/>
                      <w14:textFill>
                        <w14:solidFill>
                          <w14:schemeClr w14:val="tx1"/>
                        </w14:solidFill>
                      </w14:textFill>
                    </w:rPr>
                    <w:t>堆场</w:t>
                  </w:r>
                </w:p>
              </w:tc>
              <w:tc>
                <w:tcPr>
                  <w:tcW w:w="1535" w:type="pct"/>
                  <w:vMerge w:val="restart"/>
                  <w:noWrap w:val="0"/>
                  <w:vAlign w:val="center"/>
                </w:tcPr>
                <w:p w14:paraId="2DDD3DBF">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云南龙泉矿业开发有限公司“45万吨/年普通建筑材料用石灰岩露天开采技术改造项目”3#堆料场</w:t>
                  </w:r>
                </w:p>
              </w:tc>
            </w:tr>
            <w:tr w14:paraId="3765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38" w:type="pct"/>
                  <w:vMerge w:val="continue"/>
                  <w:noWrap w:val="0"/>
                  <w:vAlign w:val="center"/>
                </w:tcPr>
                <w:p w14:paraId="399A72C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rPr>
                  </w:pPr>
                </w:p>
              </w:tc>
              <w:tc>
                <w:tcPr>
                  <w:tcW w:w="647" w:type="pct"/>
                  <w:vMerge w:val="continue"/>
                  <w:noWrap w:val="0"/>
                  <w:vAlign w:val="center"/>
                </w:tcPr>
                <w:p w14:paraId="773CF131">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437" w:type="pct"/>
                  <w:tcBorders>
                    <w:bottom w:val="single" w:color="000000" w:sz="4" w:space="0"/>
                  </w:tcBorders>
                  <w:noWrap w:val="0"/>
                  <w:vAlign w:val="center"/>
                </w:tcPr>
                <w:p w14:paraId="23DDB32B">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AC16</w:t>
                  </w:r>
                </w:p>
              </w:tc>
              <w:tc>
                <w:tcPr>
                  <w:tcW w:w="298" w:type="pct"/>
                  <w:tcBorders>
                    <w:bottom w:val="single" w:color="000000" w:sz="4" w:space="0"/>
                  </w:tcBorders>
                  <w:noWrap w:val="0"/>
                  <w:vAlign w:val="center"/>
                </w:tcPr>
                <w:p w14:paraId="7019D31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479" w:type="pct"/>
                  <w:tcBorders>
                    <w:bottom w:val="single" w:color="000000" w:sz="4" w:space="0"/>
                  </w:tcBorders>
                  <w:noWrap w:val="0"/>
                  <w:vAlign w:val="center"/>
                </w:tcPr>
                <w:p w14:paraId="0D6B00B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32200</w:t>
                  </w:r>
                </w:p>
              </w:tc>
              <w:tc>
                <w:tcPr>
                  <w:tcW w:w="569" w:type="pct"/>
                  <w:tcBorders>
                    <w:bottom w:val="single" w:color="000000" w:sz="4" w:space="0"/>
                  </w:tcBorders>
                  <w:shd w:val="clear" w:color="auto" w:fill="auto"/>
                  <w:noWrap w:val="0"/>
                  <w:vAlign w:val="center"/>
                </w:tcPr>
                <w:p w14:paraId="2E6900E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93" w:type="pct"/>
                  <w:vMerge w:val="continue"/>
                  <w:shd w:val="clear" w:color="auto" w:fill="auto"/>
                  <w:noWrap w:val="0"/>
                  <w:vAlign w:val="center"/>
                </w:tcPr>
                <w:p w14:paraId="6809CA7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1535" w:type="pct"/>
                  <w:vMerge w:val="continue"/>
                  <w:noWrap w:val="0"/>
                  <w:vAlign w:val="center"/>
                </w:tcPr>
                <w:p w14:paraId="228F216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58CE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38" w:type="pct"/>
                  <w:vMerge w:val="continue"/>
                  <w:tcBorders>
                    <w:bottom w:val="single" w:color="000000" w:sz="4" w:space="0"/>
                  </w:tcBorders>
                  <w:noWrap w:val="0"/>
                  <w:vAlign w:val="center"/>
                </w:tcPr>
                <w:p w14:paraId="7255EB2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rPr>
                  </w:pPr>
                </w:p>
              </w:tc>
              <w:tc>
                <w:tcPr>
                  <w:tcW w:w="647" w:type="pct"/>
                  <w:vMerge w:val="continue"/>
                  <w:tcBorders>
                    <w:bottom w:val="single" w:color="000000" w:sz="4" w:space="0"/>
                  </w:tcBorders>
                  <w:noWrap w:val="0"/>
                  <w:vAlign w:val="center"/>
                </w:tcPr>
                <w:p w14:paraId="162C00BA">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437" w:type="pct"/>
                  <w:tcBorders>
                    <w:bottom w:val="single" w:color="000000" w:sz="4" w:space="0"/>
                  </w:tcBorders>
                  <w:noWrap w:val="0"/>
                  <w:vAlign w:val="center"/>
                </w:tcPr>
                <w:p w14:paraId="5C02F23C">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AC20</w:t>
                  </w:r>
                </w:p>
              </w:tc>
              <w:tc>
                <w:tcPr>
                  <w:tcW w:w="298" w:type="pct"/>
                  <w:tcBorders>
                    <w:bottom w:val="single" w:color="000000" w:sz="4" w:space="0"/>
                  </w:tcBorders>
                  <w:noWrap w:val="0"/>
                  <w:vAlign w:val="center"/>
                </w:tcPr>
                <w:p w14:paraId="72D5D56E">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479" w:type="pct"/>
                  <w:tcBorders>
                    <w:bottom w:val="single" w:color="000000" w:sz="4" w:space="0"/>
                  </w:tcBorders>
                  <w:noWrap w:val="0"/>
                  <w:vAlign w:val="center"/>
                </w:tcPr>
                <w:p w14:paraId="29F7A59F">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32200</w:t>
                  </w:r>
                </w:p>
              </w:tc>
              <w:tc>
                <w:tcPr>
                  <w:tcW w:w="569" w:type="pct"/>
                  <w:tcBorders>
                    <w:bottom w:val="single" w:color="000000" w:sz="4" w:space="0"/>
                  </w:tcBorders>
                  <w:shd w:val="clear" w:color="auto" w:fill="auto"/>
                  <w:noWrap w:val="0"/>
                  <w:vAlign w:val="center"/>
                </w:tcPr>
                <w:p w14:paraId="0EB0238B">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793" w:type="pct"/>
                  <w:vMerge w:val="continue"/>
                  <w:tcBorders>
                    <w:bottom w:val="single" w:color="000000" w:sz="4" w:space="0"/>
                  </w:tcBorders>
                  <w:shd w:val="clear" w:color="auto" w:fill="auto"/>
                  <w:noWrap w:val="0"/>
                  <w:vAlign w:val="center"/>
                </w:tcPr>
                <w:p w14:paraId="32115D3E">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color w:val="000000" w:themeColor="text1"/>
                      <w:sz w:val="21"/>
                      <w:szCs w:val="21"/>
                      <w:lang w:val="en-US" w:eastAsia="zh-CN"/>
                      <w14:textFill>
                        <w14:solidFill>
                          <w14:schemeClr w14:val="tx1"/>
                        </w14:solidFill>
                      </w14:textFill>
                    </w:rPr>
                  </w:pPr>
                </w:p>
              </w:tc>
              <w:tc>
                <w:tcPr>
                  <w:tcW w:w="1535" w:type="pct"/>
                  <w:vMerge w:val="continue"/>
                  <w:tcBorders>
                    <w:bottom w:val="single" w:color="000000" w:sz="4" w:space="0"/>
                  </w:tcBorders>
                  <w:noWrap w:val="0"/>
                  <w:vAlign w:val="center"/>
                </w:tcPr>
                <w:p w14:paraId="6389599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r w14:paraId="785A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38" w:type="pct"/>
                  <w:tcBorders>
                    <w:top w:val="single" w:color="000000" w:sz="4" w:space="0"/>
                  </w:tcBorders>
                  <w:noWrap w:val="0"/>
                  <w:vAlign w:val="center"/>
                </w:tcPr>
                <w:p w14:paraId="10B61716">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084" w:type="pct"/>
                  <w:gridSpan w:val="2"/>
                  <w:tcBorders>
                    <w:top w:val="single" w:color="000000" w:sz="4" w:space="0"/>
                  </w:tcBorders>
                  <w:noWrap w:val="0"/>
                  <w:vAlign w:val="center"/>
                </w:tcPr>
                <w:p w14:paraId="65089E0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沥青</w:t>
                  </w:r>
                </w:p>
              </w:tc>
              <w:tc>
                <w:tcPr>
                  <w:tcW w:w="298" w:type="pct"/>
                  <w:tcBorders>
                    <w:top w:val="single" w:color="000000" w:sz="4" w:space="0"/>
                  </w:tcBorders>
                  <w:noWrap w:val="0"/>
                  <w:vAlign w:val="center"/>
                </w:tcPr>
                <w:p w14:paraId="0A92408F">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w:t>
                  </w:r>
                </w:p>
              </w:tc>
              <w:tc>
                <w:tcPr>
                  <w:tcW w:w="479" w:type="pct"/>
                  <w:tcBorders>
                    <w:top w:val="single" w:color="000000" w:sz="4" w:space="0"/>
                  </w:tcBorders>
                  <w:noWrap w:val="0"/>
                  <w:vAlign w:val="center"/>
                </w:tcPr>
                <w:p w14:paraId="1248424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4000</w:t>
                  </w:r>
                </w:p>
              </w:tc>
              <w:tc>
                <w:tcPr>
                  <w:tcW w:w="569" w:type="pct"/>
                  <w:tcBorders>
                    <w:top w:val="single" w:color="000000" w:sz="4" w:space="0"/>
                  </w:tcBorders>
                  <w:noWrap w:val="0"/>
                  <w:vAlign w:val="center"/>
                </w:tcPr>
                <w:p w14:paraId="306B407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180</w:t>
                  </w:r>
                </w:p>
              </w:tc>
              <w:tc>
                <w:tcPr>
                  <w:tcW w:w="793" w:type="pct"/>
                  <w:tcBorders>
                    <w:top w:val="single" w:color="000000" w:sz="4" w:space="0"/>
                  </w:tcBorders>
                  <w:noWrap w:val="0"/>
                  <w:vAlign w:val="center"/>
                </w:tcPr>
                <w:p w14:paraId="07B22E98">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沥青储罐</w:t>
                  </w:r>
                </w:p>
              </w:tc>
              <w:tc>
                <w:tcPr>
                  <w:tcW w:w="1535" w:type="pct"/>
                  <w:tcBorders>
                    <w:top w:val="single" w:color="000000" w:sz="4" w:space="0"/>
                  </w:tcBorders>
                  <w:noWrap w:val="0"/>
                  <w:vAlign w:val="center"/>
                </w:tcPr>
                <w:p w14:paraId="0273C25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外购</w:t>
                  </w:r>
                </w:p>
              </w:tc>
            </w:tr>
            <w:tr w14:paraId="47B1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38" w:type="pct"/>
                  <w:tcBorders>
                    <w:top w:val="single" w:color="000000" w:sz="4" w:space="0"/>
                  </w:tcBorders>
                  <w:noWrap w:val="0"/>
                  <w:vAlign w:val="center"/>
                </w:tcPr>
                <w:p w14:paraId="0FC18C1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084" w:type="pct"/>
                  <w:gridSpan w:val="2"/>
                  <w:tcBorders>
                    <w:top w:val="single" w:color="000000" w:sz="4" w:space="0"/>
                  </w:tcBorders>
                  <w:noWrap w:val="0"/>
                  <w:vAlign w:val="center"/>
                </w:tcPr>
                <w:p w14:paraId="431F71F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矿粉</w:t>
                  </w:r>
                </w:p>
              </w:tc>
              <w:tc>
                <w:tcPr>
                  <w:tcW w:w="298" w:type="pct"/>
                  <w:tcBorders>
                    <w:top w:val="single" w:color="000000" w:sz="4" w:space="0"/>
                  </w:tcBorders>
                  <w:noWrap w:val="0"/>
                  <w:vAlign w:val="center"/>
                </w:tcPr>
                <w:p w14:paraId="3E939397">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w:t>
                  </w:r>
                </w:p>
              </w:tc>
              <w:tc>
                <w:tcPr>
                  <w:tcW w:w="479" w:type="pct"/>
                  <w:tcBorders>
                    <w:top w:val="single" w:color="000000" w:sz="4" w:space="0"/>
                  </w:tcBorders>
                  <w:noWrap w:val="0"/>
                  <w:vAlign w:val="center"/>
                </w:tcPr>
                <w:p w14:paraId="35C0EF05">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4000</w:t>
                  </w:r>
                </w:p>
              </w:tc>
              <w:tc>
                <w:tcPr>
                  <w:tcW w:w="569" w:type="pct"/>
                  <w:tcBorders>
                    <w:top w:val="single" w:color="000000" w:sz="4" w:space="0"/>
                  </w:tcBorders>
                  <w:noWrap w:val="0"/>
                  <w:vAlign w:val="center"/>
                </w:tcPr>
                <w:p w14:paraId="33A77DC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793" w:type="pct"/>
                  <w:tcBorders>
                    <w:top w:val="single" w:color="000000" w:sz="4" w:space="0"/>
                  </w:tcBorders>
                  <w:noWrap w:val="0"/>
                  <w:vAlign w:val="center"/>
                </w:tcPr>
                <w:p w14:paraId="15D6E8A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矿粉筒仓</w:t>
                  </w:r>
                </w:p>
              </w:tc>
              <w:tc>
                <w:tcPr>
                  <w:tcW w:w="1535" w:type="pct"/>
                  <w:tcBorders>
                    <w:top w:val="single" w:color="000000" w:sz="4" w:space="0"/>
                  </w:tcBorders>
                  <w:noWrap w:val="0"/>
                  <w:vAlign w:val="center"/>
                </w:tcPr>
                <w:p w14:paraId="3A7B29A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外购</w:t>
                  </w:r>
                </w:p>
              </w:tc>
            </w:tr>
            <w:tr w14:paraId="3330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38" w:type="pct"/>
                  <w:tcBorders>
                    <w:top w:val="single" w:color="000000" w:sz="4" w:space="0"/>
                  </w:tcBorders>
                  <w:noWrap w:val="0"/>
                  <w:vAlign w:val="center"/>
                </w:tcPr>
                <w:p w14:paraId="3F2AF1A2">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084" w:type="pct"/>
                  <w:gridSpan w:val="2"/>
                  <w:tcBorders>
                    <w:top w:val="single" w:color="000000" w:sz="4" w:space="0"/>
                  </w:tcBorders>
                  <w:noWrap w:val="0"/>
                  <w:vAlign w:val="center"/>
                </w:tcPr>
                <w:p w14:paraId="4057939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eastAsia="宋体"/>
                      <w:spacing w:val="-3"/>
                      <w:sz w:val="21"/>
                      <w:szCs w:val="21"/>
                      <w:lang w:val="en-US" w:eastAsia="zh-CN"/>
                    </w:rPr>
                  </w:pPr>
                  <w:r>
                    <w:rPr>
                      <w:rFonts w:hint="eastAsia" w:cs="Times New Roman"/>
                      <w:color w:val="auto"/>
                      <w:kern w:val="0"/>
                      <w:sz w:val="21"/>
                      <w:szCs w:val="21"/>
                      <w:lang w:val="en-US" w:eastAsia="zh-CN" w:bidi="ar"/>
                    </w:rPr>
                    <w:t>柴</w:t>
                  </w:r>
                  <w:r>
                    <w:rPr>
                      <w:rFonts w:hint="eastAsia"/>
                      <w:spacing w:val="-3"/>
                      <w:sz w:val="21"/>
                      <w:szCs w:val="21"/>
                      <w:lang w:val="en-US" w:eastAsia="zh-CN"/>
                    </w:rPr>
                    <w:t>油</w:t>
                  </w:r>
                </w:p>
              </w:tc>
              <w:tc>
                <w:tcPr>
                  <w:tcW w:w="298" w:type="pct"/>
                  <w:tcBorders>
                    <w:top w:val="single" w:color="000000" w:sz="4" w:space="0"/>
                  </w:tcBorders>
                  <w:noWrap w:val="0"/>
                  <w:vAlign w:val="center"/>
                </w:tcPr>
                <w:p w14:paraId="3C2A1CD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w:t>
                  </w:r>
                </w:p>
              </w:tc>
              <w:tc>
                <w:tcPr>
                  <w:tcW w:w="479" w:type="pct"/>
                  <w:tcBorders>
                    <w:top w:val="single" w:color="000000" w:sz="4" w:space="0"/>
                  </w:tcBorders>
                  <w:noWrap w:val="0"/>
                  <w:vAlign w:val="center"/>
                </w:tcPr>
                <w:p w14:paraId="625CD53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150</w:t>
                  </w:r>
                </w:p>
              </w:tc>
              <w:tc>
                <w:tcPr>
                  <w:tcW w:w="569" w:type="pct"/>
                  <w:tcBorders>
                    <w:top w:val="single" w:color="000000" w:sz="4" w:space="0"/>
                  </w:tcBorders>
                  <w:noWrap w:val="0"/>
                  <w:vAlign w:val="center"/>
                </w:tcPr>
                <w:p w14:paraId="5A005446">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793" w:type="pct"/>
                  <w:tcBorders>
                    <w:top w:val="single" w:color="000000" w:sz="4" w:space="0"/>
                  </w:tcBorders>
                  <w:noWrap w:val="0"/>
                  <w:vAlign w:val="center"/>
                </w:tcPr>
                <w:p w14:paraId="1CAA368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柴</w:t>
                  </w:r>
                  <w:r>
                    <w:rPr>
                      <w:rFonts w:hint="eastAsia" w:ascii="Times New Roman" w:hAnsi="Times New Roman" w:eastAsia="宋体" w:cs="Times New Roman"/>
                      <w:color w:val="auto"/>
                      <w:sz w:val="21"/>
                      <w:szCs w:val="21"/>
                      <w:lang w:val="en-US" w:eastAsia="zh-CN"/>
                    </w:rPr>
                    <w:t>油储罐</w:t>
                  </w:r>
                </w:p>
              </w:tc>
              <w:tc>
                <w:tcPr>
                  <w:tcW w:w="1535" w:type="pct"/>
                  <w:tcBorders>
                    <w:top w:val="single" w:color="000000" w:sz="4" w:space="0"/>
                  </w:tcBorders>
                  <w:noWrap w:val="0"/>
                  <w:vAlign w:val="center"/>
                </w:tcPr>
                <w:p w14:paraId="58C227E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外购</w:t>
                  </w:r>
                  <w:r>
                    <w:rPr>
                      <w:rFonts w:hint="eastAsia" w:ascii="Times New Roman" w:hAnsi="Times New Roman" w:cs="Times New Roman"/>
                      <w:color w:val="auto"/>
                      <w:sz w:val="21"/>
                      <w:szCs w:val="21"/>
                      <w:lang w:val="en-US" w:eastAsia="zh-CN"/>
                    </w:rPr>
                    <w:t xml:space="preserve">于云南迪翁科技有限公司                                            </w:t>
                  </w:r>
                </w:p>
              </w:tc>
            </w:tr>
            <w:tr w14:paraId="3500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38" w:type="pct"/>
                  <w:tcBorders>
                    <w:top w:val="single" w:color="000000" w:sz="4" w:space="0"/>
                  </w:tcBorders>
                  <w:noWrap w:val="0"/>
                  <w:vAlign w:val="center"/>
                </w:tcPr>
                <w:p w14:paraId="3FC1E8E4">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084" w:type="pct"/>
                  <w:gridSpan w:val="2"/>
                  <w:tcBorders>
                    <w:top w:val="single" w:color="000000" w:sz="4" w:space="0"/>
                  </w:tcBorders>
                  <w:noWrap w:val="0"/>
                  <w:vAlign w:val="center"/>
                </w:tcPr>
                <w:p w14:paraId="2B26A1B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spacing w:val="-3"/>
                      <w:sz w:val="21"/>
                      <w:szCs w:val="21"/>
                      <w:highlight w:val="none"/>
                      <w:lang w:val="en-US" w:eastAsia="zh-CN"/>
                    </w:rPr>
                  </w:pPr>
                  <w:r>
                    <w:rPr>
                      <w:rFonts w:hint="eastAsia"/>
                      <w:spacing w:val="-3"/>
                      <w:sz w:val="21"/>
                      <w:szCs w:val="21"/>
                      <w:highlight w:val="none"/>
                      <w:lang w:val="en-US" w:eastAsia="zh-CN"/>
                    </w:rPr>
                    <w:t>导热油</w:t>
                  </w:r>
                </w:p>
              </w:tc>
              <w:tc>
                <w:tcPr>
                  <w:tcW w:w="298" w:type="pct"/>
                  <w:tcBorders>
                    <w:top w:val="single" w:color="000000" w:sz="4" w:space="0"/>
                  </w:tcBorders>
                  <w:noWrap w:val="0"/>
                  <w:vAlign w:val="center"/>
                </w:tcPr>
                <w:p w14:paraId="72E30163">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79" w:type="pct"/>
                  <w:tcBorders>
                    <w:top w:val="single" w:color="000000" w:sz="4" w:space="0"/>
                  </w:tcBorders>
                  <w:noWrap w:val="0"/>
                  <w:vAlign w:val="center"/>
                </w:tcPr>
                <w:p w14:paraId="62B73E5F">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p>
              </w:tc>
              <w:tc>
                <w:tcPr>
                  <w:tcW w:w="569" w:type="pct"/>
                  <w:tcBorders>
                    <w:top w:val="single" w:color="000000" w:sz="4" w:space="0"/>
                  </w:tcBorders>
                  <w:noWrap w:val="0"/>
                  <w:vAlign w:val="center"/>
                </w:tcPr>
                <w:p w14:paraId="34E9295C">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3" w:type="pct"/>
                  <w:tcBorders>
                    <w:top w:val="single" w:color="000000" w:sz="4" w:space="0"/>
                  </w:tcBorders>
                  <w:noWrap w:val="0"/>
                  <w:vAlign w:val="center"/>
                </w:tcPr>
                <w:p w14:paraId="5117BEF0">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w:t>
                  </w:r>
                </w:p>
              </w:tc>
              <w:tc>
                <w:tcPr>
                  <w:tcW w:w="1535" w:type="pct"/>
                  <w:tcBorders>
                    <w:top w:val="single" w:color="000000" w:sz="4" w:space="0"/>
                  </w:tcBorders>
                  <w:noWrap w:val="0"/>
                  <w:vAlign w:val="center"/>
                </w:tcPr>
                <w:p w14:paraId="4E54A35E">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外购</w:t>
                  </w:r>
                </w:p>
              </w:tc>
            </w:tr>
            <w:tr w14:paraId="45EB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 w:type="pct"/>
                  <w:tcBorders>
                    <w:top w:val="single" w:color="auto" w:sz="4" w:space="0"/>
                    <w:bottom w:val="single" w:color="auto" w:sz="4" w:space="0"/>
                  </w:tcBorders>
                  <w:shd w:val="clear" w:color="auto" w:fill="auto"/>
                  <w:noWrap w:val="0"/>
                  <w:vAlign w:val="center"/>
                </w:tcPr>
                <w:p w14:paraId="7A3FE29D">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7</w:t>
                  </w:r>
                </w:p>
              </w:tc>
              <w:tc>
                <w:tcPr>
                  <w:tcW w:w="1084" w:type="pct"/>
                  <w:gridSpan w:val="2"/>
                  <w:tcBorders>
                    <w:top w:val="single" w:color="auto" w:sz="4" w:space="0"/>
                    <w:bottom w:val="single" w:color="auto" w:sz="4" w:space="0"/>
                  </w:tcBorders>
                  <w:noWrap w:val="0"/>
                  <w:vAlign w:val="center"/>
                </w:tcPr>
                <w:p w14:paraId="24E43926">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水</w:t>
                  </w:r>
                </w:p>
              </w:tc>
              <w:tc>
                <w:tcPr>
                  <w:tcW w:w="298" w:type="pct"/>
                  <w:tcBorders>
                    <w:top w:val="single" w:color="auto" w:sz="4" w:space="0"/>
                    <w:bottom w:val="single" w:color="auto" w:sz="4" w:space="0"/>
                  </w:tcBorders>
                  <w:noWrap w:val="0"/>
                  <w:vAlign w:val="center"/>
                </w:tcPr>
                <w:p w14:paraId="3C869121">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m</w:t>
                  </w:r>
                  <w:r>
                    <w:rPr>
                      <w:rFonts w:hint="eastAsia" w:cs="Times New Roman"/>
                      <w:color w:val="auto"/>
                      <w:sz w:val="21"/>
                      <w:szCs w:val="21"/>
                      <w:vertAlign w:val="superscript"/>
                      <w:lang w:val="en-US" w:eastAsia="zh-CN"/>
                    </w:rPr>
                    <w:t>3</w:t>
                  </w:r>
                </w:p>
              </w:tc>
              <w:tc>
                <w:tcPr>
                  <w:tcW w:w="479" w:type="pct"/>
                  <w:tcBorders>
                    <w:top w:val="single" w:color="auto" w:sz="4" w:space="0"/>
                    <w:bottom w:val="single" w:color="auto" w:sz="4" w:space="0"/>
                  </w:tcBorders>
                  <w:noWrap w:val="0"/>
                  <w:vAlign w:val="center"/>
                </w:tcPr>
                <w:p w14:paraId="3F61A5FE">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1000</w:t>
                  </w:r>
                </w:p>
              </w:tc>
              <w:tc>
                <w:tcPr>
                  <w:tcW w:w="569" w:type="pct"/>
                  <w:tcBorders>
                    <w:top w:val="single" w:color="auto" w:sz="4" w:space="0"/>
                    <w:bottom w:val="single" w:color="auto" w:sz="4" w:space="0"/>
                  </w:tcBorders>
                  <w:noWrap w:val="0"/>
                  <w:vAlign w:val="center"/>
                </w:tcPr>
                <w:p w14:paraId="55AE4583">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793" w:type="pct"/>
                  <w:tcBorders>
                    <w:top w:val="single" w:color="auto" w:sz="4" w:space="0"/>
                    <w:bottom w:val="single" w:color="auto" w:sz="4" w:space="0"/>
                  </w:tcBorders>
                  <w:noWrap w:val="0"/>
                  <w:vAlign w:val="center"/>
                </w:tcPr>
                <w:p w14:paraId="3437FAE4">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color w:val="auto"/>
                      <w:sz w:val="21"/>
                      <w:szCs w:val="21"/>
                      <w:lang w:val="en-US" w:eastAsia="zh-CN"/>
                    </w:rPr>
                  </w:pPr>
                  <w:r>
                    <w:rPr>
                      <w:rFonts w:hint="eastAsia"/>
                      <w:color w:val="auto"/>
                      <w:sz w:val="21"/>
                      <w:szCs w:val="21"/>
                      <w:lang w:val="en-US" w:eastAsia="zh-CN"/>
                    </w:rPr>
                    <w:t>/</w:t>
                  </w:r>
                </w:p>
              </w:tc>
              <w:tc>
                <w:tcPr>
                  <w:tcW w:w="1535" w:type="pct"/>
                  <w:tcBorders>
                    <w:top w:val="single" w:color="auto" w:sz="4" w:space="0"/>
                    <w:bottom w:val="single" w:color="auto" w:sz="4" w:space="0"/>
                  </w:tcBorders>
                  <w:noWrap w:val="0"/>
                  <w:vAlign w:val="center"/>
                </w:tcPr>
                <w:p w14:paraId="236D5BFB">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67AF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8" w:type="pct"/>
                  <w:tcBorders>
                    <w:top w:val="single" w:color="auto" w:sz="4" w:space="0"/>
                    <w:bottom w:val="single" w:color="auto" w:sz="4" w:space="0"/>
                  </w:tcBorders>
                  <w:noWrap w:val="0"/>
                  <w:vAlign w:val="center"/>
                </w:tcPr>
                <w:p w14:paraId="2033C5A9">
                  <w:pPr>
                    <w:pStyle w:val="14"/>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084" w:type="pct"/>
                  <w:gridSpan w:val="2"/>
                  <w:tcBorders>
                    <w:top w:val="single" w:color="auto" w:sz="4" w:space="0"/>
                    <w:bottom w:val="single" w:color="auto" w:sz="4" w:space="0"/>
                  </w:tcBorders>
                  <w:noWrap w:val="0"/>
                  <w:vAlign w:val="center"/>
                </w:tcPr>
                <w:p w14:paraId="1EAB6E59">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电</w:t>
                  </w:r>
                </w:p>
              </w:tc>
              <w:tc>
                <w:tcPr>
                  <w:tcW w:w="298" w:type="pct"/>
                  <w:tcBorders>
                    <w:top w:val="single" w:color="auto" w:sz="4" w:space="0"/>
                    <w:bottom w:val="single" w:color="auto" w:sz="4" w:space="0"/>
                  </w:tcBorders>
                  <w:noWrap w:val="0"/>
                  <w:vAlign w:val="center"/>
                </w:tcPr>
                <w:p w14:paraId="0CAFF73B">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kw·h</w:t>
                  </w:r>
                </w:p>
              </w:tc>
              <w:tc>
                <w:tcPr>
                  <w:tcW w:w="479" w:type="pct"/>
                  <w:tcBorders>
                    <w:top w:val="single" w:color="auto" w:sz="4" w:space="0"/>
                    <w:bottom w:val="single" w:color="auto" w:sz="4" w:space="0"/>
                  </w:tcBorders>
                  <w:noWrap w:val="0"/>
                  <w:vAlign w:val="center"/>
                </w:tcPr>
                <w:p w14:paraId="3DD690EE">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3</w:t>
                  </w:r>
                  <w:r>
                    <w:rPr>
                      <w:rFonts w:hint="default" w:ascii="Times New Roman" w:hAnsi="Times New Roman" w:eastAsia="宋体" w:cs="Times New Roman"/>
                      <w:color w:val="auto"/>
                      <w:kern w:val="0"/>
                      <w:sz w:val="21"/>
                      <w:szCs w:val="21"/>
                      <w:vertAlign w:val="baseline"/>
                      <w:lang w:val="en-US" w:eastAsia="zh-CN" w:bidi="ar"/>
                    </w:rPr>
                    <w:t>万</w:t>
                  </w:r>
                </w:p>
              </w:tc>
              <w:tc>
                <w:tcPr>
                  <w:tcW w:w="569" w:type="pct"/>
                  <w:tcBorders>
                    <w:top w:val="single" w:color="auto" w:sz="4" w:space="0"/>
                    <w:bottom w:val="single" w:color="auto" w:sz="4" w:space="0"/>
                  </w:tcBorders>
                  <w:noWrap w:val="0"/>
                  <w:vAlign w:val="center"/>
                </w:tcPr>
                <w:p w14:paraId="0B2AFE10">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793" w:type="pct"/>
                  <w:tcBorders>
                    <w:top w:val="single" w:color="auto" w:sz="4" w:space="0"/>
                    <w:bottom w:val="single" w:color="auto" w:sz="4" w:space="0"/>
                  </w:tcBorders>
                  <w:noWrap w:val="0"/>
                  <w:vAlign w:val="center"/>
                </w:tcPr>
                <w:p w14:paraId="103FAD72">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cs="Times New Roman"/>
                      <w:color w:val="auto"/>
                      <w:sz w:val="21"/>
                      <w:szCs w:val="21"/>
                      <w:lang w:val="en-US" w:eastAsia="zh-CN"/>
                    </w:rPr>
                  </w:pPr>
                  <w:r>
                    <w:rPr>
                      <w:rFonts w:hint="eastAsia" w:cs="Times New Roman"/>
                      <w:color w:val="auto"/>
                      <w:sz w:val="21"/>
                      <w:szCs w:val="21"/>
                      <w:lang w:val="en-US" w:eastAsia="zh-CN"/>
                    </w:rPr>
                    <w:t>/</w:t>
                  </w:r>
                </w:p>
              </w:tc>
              <w:tc>
                <w:tcPr>
                  <w:tcW w:w="1535" w:type="pct"/>
                  <w:tcBorders>
                    <w:top w:val="single" w:color="auto" w:sz="4" w:space="0"/>
                    <w:bottom w:val="single" w:color="auto" w:sz="4" w:space="0"/>
                  </w:tcBorders>
                  <w:noWrap w:val="0"/>
                  <w:vAlign w:val="center"/>
                </w:tcPr>
                <w:p w14:paraId="41A33AB9">
                  <w:pPr>
                    <w:pStyle w:val="20"/>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14:paraId="4BC98418">
            <w:pPr>
              <w:keepNext w:val="0"/>
              <w:keepLines w:val="0"/>
              <w:pageBreakBefore w:val="0"/>
              <w:widowControl/>
              <w:suppressLineNumbers w:val="0"/>
              <w:kinsoku/>
              <w:wordWrap/>
              <w:overflowPunct/>
              <w:topLinePunct w:val="0"/>
              <w:autoSpaceDE/>
              <w:autoSpaceDN/>
              <w:bidi w:val="0"/>
              <w:adjustRightInd/>
              <w:snapToGrid/>
              <w:spacing w:before="157" w:beforeLines="5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主要原辅材料性质如下：</w:t>
            </w:r>
          </w:p>
          <w:p w14:paraId="542E6B7E">
            <w:pPr>
              <w:keepNext/>
              <w:widowControl/>
              <w:ind w:firstLine="0" w:firstLineChars="0"/>
              <w:jc w:val="center"/>
              <w:rPr>
                <w:rFonts w:hint="default"/>
                <w:b/>
                <w:kern w:val="24"/>
                <w:sz w:val="21"/>
                <w:szCs w:val="21"/>
              </w:rPr>
            </w:pPr>
            <w:r>
              <w:rPr>
                <w:rFonts w:hint="default"/>
                <w:b/>
                <w:kern w:val="24"/>
                <w:sz w:val="21"/>
                <w:szCs w:val="21"/>
                <w:lang w:val="en-US" w:eastAsia="zh-CN"/>
              </w:rPr>
              <w:t>表2-4</w:t>
            </w:r>
            <w:r>
              <w:rPr>
                <w:rFonts w:hint="eastAsia"/>
                <w:b/>
                <w:kern w:val="24"/>
                <w:sz w:val="21"/>
                <w:szCs w:val="21"/>
                <w:lang w:val="en-US" w:eastAsia="zh-CN"/>
              </w:rPr>
              <w:t xml:space="preserve">  </w:t>
            </w:r>
            <w:r>
              <w:rPr>
                <w:rFonts w:hint="default"/>
                <w:b/>
                <w:kern w:val="24"/>
                <w:sz w:val="21"/>
                <w:szCs w:val="21"/>
                <w:lang w:val="en-US" w:eastAsia="zh-CN"/>
              </w:rPr>
              <w:t>胶粘剂成分理化性质一览表</w:t>
            </w:r>
          </w:p>
          <w:tbl>
            <w:tblPr>
              <w:tblStyle w:val="16"/>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7292"/>
            </w:tblGrid>
            <w:tr w14:paraId="307E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91" w:type="pct"/>
                  <w:noWrap w:val="0"/>
                  <w:vAlign w:val="center"/>
                </w:tcPr>
                <w:p w14:paraId="1AB4CBA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名称</w:t>
                  </w:r>
                </w:p>
              </w:tc>
              <w:tc>
                <w:tcPr>
                  <w:tcW w:w="4408" w:type="pct"/>
                  <w:noWrap w:val="0"/>
                  <w:vAlign w:val="center"/>
                </w:tcPr>
                <w:p w14:paraId="560963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vertAlign w:val="baseline"/>
                      <w:lang w:val="en-US" w:eastAsia="zh-CN" w:bidi="ar"/>
                    </w:rPr>
                    <w:t>理化性质</w:t>
                  </w:r>
                </w:p>
              </w:tc>
            </w:tr>
            <w:tr w14:paraId="1961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91" w:type="pct"/>
                  <w:noWrap w:val="0"/>
                  <w:vAlign w:val="center"/>
                </w:tcPr>
                <w:p w14:paraId="08DDA512">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砂石料</w:t>
                  </w:r>
                </w:p>
              </w:tc>
              <w:tc>
                <w:tcPr>
                  <w:tcW w:w="4408" w:type="pct"/>
                  <w:noWrap w:val="0"/>
                  <w:vAlign w:val="center"/>
                </w:tcPr>
                <w:p w14:paraId="5A53DCDC">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来源于旁边采石场，为不同粒度规格产品，主要成品为石灰石石质，是沥青混凝土的主要石料，碎石质量应符合《普通混凝土用碎石或卵石质量标准及检验方法》（JGJ53-92）。</w:t>
                  </w:r>
                </w:p>
              </w:tc>
            </w:tr>
            <w:tr w14:paraId="5E2B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pct"/>
                  <w:noWrap w:val="0"/>
                  <w:vAlign w:val="center"/>
                </w:tcPr>
                <w:p w14:paraId="498D1F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沥青</w:t>
                  </w:r>
                </w:p>
              </w:tc>
              <w:tc>
                <w:tcPr>
                  <w:tcW w:w="4408" w:type="pct"/>
                  <w:noWrap w:val="0"/>
                  <w:vAlign w:val="center"/>
                </w:tcPr>
                <w:p w14:paraId="4A1D1F6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沥青是原油加工过程的一种产品，在常温下是黑色或黑褐色的黏稠的液体、半固体或固体，主要含有可溶于三氯乙烯的烃类及非烃类衍生物，其性质和组成随原油来源和生产方法的不同而变化。相对密度为1.0~1.25g/cm</w:t>
                  </w:r>
                  <w:r>
                    <w:rPr>
                      <w:rFonts w:hint="eastAsia" w:ascii="Times New Roman" w:hAnsi="Times New Roman" w:eastAsia="宋体" w:cs="Times New Roman"/>
                      <w:color w:val="auto"/>
                      <w:kern w:val="0"/>
                      <w:sz w:val="21"/>
                      <w:szCs w:val="21"/>
                      <w:vertAlign w:val="superscript"/>
                      <w:lang w:val="en-US" w:eastAsia="zh-CN" w:bidi="ar"/>
                    </w:rPr>
                    <w:t>3</w:t>
                  </w:r>
                  <w:r>
                    <w:rPr>
                      <w:rFonts w:hint="eastAsia" w:ascii="Times New Roman" w:hAnsi="Times New Roman" w:eastAsia="宋体" w:cs="Times New Roman"/>
                      <w:color w:val="auto"/>
                      <w:kern w:val="0"/>
                      <w:sz w:val="21"/>
                      <w:szCs w:val="21"/>
                      <w:vertAlign w:val="baseline"/>
                      <w:lang w:val="en-US" w:eastAsia="zh-CN" w:bidi="ar"/>
                    </w:rPr>
                    <w:t>，熔点为45~6</w:t>
                  </w:r>
                  <w:r>
                    <w:rPr>
                      <w:rFonts w:hint="default" w:ascii="Times New Roman" w:hAnsi="Times New Roman" w:eastAsia="宋体" w:cs="Times New Roman"/>
                      <w:color w:val="auto"/>
                      <w:kern w:val="0"/>
                      <w:sz w:val="21"/>
                      <w:szCs w:val="21"/>
                      <w:vertAlign w:val="baseline"/>
                      <w:lang w:val="en-US" w:eastAsia="zh-CN" w:bidi="ar"/>
                    </w:rPr>
                    <w:t>0℃</w:t>
                  </w:r>
                  <w:r>
                    <w:rPr>
                      <w:rFonts w:hint="eastAsia" w:ascii="Times New Roman" w:hAnsi="Times New Roman" w:eastAsia="宋体" w:cs="Times New Roman"/>
                      <w:color w:val="auto"/>
                      <w:kern w:val="0"/>
                      <w:sz w:val="21"/>
                      <w:szCs w:val="21"/>
                      <w:vertAlign w:val="baseline"/>
                      <w:lang w:val="en-US" w:eastAsia="zh-CN" w:bidi="ar"/>
                    </w:rPr>
                    <w:t>，闪点≥26</w:t>
                  </w:r>
                  <w:r>
                    <w:rPr>
                      <w:rFonts w:hint="default" w:ascii="Times New Roman" w:hAnsi="Times New Roman" w:eastAsia="宋体" w:cs="Times New Roman"/>
                      <w:color w:val="auto"/>
                      <w:kern w:val="0"/>
                      <w:sz w:val="21"/>
                      <w:szCs w:val="21"/>
                      <w:vertAlign w:val="baseline"/>
                      <w:lang w:val="en-US" w:eastAsia="zh-CN" w:bidi="ar"/>
                    </w:rPr>
                    <w:t>0℃，沸点为230~300℃，石油沥青中还含2%～</w:t>
                  </w:r>
                  <w:r>
                    <w:rPr>
                      <w:rFonts w:hint="eastAsia" w:ascii="Times New Roman" w:hAnsi="Times New Roman" w:eastAsia="宋体" w:cs="Times New Roman"/>
                      <w:color w:val="auto"/>
                      <w:kern w:val="0"/>
                      <w:sz w:val="21"/>
                      <w:szCs w:val="21"/>
                      <w:vertAlign w:val="baseline"/>
                      <w:lang w:val="en-US" w:eastAsia="zh-CN" w:bidi="ar"/>
                    </w:rPr>
                    <w:t>3%的沥青碳和似碳物（黑色固体粉末），是石油沥青中分子量最大的，无毒性。它会降低石油沥青的粘结力。石油沥青中还含有蜡，它会降低石油沥青的粘结性和塑性，其在沥青组分总含量越高沥青脆性越大。同时对温度特别敏感（即温度稳定性差）。石油沥青是原油蒸馏后的残渣。根据提炼程度的不同，在常温下成液体、半固体或固体。石油沥青色黑而有光泽，具有较高的感温性。</w:t>
                  </w:r>
                </w:p>
              </w:tc>
            </w:tr>
            <w:tr w14:paraId="7A40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591" w:type="pct"/>
                  <w:noWrap w:val="0"/>
                  <w:vAlign w:val="center"/>
                </w:tcPr>
                <w:p w14:paraId="1A96A7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矿粉</w:t>
                  </w:r>
                </w:p>
              </w:tc>
              <w:tc>
                <w:tcPr>
                  <w:tcW w:w="4408" w:type="pct"/>
                  <w:noWrap w:val="0"/>
                  <w:vAlign w:val="center"/>
                </w:tcPr>
                <w:p w14:paraId="1141A1B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为石灰石粉末，质白细，属于高活性粉料，是优质的混凝土掺合料和水泥混合材，是当今世界公认的配制高性能混凝土的重要材料。通过使用粒化高炉矿渣粉，可有效提高混凝土的抗压强度，降低混凝土的成本。同时对抑制碱骨料反应，降低水化热，减少混凝土结构早期温度裂缝，提高混凝土密实度，提高抗渗和抗侵蚀能力有明显效果。</w:t>
                  </w:r>
                </w:p>
              </w:tc>
            </w:tr>
            <w:tr w14:paraId="6EA9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91" w:type="pct"/>
                  <w:noWrap w:val="0"/>
                  <w:vAlign w:val="center"/>
                </w:tcPr>
                <w:p w14:paraId="4E71E2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柴油</w:t>
                  </w:r>
                </w:p>
              </w:tc>
              <w:tc>
                <w:tcPr>
                  <w:tcW w:w="4408" w:type="pct"/>
                  <w:shd w:val="clear" w:color="auto" w:fill="auto"/>
                  <w:noWrap w:val="0"/>
                  <w:vAlign w:val="center"/>
                </w:tcPr>
                <w:p w14:paraId="5DA0046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轻质石油产品，复杂烃类（碳原子数约10～22）混合物。为柴油机燃料。主要由原油蒸馏、催化裂化、热裂化、加氢裂化、石油焦化等过程生产的柴油馏分调配而成；也可由页岩油加工和煤液化制取。分为轻柴油（沸点范围约180～370℃）和重柴油（沸点范围约350～410℃）两大类。广泛用于大型车辆、铁路机车、船舰。沸点范围和黏度介于煤油与润滑油之间的液态石油馏分。易燃易挥发，不溶于水，易溶于醇和其他有机溶剂。是组分复杂的混合物，沸点范围在180℃~370℃ 和350℃~410℃两类。由原油、页岩油等经直馏或裂化等过程制得。根据原油性质的不同，有石蜡基柴油、环烷基柴油、环烷-芳烃基柴油等。根据密度的不同，对石油及其加工产品，习惯上对沸点或沸点范围低的称为轻，相反称为重。石蜡基柴油也用作裂解制乙烯、丙烯的原料，还可作吸收油等。</w:t>
                  </w:r>
                </w:p>
              </w:tc>
            </w:tr>
            <w:tr w14:paraId="7DEF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91" w:type="pct"/>
                  <w:noWrap w:val="0"/>
                  <w:vAlign w:val="center"/>
                </w:tcPr>
                <w:p w14:paraId="4F0511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导热油</w:t>
                  </w:r>
                </w:p>
              </w:tc>
              <w:tc>
                <w:tcPr>
                  <w:tcW w:w="4408" w:type="pct"/>
                  <w:noWrap w:val="0"/>
                  <w:vAlign w:val="center"/>
                </w:tcPr>
                <w:p w14:paraId="49C507B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项目所用导热油为L-QC310导热油，外购于导热油厂家，为罐装储存，由运输车辆运输进场，通过油泵输送至导热油炉，导热油每3年更换一次。</w:t>
                  </w:r>
                </w:p>
                <w:p w14:paraId="664911A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ascii="Times New Roman" w:hAnsi="Times New Roman" w:eastAsia="宋体" w:cs="Times New Roman"/>
                      <w:color w:val="auto"/>
                      <w:kern w:val="0"/>
                      <w:sz w:val="21"/>
                      <w:szCs w:val="21"/>
                      <w:vertAlign w:val="baseline"/>
                      <w:lang w:val="en-US" w:eastAsia="zh-CN" w:bidi="ar"/>
                    </w:rPr>
                    <w:t>导热油的理化性质：L-Q系列导热油清澈透明液体，最高允许使用温度31</w:t>
                  </w:r>
                  <w:r>
                    <w:rPr>
                      <w:rFonts w:hint="default" w:ascii="Times New Roman" w:hAnsi="Times New Roman" w:eastAsia="宋体" w:cs="Times New Roman"/>
                      <w:color w:val="auto"/>
                      <w:kern w:val="0"/>
                      <w:sz w:val="21"/>
                      <w:szCs w:val="21"/>
                      <w:vertAlign w:val="baseline"/>
                      <w:lang w:val="en-US" w:eastAsia="zh-CN" w:bidi="ar"/>
                    </w:rPr>
                    <w:t>0℃</w:t>
                  </w:r>
                  <w:r>
                    <w:rPr>
                      <w:rFonts w:hint="eastAsia" w:ascii="Times New Roman" w:hAnsi="Times New Roman" w:eastAsia="宋体" w:cs="Times New Roman"/>
                      <w:color w:val="auto"/>
                      <w:kern w:val="0"/>
                      <w:sz w:val="21"/>
                      <w:szCs w:val="21"/>
                      <w:vertAlign w:val="baseline"/>
                      <w:lang w:val="en-US" w:eastAsia="zh-CN" w:bidi="ar"/>
                    </w:rPr>
                    <w:t>，自然点</w:t>
                  </w:r>
                  <w:r>
                    <w:rPr>
                      <w:rFonts w:hint="default" w:ascii="Times New Roman" w:hAnsi="Times New Roman" w:eastAsia="宋体" w:cs="Times New Roman"/>
                      <w:color w:val="auto"/>
                      <w:kern w:val="0"/>
                      <w:sz w:val="21"/>
                      <w:szCs w:val="21"/>
                      <w:vertAlign w:val="baseline"/>
                      <w:lang w:val="en-US" w:eastAsia="zh-CN" w:bidi="ar"/>
                    </w:rPr>
                    <w:t>330℃，闪点（闭口）214℃，闪点（开口）239℃</w:t>
                  </w:r>
                  <w:r>
                    <w:rPr>
                      <w:rFonts w:hint="eastAsia" w:ascii="Times New Roman" w:hAnsi="Times New Roman" w:eastAsia="宋体" w:cs="Times New Roman"/>
                      <w:color w:val="auto"/>
                      <w:kern w:val="0"/>
                      <w:sz w:val="21"/>
                      <w:szCs w:val="21"/>
                      <w:vertAlign w:val="baseline"/>
                      <w:lang w:val="en-US" w:eastAsia="zh-CN" w:bidi="ar"/>
                    </w:rPr>
                    <w:t>。具有良好热稳定性，长期使用不变质，在合适的温度和操作条件下使用寿命可达10年以上，一般在6年以上；具有合适的导热性质（比热、导热系数、蒸发热等）；凝点低，一般</w:t>
                  </w:r>
                  <w:r>
                    <w:rPr>
                      <w:rFonts w:hint="default" w:ascii="Times New Roman" w:hAnsi="Times New Roman" w:eastAsia="宋体" w:cs="Times New Roman"/>
                      <w:color w:val="auto"/>
                      <w:kern w:val="0"/>
                      <w:sz w:val="21"/>
                      <w:szCs w:val="21"/>
                      <w:vertAlign w:val="baseline"/>
                      <w:lang w:val="en-US" w:eastAsia="zh-CN" w:bidi="ar"/>
                    </w:rPr>
                    <w:t>在</w:t>
                  </w:r>
                  <w:r>
                    <w:rPr>
                      <w:rFonts w:hint="eastAsia" w:ascii="Times New Roman" w:hAnsi="Times New Roman" w:eastAsia="宋体" w:cs="Times New Roman"/>
                      <w:color w:val="auto"/>
                      <w:kern w:val="0"/>
                      <w:sz w:val="21"/>
                      <w:szCs w:val="21"/>
                      <w:vertAlign w:val="baseline"/>
                      <w:lang w:val="en-US" w:eastAsia="zh-CN" w:bidi="ar"/>
                    </w:rPr>
                    <w:t>-</w:t>
                  </w:r>
                  <w:r>
                    <w:rPr>
                      <w:rFonts w:hint="default" w:ascii="Times New Roman" w:hAnsi="Times New Roman" w:eastAsia="宋体" w:cs="Times New Roman"/>
                      <w:color w:val="auto"/>
                      <w:kern w:val="0"/>
                      <w:sz w:val="21"/>
                      <w:szCs w:val="21"/>
                      <w:vertAlign w:val="baseline"/>
                      <w:lang w:val="en-US" w:eastAsia="zh-CN" w:bidi="ar"/>
                    </w:rPr>
                    <w:t>10℃</w:t>
                  </w:r>
                  <w:r>
                    <w:rPr>
                      <w:rFonts w:hint="eastAsia" w:ascii="Times New Roman" w:hAnsi="Times New Roman" w:eastAsia="宋体" w:cs="Times New Roman"/>
                      <w:color w:val="auto"/>
                      <w:kern w:val="0"/>
                      <w:sz w:val="21"/>
                      <w:szCs w:val="21"/>
                      <w:vertAlign w:val="baseline"/>
                      <w:lang w:val="en-US" w:eastAsia="zh-CN" w:bidi="ar"/>
                    </w:rPr>
                    <w:t>以下；粘度低，便于输送和生产循环；蒸气压低，便于高温操作和输送，不易形成蒸汽包，阻碍导热油的正常循环；对金属和密封用废金属的腐蚀性小，不易造成泄漏；对操作人员毒性和腐蚀性小，在使用时不需要特殊防护，对人体具有安全性，而且气味小，具有良好的操作环境。燃烧</w:t>
                  </w:r>
                  <w:r>
                    <w:rPr>
                      <w:rFonts w:hint="eastAsia" w:cs="Times New Roman"/>
                      <w:color w:val="auto"/>
                      <w:kern w:val="0"/>
                      <w:sz w:val="21"/>
                      <w:szCs w:val="21"/>
                      <w:vertAlign w:val="baseline"/>
                      <w:lang w:val="en-US" w:eastAsia="zh-CN" w:bidi="ar"/>
                    </w:rPr>
                    <w:t>机</w:t>
                  </w:r>
                  <w:r>
                    <w:rPr>
                      <w:rFonts w:hint="eastAsia" w:ascii="Times New Roman" w:hAnsi="Times New Roman" w:eastAsia="宋体" w:cs="Times New Roman"/>
                      <w:color w:val="auto"/>
                      <w:kern w:val="0"/>
                      <w:sz w:val="21"/>
                      <w:szCs w:val="21"/>
                      <w:vertAlign w:val="baseline"/>
                      <w:lang w:val="en-US" w:eastAsia="zh-CN" w:bidi="ar"/>
                    </w:rPr>
                    <w:t>燃烧供热，导热油受热后间接将热传送于沥青，使沥青软化。</w:t>
                  </w:r>
                </w:p>
              </w:tc>
            </w:tr>
          </w:tbl>
          <w:p w14:paraId="0A5F5D9F">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color w:val="auto"/>
                <w:kern w:val="0"/>
                <w:szCs w:val="22"/>
              </w:rPr>
            </w:pPr>
            <w:r>
              <w:rPr>
                <w:rFonts w:hint="eastAsia" w:ascii="Times New Roman" w:hAnsi="Times New Roman" w:eastAsia="宋体" w:cs="Times New Roman"/>
                <w:b/>
                <w:color w:val="auto"/>
                <w:szCs w:val="22"/>
                <w:lang w:val="en-US" w:eastAsia="zh-CN"/>
              </w:rPr>
              <w:t>六</w:t>
            </w:r>
            <w:r>
              <w:rPr>
                <w:rFonts w:hint="default" w:ascii="Times New Roman" w:hAnsi="Times New Roman" w:eastAsia="宋体" w:cs="Times New Roman"/>
                <w:b/>
                <w:color w:val="auto"/>
                <w:szCs w:val="22"/>
              </w:rPr>
              <w:t>、项目主要生产设备</w:t>
            </w:r>
          </w:p>
          <w:p w14:paraId="4BF41AD1">
            <w:pPr>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项目主要生产设备见表2-</w:t>
            </w:r>
            <w:r>
              <w:rPr>
                <w:rFonts w:hint="eastAsia" w:cs="Times New Roman"/>
                <w:bCs/>
                <w:color w:val="auto"/>
                <w:lang w:val="en-US" w:eastAsia="zh-CN"/>
              </w:rPr>
              <w:t>5</w:t>
            </w:r>
            <w:r>
              <w:rPr>
                <w:rFonts w:hint="default" w:ascii="Times New Roman" w:hAnsi="Times New Roman" w:eastAsia="宋体" w:cs="Times New Roman"/>
                <w:bCs/>
                <w:color w:val="auto"/>
              </w:rPr>
              <w:t>。</w:t>
            </w:r>
          </w:p>
          <w:p w14:paraId="1C8AF2E8">
            <w:pPr>
              <w:keepNext/>
              <w:widowControl/>
              <w:ind w:firstLine="0" w:firstLineChars="0"/>
              <w:jc w:val="center"/>
              <w:rPr>
                <w:rFonts w:hint="default"/>
                <w:b/>
                <w:kern w:val="24"/>
                <w:sz w:val="21"/>
                <w:szCs w:val="21"/>
                <w:lang w:val="en-US" w:eastAsia="zh-CN"/>
              </w:rPr>
            </w:pPr>
            <w:r>
              <w:rPr>
                <w:rFonts w:hint="default"/>
                <w:b/>
                <w:kern w:val="24"/>
                <w:sz w:val="21"/>
                <w:szCs w:val="21"/>
                <w:lang w:val="en-US" w:eastAsia="zh-CN"/>
              </w:rPr>
              <w:t>表2-</w:t>
            </w:r>
            <w:r>
              <w:rPr>
                <w:rFonts w:hint="eastAsia"/>
                <w:b/>
                <w:kern w:val="24"/>
                <w:sz w:val="21"/>
                <w:szCs w:val="21"/>
                <w:lang w:val="en-US" w:eastAsia="zh-CN"/>
              </w:rPr>
              <w:t xml:space="preserve">5  </w:t>
            </w:r>
            <w:r>
              <w:rPr>
                <w:rFonts w:hint="default"/>
                <w:b/>
                <w:kern w:val="24"/>
                <w:sz w:val="21"/>
                <w:szCs w:val="21"/>
                <w:lang w:val="en-US" w:eastAsia="zh-CN"/>
              </w:rPr>
              <w:t>项目主要工艺设备设施</w:t>
            </w:r>
            <w:r>
              <w:rPr>
                <w:rFonts w:hint="eastAsia"/>
                <w:b/>
                <w:kern w:val="24"/>
                <w:sz w:val="21"/>
                <w:szCs w:val="21"/>
                <w:lang w:val="en-US" w:eastAsia="zh-CN"/>
              </w:rPr>
              <w:t>一览</w:t>
            </w:r>
            <w:r>
              <w:rPr>
                <w:rFonts w:hint="default"/>
                <w:b/>
                <w:kern w:val="24"/>
                <w:sz w:val="21"/>
                <w:szCs w:val="21"/>
                <w:lang w:val="en-US" w:eastAsia="zh-CN"/>
              </w:rPr>
              <w:t>表</w:t>
            </w:r>
          </w:p>
          <w:tbl>
            <w:tblPr>
              <w:tblStyle w:val="15"/>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557"/>
              <w:gridCol w:w="2213"/>
              <w:gridCol w:w="769"/>
              <w:gridCol w:w="693"/>
              <w:gridCol w:w="2498"/>
            </w:tblGrid>
            <w:tr w14:paraId="6159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noWrap w:val="0"/>
                  <w:vAlign w:val="center"/>
                </w:tcPr>
                <w:p w14:paraId="4CBBC6B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924" w:type="pct"/>
                  <w:noWrap w:val="0"/>
                  <w:vAlign w:val="center"/>
                </w:tcPr>
                <w:p w14:paraId="186C8FB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13" w:type="pct"/>
                  <w:noWrap w:val="0"/>
                  <w:vAlign w:val="center"/>
                </w:tcPr>
                <w:p w14:paraId="7E33CE78">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w:t>
                  </w:r>
                  <w:r>
                    <w:rPr>
                      <w:rFonts w:hint="eastAsia" w:ascii="Times New Roman" w:hAnsi="Times New Roman" w:eastAsia="宋体" w:cs="Times New Roman"/>
                      <w:b/>
                      <w:bCs/>
                      <w:color w:val="auto"/>
                      <w:sz w:val="21"/>
                      <w:szCs w:val="21"/>
                      <w:lang w:val="en-US" w:eastAsia="zh-CN"/>
                    </w:rPr>
                    <w:t>参数及规格</w:t>
                  </w:r>
                </w:p>
              </w:tc>
              <w:tc>
                <w:tcPr>
                  <w:tcW w:w="456" w:type="pct"/>
                  <w:noWrap w:val="0"/>
                  <w:vAlign w:val="center"/>
                </w:tcPr>
                <w:p w14:paraId="641FE411">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411" w:type="pct"/>
                  <w:noWrap w:val="0"/>
                  <w:vAlign w:val="center"/>
                </w:tcPr>
                <w:p w14:paraId="3822B87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483" w:type="pct"/>
                  <w:noWrap w:val="0"/>
                  <w:vAlign w:val="center"/>
                </w:tcPr>
                <w:p w14:paraId="410A5C9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备注</w:t>
                  </w:r>
                </w:p>
              </w:tc>
            </w:tr>
            <w:tr w14:paraId="4B86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noWrap w:val="0"/>
                  <w:vAlign w:val="center"/>
                </w:tcPr>
                <w:p w14:paraId="470EC0D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24" w:type="pct"/>
                  <w:shd w:val="clear" w:color="auto" w:fill="auto"/>
                  <w:noWrap w:val="0"/>
                  <w:vAlign w:val="center"/>
                </w:tcPr>
                <w:p w14:paraId="600D95B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烘干滚筒</w:t>
                  </w:r>
                </w:p>
              </w:tc>
              <w:tc>
                <w:tcPr>
                  <w:tcW w:w="1313" w:type="pct"/>
                  <w:shd w:val="clear" w:color="auto" w:fill="auto"/>
                  <w:noWrap w:val="0"/>
                  <w:vAlign w:val="center"/>
                </w:tcPr>
                <w:p w14:paraId="4D10E45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highlight w:val="none"/>
                      <w:lang w:val="en-US" w:eastAsia="zh-CN" w:bidi="ar-SA"/>
                    </w:rPr>
                    <w:t>直径2.5m、长12m</w:t>
                  </w:r>
                </w:p>
              </w:tc>
              <w:tc>
                <w:tcPr>
                  <w:tcW w:w="456" w:type="pct"/>
                  <w:shd w:val="clear" w:color="auto" w:fill="auto"/>
                  <w:noWrap w:val="0"/>
                  <w:vAlign w:val="center"/>
                </w:tcPr>
                <w:p w14:paraId="2CE797D4">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套</w:t>
                  </w:r>
                </w:p>
              </w:tc>
              <w:tc>
                <w:tcPr>
                  <w:tcW w:w="411" w:type="pct"/>
                  <w:shd w:val="clear" w:color="auto" w:fill="auto"/>
                  <w:noWrap w:val="0"/>
                  <w:vAlign w:val="center"/>
                </w:tcPr>
                <w:p w14:paraId="7EA8D03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w:t>
                  </w:r>
                </w:p>
              </w:tc>
              <w:tc>
                <w:tcPr>
                  <w:tcW w:w="1483" w:type="pct"/>
                  <w:noWrap w:val="0"/>
                  <w:vAlign w:val="center"/>
                </w:tcPr>
                <w:p w14:paraId="07BADA68">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末端配备燃烧机、风机</w:t>
                  </w:r>
                </w:p>
              </w:tc>
            </w:tr>
            <w:tr w14:paraId="324E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noWrap w:val="0"/>
                  <w:vAlign w:val="center"/>
                </w:tcPr>
                <w:p w14:paraId="56ABA206">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p>
              </w:tc>
              <w:tc>
                <w:tcPr>
                  <w:tcW w:w="924" w:type="pct"/>
                  <w:shd w:val="clear" w:color="auto" w:fill="auto"/>
                  <w:noWrap w:val="0"/>
                  <w:vAlign w:val="center"/>
                </w:tcPr>
                <w:p w14:paraId="1ECE929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沥青混合料搅拌设备</w:t>
                  </w:r>
                </w:p>
              </w:tc>
              <w:tc>
                <w:tcPr>
                  <w:tcW w:w="1313" w:type="pct"/>
                  <w:shd w:val="clear" w:color="auto" w:fill="auto"/>
                  <w:noWrap w:val="0"/>
                  <w:vAlign w:val="center"/>
                </w:tcPr>
                <w:p w14:paraId="0294909D">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无锡锡筑重工2000型</w:t>
                  </w:r>
                </w:p>
              </w:tc>
              <w:tc>
                <w:tcPr>
                  <w:tcW w:w="456" w:type="pct"/>
                  <w:shd w:val="clear" w:color="auto" w:fill="auto"/>
                  <w:noWrap w:val="0"/>
                  <w:vAlign w:val="center"/>
                </w:tcPr>
                <w:p w14:paraId="063CD91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套</w:t>
                  </w:r>
                </w:p>
              </w:tc>
              <w:tc>
                <w:tcPr>
                  <w:tcW w:w="411" w:type="pct"/>
                  <w:shd w:val="clear" w:color="auto" w:fill="auto"/>
                  <w:noWrap w:val="0"/>
                  <w:vAlign w:val="center"/>
                </w:tcPr>
                <w:p w14:paraId="2BFEA8A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w:t>
                  </w:r>
                </w:p>
              </w:tc>
              <w:tc>
                <w:tcPr>
                  <w:tcW w:w="1483" w:type="pct"/>
                  <w:shd w:val="clear" w:color="auto" w:fill="auto"/>
                  <w:noWrap w:val="0"/>
                  <w:vAlign w:val="center"/>
                </w:tcPr>
                <w:p w14:paraId="4DFF4625">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搅拌器、废气处理系统（1套旋风除尘器、1套布袋除尘器）一体化设备</w:t>
                  </w:r>
                </w:p>
              </w:tc>
            </w:tr>
            <w:tr w14:paraId="33A6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10" w:type="pct"/>
                  <w:shd w:val="clear" w:color="auto" w:fill="auto"/>
                  <w:noWrap w:val="0"/>
                  <w:vAlign w:val="center"/>
                </w:tcPr>
                <w:p w14:paraId="3A66EC9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924" w:type="pct"/>
                  <w:shd w:val="clear" w:color="auto" w:fill="auto"/>
                  <w:noWrap w:val="0"/>
                  <w:vAlign w:val="center"/>
                </w:tcPr>
                <w:p w14:paraId="369583F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宋体" w:hAnsi="宋体" w:eastAsia="宋体" w:cs="Times New Roman"/>
                      <w:spacing w:val="1"/>
                      <w:kern w:val="0"/>
                      <w:sz w:val="21"/>
                      <w:szCs w:val="16"/>
                      <w:lang w:val="en-US" w:eastAsia="zh-CN" w:bidi="ar-SA"/>
                    </w:rPr>
                  </w:pPr>
                  <w:r>
                    <w:rPr>
                      <w:rFonts w:hint="eastAsia"/>
                      <w:spacing w:val="1"/>
                      <w:sz w:val="21"/>
                      <w:szCs w:val="16"/>
                      <w:lang w:val="en-US" w:eastAsia="zh-CN"/>
                    </w:rPr>
                    <w:t>有机热载体炉</w:t>
                  </w:r>
                </w:p>
              </w:tc>
              <w:tc>
                <w:tcPr>
                  <w:tcW w:w="1313" w:type="pct"/>
                  <w:shd w:val="clear" w:color="auto" w:fill="auto"/>
                  <w:noWrap w:val="0"/>
                  <w:vAlign w:val="center"/>
                </w:tcPr>
                <w:p w14:paraId="5FD6495C">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额定热功率700kW</w:t>
                  </w:r>
                  <w:r>
                    <w:rPr>
                      <w:rFonts w:hint="eastAsia" w:ascii="Times New Roman" w:hAnsi="Times New Roman" w:cs="Times New Roman"/>
                      <w:color w:val="auto"/>
                      <w:sz w:val="21"/>
                      <w:szCs w:val="21"/>
                      <w:lang w:val="en-US" w:eastAsia="zh-CN"/>
                    </w:rPr>
                    <w:t>，尺寸3*1.99*1.81m</w:t>
                  </w:r>
                </w:p>
              </w:tc>
              <w:tc>
                <w:tcPr>
                  <w:tcW w:w="456" w:type="pct"/>
                  <w:shd w:val="clear" w:color="auto" w:fill="auto"/>
                  <w:noWrap w:val="0"/>
                  <w:vAlign w:val="center"/>
                </w:tcPr>
                <w:p w14:paraId="3E97417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411" w:type="pct"/>
                  <w:shd w:val="clear" w:color="auto" w:fill="auto"/>
                  <w:noWrap w:val="0"/>
                  <w:vAlign w:val="center"/>
                </w:tcPr>
                <w:p w14:paraId="015AD98C">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1</w:t>
                  </w:r>
                </w:p>
              </w:tc>
              <w:tc>
                <w:tcPr>
                  <w:tcW w:w="1483" w:type="pct"/>
                  <w:shd w:val="clear" w:color="auto" w:fill="auto"/>
                  <w:noWrap w:val="0"/>
                  <w:vAlign w:val="center"/>
                </w:tcPr>
                <w:p w14:paraId="493BEAEF">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用于沥青储罐加热、保温</w:t>
                  </w:r>
                </w:p>
              </w:tc>
            </w:tr>
            <w:tr w14:paraId="6D22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1B977C4B">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924" w:type="pct"/>
                  <w:shd w:val="clear" w:color="auto" w:fill="auto"/>
                  <w:noWrap w:val="0"/>
                  <w:vAlign w:val="center"/>
                </w:tcPr>
                <w:p w14:paraId="4187D755">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宋体" w:hAnsi="宋体" w:eastAsia="宋体" w:cs="Times New Roman"/>
                      <w:spacing w:val="1"/>
                      <w:kern w:val="0"/>
                      <w:sz w:val="21"/>
                      <w:szCs w:val="16"/>
                      <w:lang w:val="en-US" w:eastAsia="zh-CN" w:bidi="ar-SA"/>
                    </w:rPr>
                  </w:pPr>
                  <w:r>
                    <w:rPr>
                      <w:rFonts w:hint="eastAsia" w:ascii="宋体" w:hAnsi="宋体" w:eastAsia="宋体" w:cs="Times New Roman"/>
                      <w:spacing w:val="1"/>
                      <w:kern w:val="0"/>
                      <w:sz w:val="21"/>
                      <w:szCs w:val="16"/>
                      <w:lang w:val="en-US" w:eastAsia="zh-CN" w:bidi="ar-SA"/>
                    </w:rPr>
                    <w:t>导热</w:t>
                  </w:r>
                  <w:r>
                    <w:rPr>
                      <w:rFonts w:hint="eastAsia" w:cs="Times New Roman"/>
                      <w:spacing w:val="1"/>
                      <w:kern w:val="0"/>
                      <w:sz w:val="21"/>
                      <w:szCs w:val="16"/>
                      <w:lang w:val="en-US" w:eastAsia="zh-CN" w:bidi="ar-SA"/>
                    </w:rPr>
                    <w:t>油循环系统</w:t>
                  </w:r>
                </w:p>
              </w:tc>
              <w:tc>
                <w:tcPr>
                  <w:tcW w:w="1313" w:type="pct"/>
                  <w:shd w:val="clear" w:color="auto" w:fill="auto"/>
                  <w:noWrap w:val="0"/>
                  <w:vAlign w:val="center"/>
                </w:tcPr>
                <w:p w14:paraId="4CD0CEB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456" w:type="pct"/>
                  <w:shd w:val="clear" w:color="auto" w:fill="auto"/>
                  <w:noWrap w:val="0"/>
                  <w:vAlign w:val="center"/>
                </w:tcPr>
                <w:p w14:paraId="410057F3">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套</w:t>
                  </w:r>
                </w:p>
              </w:tc>
              <w:tc>
                <w:tcPr>
                  <w:tcW w:w="411" w:type="pct"/>
                  <w:shd w:val="clear" w:color="auto" w:fill="auto"/>
                  <w:noWrap w:val="0"/>
                  <w:vAlign w:val="center"/>
                </w:tcPr>
                <w:p w14:paraId="73BA814D">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483" w:type="pct"/>
                  <w:shd w:val="clear" w:color="auto" w:fill="auto"/>
                  <w:noWrap w:val="0"/>
                  <w:vAlign w:val="center"/>
                </w:tcPr>
                <w:p w14:paraId="7AC97A04">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w:t>
                  </w:r>
                </w:p>
              </w:tc>
            </w:tr>
            <w:tr w14:paraId="14E2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6F0E7697">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924" w:type="pct"/>
                  <w:shd w:val="clear" w:color="auto" w:fill="auto"/>
                  <w:noWrap w:val="0"/>
                  <w:vAlign w:val="center"/>
                </w:tcPr>
                <w:p w14:paraId="5A82C31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宋体" w:hAnsi="宋体" w:eastAsia="宋体" w:cs="Times New Roman"/>
                      <w:spacing w:val="1"/>
                      <w:kern w:val="0"/>
                      <w:sz w:val="21"/>
                      <w:szCs w:val="16"/>
                      <w:lang w:val="en-US" w:eastAsia="zh-CN" w:bidi="ar-SA"/>
                    </w:rPr>
                  </w:pPr>
                  <w:r>
                    <w:rPr>
                      <w:rFonts w:hint="eastAsia" w:ascii="宋体" w:hAnsi="宋体" w:eastAsia="宋体" w:cs="Times New Roman"/>
                      <w:spacing w:val="1"/>
                      <w:kern w:val="0"/>
                      <w:sz w:val="21"/>
                      <w:szCs w:val="16"/>
                      <w:lang w:val="en-US" w:eastAsia="zh-CN" w:bidi="ar-SA"/>
                    </w:rPr>
                    <w:t>提升机</w:t>
                  </w:r>
                </w:p>
              </w:tc>
              <w:tc>
                <w:tcPr>
                  <w:tcW w:w="1313" w:type="pct"/>
                  <w:shd w:val="clear" w:color="auto" w:fill="auto"/>
                  <w:noWrap w:val="0"/>
                  <w:vAlign w:val="center"/>
                </w:tcPr>
                <w:p w14:paraId="3B1F5B2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456" w:type="pct"/>
                  <w:shd w:val="clear" w:color="auto" w:fill="auto"/>
                  <w:noWrap w:val="0"/>
                  <w:vAlign w:val="center"/>
                </w:tcPr>
                <w:p w14:paraId="6412748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411" w:type="pct"/>
                  <w:shd w:val="clear" w:color="auto" w:fill="auto"/>
                  <w:noWrap w:val="0"/>
                  <w:vAlign w:val="center"/>
                </w:tcPr>
                <w:p w14:paraId="44D5EB56">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483" w:type="pct"/>
                  <w:shd w:val="clear" w:color="auto" w:fill="auto"/>
                  <w:noWrap w:val="0"/>
                  <w:vAlign w:val="center"/>
                </w:tcPr>
                <w:p w14:paraId="6B8C309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物料烘干后提升至搅拌设备中</w:t>
                  </w:r>
                </w:p>
              </w:tc>
            </w:tr>
            <w:tr w14:paraId="4C54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36F4034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924" w:type="pct"/>
                  <w:shd w:val="clear" w:color="auto" w:fill="auto"/>
                  <w:noWrap w:val="0"/>
                  <w:vAlign w:val="center"/>
                </w:tcPr>
                <w:p w14:paraId="425E36F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宋体" w:hAnsi="宋体" w:eastAsia="宋体" w:cs="Times New Roman"/>
                      <w:spacing w:val="1"/>
                      <w:kern w:val="0"/>
                      <w:sz w:val="21"/>
                      <w:szCs w:val="16"/>
                      <w:highlight w:val="none"/>
                      <w:lang w:val="en-US" w:eastAsia="zh-CN" w:bidi="ar-SA"/>
                    </w:rPr>
                  </w:pPr>
                  <w:r>
                    <w:rPr>
                      <w:rFonts w:hint="eastAsia" w:cs="Times New Roman"/>
                      <w:spacing w:val="1"/>
                      <w:kern w:val="0"/>
                      <w:sz w:val="21"/>
                      <w:szCs w:val="16"/>
                      <w:highlight w:val="none"/>
                      <w:lang w:val="en-US" w:eastAsia="zh-CN" w:bidi="ar-SA"/>
                    </w:rPr>
                    <w:t>筛分机</w:t>
                  </w:r>
                </w:p>
              </w:tc>
              <w:tc>
                <w:tcPr>
                  <w:tcW w:w="1313" w:type="pct"/>
                  <w:shd w:val="clear" w:color="auto" w:fill="auto"/>
                  <w:noWrap w:val="0"/>
                  <w:vAlign w:val="center"/>
                </w:tcPr>
                <w:p w14:paraId="2CC2741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cs="Times New Roman"/>
                      <w:color w:val="auto"/>
                      <w:kern w:val="0"/>
                      <w:sz w:val="21"/>
                      <w:szCs w:val="21"/>
                      <w:highlight w:val="none"/>
                      <w:lang w:val="en-US" w:eastAsia="zh-CN" w:bidi="ar-SA"/>
                    </w:rPr>
                  </w:pPr>
                </w:p>
              </w:tc>
              <w:tc>
                <w:tcPr>
                  <w:tcW w:w="456" w:type="pct"/>
                  <w:shd w:val="clear" w:color="auto" w:fill="auto"/>
                  <w:noWrap w:val="0"/>
                  <w:vAlign w:val="center"/>
                </w:tcPr>
                <w:p w14:paraId="7C96C43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台</w:t>
                  </w:r>
                </w:p>
              </w:tc>
              <w:tc>
                <w:tcPr>
                  <w:tcW w:w="411" w:type="pct"/>
                  <w:shd w:val="clear" w:color="auto" w:fill="auto"/>
                  <w:noWrap w:val="0"/>
                  <w:vAlign w:val="center"/>
                </w:tcPr>
                <w:p w14:paraId="73418473">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p>
              </w:tc>
              <w:tc>
                <w:tcPr>
                  <w:tcW w:w="1483" w:type="pct"/>
                  <w:shd w:val="clear" w:color="auto" w:fill="auto"/>
                  <w:noWrap w:val="0"/>
                  <w:vAlign w:val="center"/>
                </w:tcPr>
                <w:p w14:paraId="3CA8ADC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拌合站内配备</w:t>
                  </w:r>
                </w:p>
              </w:tc>
            </w:tr>
            <w:tr w14:paraId="0158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10" w:type="pct"/>
                  <w:shd w:val="clear" w:color="auto" w:fill="auto"/>
                  <w:noWrap w:val="0"/>
                  <w:vAlign w:val="center"/>
                </w:tcPr>
                <w:p w14:paraId="10BFCA6F">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w:t>
                  </w:r>
                </w:p>
              </w:tc>
              <w:tc>
                <w:tcPr>
                  <w:tcW w:w="924" w:type="pct"/>
                  <w:shd w:val="clear" w:color="auto" w:fill="auto"/>
                  <w:noWrap w:val="0"/>
                  <w:vAlign w:val="center"/>
                </w:tcPr>
                <w:p w14:paraId="0FC517A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砂石料</w:t>
                  </w:r>
                  <w:r>
                    <w:rPr>
                      <w:rFonts w:hint="eastAsia" w:ascii="Times New Roman" w:hAnsi="Times New Roman" w:cs="Times New Roman"/>
                      <w:color w:val="auto"/>
                      <w:kern w:val="0"/>
                      <w:sz w:val="21"/>
                      <w:szCs w:val="21"/>
                      <w:lang w:val="en-US" w:eastAsia="zh-CN" w:bidi="ar-SA"/>
                    </w:rPr>
                    <w:t>堆场</w:t>
                  </w:r>
                </w:p>
              </w:tc>
              <w:tc>
                <w:tcPr>
                  <w:tcW w:w="1313" w:type="pct"/>
                  <w:shd w:val="clear" w:color="auto" w:fill="auto"/>
                  <w:noWrap w:val="0"/>
                  <w:vAlign w:val="center"/>
                </w:tcPr>
                <w:p w14:paraId="294B8A3D">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456" w:type="pct"/>
                  <w:shd w:val="clear" w:color="auto" w:fill="auto"/>
                  <w:noWrap w:val="0"/>
                  <w:vAlign w:val="center"/>
                </w:tcPr>
                <w:p w14:paraId="71AC0AC7">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个</w:t>
                  </w:r>
                </w:p>
              </w:tc>
              <w:tc>
                <w:tcPr>
                  <w:tcW w:w="411" w:type="pct"/>
                  <w:shd w:val="clear" w:color="auto" w:fill="auto"/>
                  <w:noWrap w:val="0"/>
                  <w:vAlign w:val="center"/>
                </w:tcPr>
                <w:p w14:paraId="6D429A9C">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1483" w:type="pct"/>
                  <w:noWrap w:val="0"/>
                  <w:vAlign w:val="center"/>
                </w:tcPr>
                <w:p w14:paraId="12031CBF">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分为5格</w:t>
                  </w:r>
                </w:p>
              </w:tc>
            </w:tr>
            <w:tr w14:paraId="59DC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2805CE63">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8</w:t>
                  </w:r>
                </w:p>
              </w:tc>
              <w:tc>
                <w:tcPr>
                  <w:tcW w:w="924" w:type="pct"/>
                  <w:shd w:val="clear" w:color="auto" w:fill="auto"/>
                  <w:noWrap w:val="0"/>
                  <w:vAlign w:val="center"/>
                </w:tcPr>
                <w:p w14:paraId="63B3AFC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计量仓</w:t>
                  </w:r>
                </w:p>
              </w:tc>
              <w:tc>
                <w:tcPr>
                  <w:tcW w:w="1313" w:type="pct"/>
                  <w:shd w:val="clear" w:color="auto" w:fill="auto"/>
                  <w:noWrap w:val="0"/>
                  <w:vAlign w:val="center"/>
                </w:tcPr>
                <w:p w14:paraId="4CA27B2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456" w:type="pct"/>
                  <w:shd w:val="clear" w:color="auto" w:fill="auto"/>
                  <w:noWrap w:val="0"/>
                  <w:vAlign w:val="center"/>
                </w:tcPr>
                <w:p w14:paraId="73203784">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个</w:t>
                  </w:r>
                </w:p>
              </w:tc>
              <w:tc>
                <w:tcPr>
                  <w:tcW w:w="411" w:type="pct"/>
                  <w:shd w:val="clear" w:color="auto" w:fill="auto"/>
                  <w:noWrap w:val="0"/>
                  <w:vAlign w:val="center"/>
                </w:tcPr>
                <w:p w14:paraId="6FAACC3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5</w:t>
                  </w:r>
                </w:p>
              </w:tc>
              <w:tc>
                <w:tcPr>
                  <w:tcW w:w="1483" w:type="pct"/>
                  <w:noWrap w:val="0"/>
                  <w:vAlign w:val="center"/>
                </w:tcPr>
                <w:p w14:paraId="0DB0FC4F">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砂石料计量</w:t>
                  </w:r>
                </w:p>
              </w:tc>
            </w:tr>
            <w:tr w14:paraId="0B6C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691B5028">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9</w:t>
                  </w:r>
                </w:p>
              </w:tc>
              <w:tc>
                <w:tcPr>
                  <w:tcW w:w="924" w:type="pct"/>
                  <w:shd w:val="clear" w:color="auto" w:fill="auto"/>
                  <w:noWrap w:val="0"/>
                  <w:vAlign w:val="center"/>
                </w:tcPr>
                <w:p w14:paraId="73E7B81D">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沥青储罐</w:t>
                  </w:r>
                </w:p>
              </w:tc>
              <w:tc>
                <w:tcPr>
                  <w:tcW w:w="1313" w:type="pct"/>
                  <w:shd w:val="clear" w:color="auto" w:fill="auto"/>
                  <w:noWrap w:val="0"/>
                  <w:vAlign w:val="center"/>
                </w:tcPr>
                <w:p w14:paraId="2D454924">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容积90t</w:t>
                  </w:r>
                </w:p>
              </w:tc>
              <w:tc>
                <w:tcPr>
                  <w:tcW w:w="456" w:type="pct"/>
                  <w:shd w:val="clear" w:color="auto" w:fill="auto"/>
                  <w:noWrap w:val="0"/>
                  <w:vAlign w:val="center"/>
                </w:tcPr>
                <w:p w14:paraId="0D318D96">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411" w:type="pct"/>
                  <w:shd w:val="clear" w:color="auto" w:fill="auto"/>
                  <w:noWrap w:val="0"/>
                  <w:vAlign w:val="center"/>
                </w:tcPr>
                <w:p w14:paraId="35742428">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w:t>
                  </w:r>
                </w:p>
              </w:tc>
              <w:tc>
                <w:tcPr>
                  <w:tcW w:w="1483" w:type="pct"/>
                  <w:noWrap w:val="0"/>
                  <w:vAlign w:val="center"/>
                </w:tcPr>
                <w:p w14:paraId="5B34DA45">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305B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tcBorders>
                    <w:bottom w:val="single" w:color="auto" w:sz="4" w:space="0"/>
                  </w:tcBorders>
                  <w:shd w:val="clear" w:color="auto" w:fill="auto"/>
                  <w:noWrap w:val="0"/>
                  <w:vAlign w:val="center"/>
                </w:tcPr>
                <w:p w14:paraId="7B937E5F">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10</w:t>
                  </w:r>
                </w:p>
              </w:tc>
              <w:tc>
                <w:tcPr>
                  <w:tcW w:w="924" w:type="pct"/>
                  <w:tcBorders>
                    <w:bottom w:val="single" w:color="auto" w:sz="4" w:space="0"/>
                  </w:tcBorders>
                  <w:shd w:val="clear" w:color="auto" w:fill="auto"/>
                  <w:noWrap w:val="0"/>
                  <w:vAlign w:val="center"/>
                </w:tcPr>
                <w:p w14:paraId="101375B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沥青泵</w:t>
                  </w:r>
                </w:p>
              </w:tc>
              <w:tc>
                <w:tcPr>
                  <w:tcW w:w="1313" w:type="pct"/>
                  <w:tcBorders>
                    <w:bottom w:val="single" w:color="auto" w:sz="4" w:space="0"/>
                  </w:tcBorders>
                  <w:shd w:val="clear" w:color="auto" w:fill="auto"/>
                  <w:noWrap w:val="0"/>
                  <w:vAlign w:val="center"/>
                </w:tcPr>
                <w:p w14:paraId="0A6DE30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456" w:type="pct"/>
                  <w:tcBorders>
                    <w:bottom w:val="single" w:color="auto" w:sz="4" w:space="0"/>
                  </w:tcBorders>
                  <w:shd w:val="clear" w:color="auto" w:fill="auto"/>
                  <w:noWrap w:val="0"/>
                  <w:vAlign w:val="center"/>
                </w:tcPr>
                <w:p w14:paraId="746E1F9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台</w:t>
                  </w:r>
                </w:p>
              </w:tc>
              <w:tc>
                <w:tcPr>
                  <w:tcW w:w="411" w:type="pct"/>
                  <w:tcBorders>
                    <w:bottom w:val="single" w:color="auto" w:sz="4" w:space="0"/>
                  </w:tcBorders>
                  <w:shd w:val="clear" w:color="auto" w:fill="auto"/>
                  <w:noWrap w:val="0"/>
                  <w:vAlign w:val="center"/>
                </w:tcPr>
                <w:p w14:paraId="24B534D4">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w:t>
                  </w:r>
                </w:p>
              </w:tc>
              <w:tc>
                <w:tcPr>
                  <w:tcW w:w="1483" w:type="pct"/>
                  <w:tcBorders>
                    <w:bottom w:val="single" w:color="auto" w:sz="4" w:space="0"/>
                  </w:tcBorders>
                  <w:noWrap w:val="0"/>
                  <w:vAlign w:val="center"/>
                </w:tcPr>
                <w:p w14:paraId="171405BB">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SA"/>
                    </w:rPr>
                    <w:t>将沥青泵至搅拌设器中</w:t>
                  </w:r>
                </w:p>
              </w:tc>
            </w:tr>
            <w:tr w14:paraId="5EEB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tcBorders>
                    <w:bottom w:val="single" w:color="auto" w:sz="4" w:space="0"/>
                  </w:tcBorders>
                  <w:shd w:val="clear" w:color="auto" w:fill="auto"/>
                  <w:noWrap w:val="0"/>
                  <w:vAlign w:val="center"/>
                </w:tcPr>
                <w:p w14:paraId="41D75A61">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11</w:t>
                  </w:r>
                </w:p>
              </w:tc>
              <w:tc>
                <w:tcPr>
                  <w:tcW w:w="924" w:type="pct"/>
                  <w:tcBorders>
                    <w:bottom w:val="single" w:color="auto" w:sz="4" w:space="0"/>
                  </w:tcBorders>
                  <w:shd w:val="clear" w:color="auto" w:fill="auto"/>
                  <w:noWrap w:val="0"/>
                  <w:vAlign w:val="center"/>
                </w:tcPr>
                <w:p w14:paraId="5763C46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矿粉筒仓</w:t>
                  </w:r>
                </w:p>
              </w:tc>
              <w:tc>
                <w:tcPr>
                  <w:tcW w:w="1313" w:type="pct"/>
                  <w:tcBorders>
                    <w:bottom w:val="single" w:color="auto" w:sz="4" w:space="0"/>
                  </w:tcBorders>
                  <w:shd w:val="clear" w:color="auto" w:fill="auto"/>
                  <w:noWrap w:val="0"/>
                  <w:vAlign w:val="center"/>
                </w:tcPr>
                <w:p w14:paraId="098014A4">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容积60t</w:t>
                  </w:r>
                </w:p>
              </w:tc>
              <w:tc>
                <w:tcPr>
                  <w:tcW w:w="456" w:type="pct"/>
                  <w:tcBorders>
                    <w:bottom w:val="single" w:color="auto" w:sz="4" w:space="0"/>
                  </w:tcBorders>
                  <w:shd w:val="clear" w:color="auto" w:fill="auto"/>
                  <w:noWrap w:val="0"/>
                  <w:vAlign w:val="center"/>
                </w:tcPr>
                <w:p w14:paraId="1752265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个</w:t>
                  </w:r>
                </w:p>
              </w:tc>
              <w:tc>
                <w:tcPr>
                  <w:tcW w:w="411" w:type="pct"/>
                  <w:tcBorders>
                    <w:bottom w:val="single" w:color="auto" w:sz="4" w:space="0"/>
                  </w:tcBorders>
                  <w:shd w:val="clear" w:color="auto" w:fill="auto"/>
                  <w:noWrap w:val="0"/>
                  <w:vAlign w:val="center"/>
                </w:tcPr>
                <w:p w14:paraId="70AC28F7">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p>
              </w:tc>
              <w:tc>
                <w:tcPr>
                  <w:tcW w:w="1483" w:type="pct"/>
                  <w:tcBorders>
                    <w:bottom w:val="single" w:color="auto" w:sz="4" w:space="0"/>
                  </w:tcBorders>
                  <w:noWrap w:val="0"/>
                  <w:vAlign w:val="center"/>
                </w:tcPr>
                <w:p w14:paraId="2493F06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矿粉暂存，配备空压机</w:t>
                  </w:r>
                </w:p>
              </w:tc>
            </w:tr>
            <w:tr w14:paraId="01C9A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5FB300A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12</w:t>
                  </w:r>
                </w:p>
              </w:tc>
              <w:tc>
                <w:tcPr>
                  <w:tcW w:w="924" w:type="pct"/>
                  <w:shd w:val="clear" w:color="auto" w:fill="auto"/>
                  <w:noWrap w:val="0"/>
                  <w:vAlign w:val="center"/>
                </w:tcPr>
                <w:p w14:paraId="1C5F9457">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柴油</w:t>
                  </w:r>
                  <w:r>
                    <w:rPr>
                      <w:rFonts w:hint="eastAsia" w:ascii="Times New Roman" w:hAnsi="Times New Roman" w:eastAsia="宋体" w:cs="Times New Roman"/>
                      <w:color w:val="auto"/>
                      <w:kern w:val="0"/>
                      <w:sz w:val="21"/>
                      <w:szCs w:val="21"/>
                      <w:lang w:val="en-US" w:eastAsia="zh-CN" w:bidi="ar-SA"/>
                    </w:rPr>
                    <w:t>储罐</w:t>
                  </w:r>
                </w:p>
              </w:tc>
              <w:tc>
                <w:tcPr>
                  <w:tcW w:w="1313" w:type="pct"/>
                  <w:shd w:val="clear" w:color="auto" w:fill="auto"/>
                  <w:noWrap w:val="0"/>
                  <w:vAlign w:val="center"/>
                </w:tcPr>
                <w:p w14:paraId="6E0568A6">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容积50t、10t</w:t>
                  </w:r>
                </w:p>
              </w:tc>
              <w:tc>
                <w:tcPr>
                  <w:tcW w:w="456" w:type="pct"/>
                  <w:shd w:val="clear" w:color="auto" w:fill="auto"/>
                  <w:noWrap w:val="0"/>
                  <w:vAlign w:val="center"/>
                </w:tcPr>
                <w:p w14:paraId="46F635D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个</w:t>
                  </w:r>
                </w:p>
              </w:tc>
              <w:tc>
                <w:tcPr>
                  <w:tcW w:w="411" w:type="pct"/>
                  <w:shd w:val="clear" w:color="auto" w:fill="auto"/>
                  <w:noWrap w:val="0"/>
                  <w:vAlign w:val="center"/>
                </w:tcPr>
                <w:p w14:paraId="3BE20B63">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w:t>
                  </w:r>
                </w:p>
              </w:tc>
              <w:tc>
                <w:tcPr>
                  <w:tcW w:w="1483" w:type="pct"/>
                  <w:noWrap w:val="0"/>
                  <w:vAlign w:val="center"/>
                </w:tcPr>
                <w:p w14:paraId="3A6A4E9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将</w:t>
                  </w:r>
                  <w:r>
                    <w:rPr>
                      <w:rFonts w:hint="eastAsia" w:ascii="Times New Roman" w:hAnsi="Times New Roman" w:cs="Times New Roman"/>
                      <w:color w:val="auto"/>
                      <w:kern w:val="0"/>
                      <w:sz w:val="21"/>
                      <w:szCs w:val="21"/>
                      <w:lang w:val="en-US" w:eastAsia="zh-CN" w:bidi="ar-SA"/>
                    </w:rPr>
                    <w:t>柴</w:t>
                  </w:r>
                  <w:r>
                    <w:rPr>
                      <w:rFonts w:hint="eastAsia" w:ascii="Times New Roman" w:hAnsi="Times New Roman" w:cs="Times New Roman"/>
                      <w:color w:val="auto"/>
                      <w:sz w:val="21"/>
                      <w:szCs w:val="21"/>
                      <w:lang w:val="en-US" w:eastAsia="zh-CN"/>
                    </w:rPr>
                    <w:t>油泵至烘干滚筒配套的燃烧机；将</w:t>
                  </w:r>
                  <w:r>
                    <w:rPr>
                      <w:rFonts w:hint="eastAsia" w:ascii="Times New Roman" w:hAnsi="Times New Roman" w:cs="Times New Roman"/>
                      <w:color w:val="auto"/>
                      <w:kern w:val="0"/>
                      <w:sz w:val="21"/>
                      <w:szCs w:val="21"/>
                      <w:lang w:val="en-US" w:eastAsia="zh-CN" w:bidi="ar-SA"/>
                    </w:rPr>
                    <w:t>柴</w:t>
                  </w:r>
                  <w:r>
                    <w:rPr>
                      <w:rFonts w:hint="eastAsia" w:ascii="Times New Roman" w:hAnsi="Times New Roman" w:cs="Times New Roman"/>
                      <w:color w:val="auto"/>
                      <w:sz w:val="21"/>
                      <w:szCs w:val="21"/>
                      <w:lang w:val="en-US" w:eastAsia="zh-CN"/>
                    </w:rPr>
                    <w:t>油泵至</w:t>
                  </w:r>
                  <w:r>
                    <w:rPr>
                      <w:rFonts w:hint="eastAsia"/>
                      <w:spacing w:val="1"/>
                      <w:sz w:val="21"/>
                      <w:szCs w:val="16"/>
                      <w:lang w:val="en-US" w:eastAsia="zh-CN"/>
                    </w:rPr>
                    <w:t>有机热载体炉作为燃料</w:t>
                  </w:r>
                </w:p>
              </w:tc>
            </w:tr>
            <w:tr w14:paraId="69DF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39835EB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bookmarkStart w:id="7" w:name="_Toc483056696"/>
                  <w:bookmarkStart w:id="8" w:name="_Toc14913"/>
                  <w:bookmarkStart w:id="9" w:name="_Toc483056318"/>
                  <w:r>
                    <w:rPr>
                      <w:rFonts w:hint="eastAsia" w:ascii="Times New Roman" w:hAnsi="Times New Roman" w:cs="Times New Roman"/>
                      <w:color w:val="auto"/>
                      <w:sz w:val="21"/>
                      <w:szCs w:val="21"/>
                      <w:lang w:val="en-US" w:eastAsia="zh-CN"/>
                    </w:rPr>
                    <w:t>13</w:t>
                  </w:r>
                </w:p>
              </w:tc>
              <w:tc>
                <w:tcPr>
                  <w:tcW w:w="924" w:type="pct"/>
                  <w:shd w:val="clear" w:color="auto" w:fill="auto"/>
                  <w:noWrap w:val="0"/>
                  <w:vAlign w:val="center"/>
                </w:tcPr>
                <w:p w14:paraId="46CFBA8B">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计量</w:t>
                  </w:r>
                  <w:r>
                    <w:rPr>
                      <w:rFonts w:hint="eastAsia" w:ascii="Times New Roman" w:hAnsi="Times New Roman" w:cs="Times New Roman"/>
                      <w:color w:val="auto"/>
                      <w:kern w:val="0"/>
                      <w:sz w:val="21"/>
                      <w:szCs w:val="21"/>
                      <w:lang w:val="en-US" w:eastAsia="zh-CN" w:bidi="ar-SA"/>
                    </w:rPr>
                    <w:t>仓</w:t>
                  </w:r>
                </w:p>
              </w:tc>
              <w:tc>
                <w:tcPr>
                  <w:tcW w:w="1313" w:type="pct"/>
                  <w:shd w:val="clear" w:color="auto" w:fill="auto"/>
                  <w:noWrap w:val="0"/>
                  <w:vAlign w:val="center"/>
                </w:tcPr>
                <w:p w14:paraId="37994F58">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456" w:type="pct"/>
                  <w:shd w:val="clear" w:color="auto" w:fill="auto"/>
                  <w:noWrap w:val="0"/>
                  <w:vAlign w:val="center"/>
                </w:tcPr>
                <w:p w14:paraId="2FB93EC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个</w:t>
                  </w:r>
                </w:p>
              </w:tc>
              <w:tc>
                <w:tcPr>
                  <w:tcW w:w="411" w:type="pct"/>
                  <w:shd w:val="clear" w:color="auto" w:fill="auto"/>
                  <w:noWrap w:val="0"/>
                  <w:vAlign w:val="center"/>
                </w:tcPr>
                <w:p w14:paraId="46A80FA4">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3</w:t>
                  </w:r>
                </w:p>
              </w:tc>
              <w:tc>
                <w:tcPr>
                  <w:tcW w:w="1483" w:type="pct"/>
                  <w:noWrap w:val="0"/>
                  <w:vAlign w:val="center"/>
                </w:tcPr>
                <w:p w14:paraId="7507714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热料筛分</w:t>
                  </w:r>
                  <w:r>
                    <w:rPr>
                      <w:rFonts w:hint="eastAsia" w:ascii="Times New Roman" w:hAnsi="Times New Roman" w:eastAsia="宋体" w:cs="Times New Roman"/>
                      <w:color w:val="auto"/>
                      <w:kern w:val="0"/>
                      <w:sz w:val="21"/>
                      <w:szCs w:val="21"/>
                      <w:lang w:val="en-US" w:eastAsia="zh-CN" w:bidi="ar-SA"/>
                    </w:rPr>
                    <w:t>暂存</w:t>
                  </w:r>
                </w:p>
              </w:tc>
            </w:tr>
            <w:tr w14:paraId="4465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57555ED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14</w:t>
                  </w:r>
                </w:p>
              </w:tc>
              <w:tc>
                <w:tcPr>
                  <w:tcW w:w="924" w:type="pct"/>
                  <w:shd w:val="clear" w:color="auto" w:fill="auto"/>
                  <w:noWrap w:val="0"/>
                  <w:vAlign w:val="center"/>
                </w:tcPr>
                <w:p w14:paraId="66D1CD87">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eastAsia="宋体" w:cs="Times New Roman"/>
                      <w:spacing w:val="1"/>
                      <w:kern w:val="0"/>
                      <w:sz w:val="21"/>
                      <w:szCs w:val="16"/>
                      <w:lang w:val="en-US" w:eastAsia="zh-CN" w:bidi="ar-SA"/>
                    </w:rPr>
                  </w:pPr>
                  <w:r>
                    <w:rPr>
                      <w:rFonts w:hint="eastAsia" w:eastAsia="宋体" w:cs="Times New Roman"/>
                      <w:spacing w:val="1"/>
                      <w:kern w:val="0"/>
                      <w:sz w:val="21"/>
                      <w:szCs w:val="16"/>
                      <w:lang w:val="en-US" w:eastAsia="zh-CN" w:bidi="ar-SA"/>
                    </w:rPr>
                    <w:t>皮带运输机</w:t>
                  </w:r>
                </w:p>
              </w:tc>
              <w:tc>
                <w:tcPr>
                  <w:tcW w:w="1313" w:type="pct"/>
                  <w:shd w:val="clear" w:color="auto" w:fill="auto"/>
                  <w:noWrap w:val="0"/>
                  <w:vAlign w:val="center"/>
                </w:tcPr>
                <w:p w14:paraId="66F39E71">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456" w:type="pct"/>
                  <w:shd w:val="clear" w:color="auto" w:fill="auto"/>
                  <w:noWrap w:val="0"/>
                  <w:vAlign w:val="center"/>
                </w:tcPr>
                <w:p w14:paraId="19295821">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条</w:t>
                  </w:r>
                </w:p>
              </w:tc>
              <w:tc>
                <w:tcPr>
                  <w:tcW w:w="411" w:type="pct"/>
                  <w:shd w:val="clear" w:color="auto" w:fill="auto"/>
                  <w:noWrap w:val="0"/>
                  <w:vAlign w:val="center"/>
                </w:tcPr>
                <w:p w14:paraId="062BDEA8">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w:t>
                  </w:r>
                </w:p>
              </w:tc>
              <w:tc>
                <w:tcPr>
                  <w:tcW w:w="1483" w:type="pct"/>
                  <w:noWrap w:val="0"/>
                  <w:vAlign w:val="center"/>
                </w:tcPr>
                <w:p w14:paraId="0F5F813C">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3155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7254E422">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15</w:t>
                  </w:r>
                </w:p>
              </w:tc>
              <w:tc>
                <w:tcPr>
                  <w:tcW w:w="924" w:type="pct"/>
                  <w:shd w:val="clear" w:color="auto" w:fill="auto"/>
                  <w:noWrap w:val="0"/>
                  <w:vAlign w:val="center"/>
                </w:tcPr>
                <w:p w14:paraId="662CDC31">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eastAsia="宋体" w:cs="Times New Roman"/>
                      <w:spacing w:val="1"/>
                      <w:kern w:val="0"/>
                      <w:sz w:val="21"/>
                      <w:szCs w:val="16"/>
                      <w:lang w:val="en-US" w:eastAsia="zh-CN" w:bidi="ar-SA"/>
                    </w:rPr>
                  </w:pPr>
                  <w:r>
                    <w:rPr>
                      <w:rFonts w:hint="eastAsia" w:cs="Times New Roman"/>
                      <w:spacing w:val="1"/>
                      <w:kern w:val="0"/>
                      <w:sz w:val="21"/>
                      <w:szCs w:val="16"/>
                      <w:lang w:val="en-US" w:eastAsia="zh-CN" w:bidi="ar-SA"/>
                    </w:rPr>
                    <w:t>旋风除尘器</w:t>
                  </w:r>
                </w:p>
              </w:tc>
              <w:tc>
                <w:tcPr>
                  <w:tcW w:w="1313" w:type="pct"/>
                  <w:shd w:val="clear" w:color="auto" w:fill="auto"/>
                  <w:noWrap w:val="0"/>
                  <w:vAlign w:val="center"/>
                </w:tcPr>
                <w:p w14:paraId="516D7B47">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456" w:type="pct"/>
                  <w:shd w:val="clear" w:color="auto" w:fill="auto"/>
                  <w:noWrap w:val="0"/>
                  <w:vAlign w:val="center"/>
                </w:tcPr>
                <w:p w14:paraId="33B55494">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套</w:t>
                  </w:r>
                </w:p>
              </w:tc>
              <w:tc>
                <w:tcPr>
                  <w:tcW w:w="411" w:type="pct"/>
                  <w:shd w:val="clear" w:color="auto" w:fill="auto"/>
                  <w:noWrap w:val="0"/>
                  <w:vAlign w:val="center"/>
                </w:tcPr>
                <w:p w14:paraId="7CE090EE">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w:t>
                  </w:r>
                </w:p>
              </w:tc>
              <w:tc>
                <w:tcPr>
                  <w:tcW w:w="1483" w:type="pct"/>
                  <w:noWrap w:val="0"/>
                  <w:vAlign w:val="center"/>
                </w:tcPr>
                <w:p w14:paraId="59BC328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1289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shd w:val="clear" w:color="auto" w:fill="auto"/>
                  <w:noWrap w:val="0"/>
                  <w:vAlign w:val="center"/>
                </w:tcPr>
                <w:p w14:paraId="677C593A">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16</w:t>
                  </w:r>
                </w:p>
              </w:tc>
              <w:tc>
                <w:tcPr>
                  <w:tcW w:w="924" w:type="pct"/>
                  <w:shd w:val="clear" w:color="auto" w:fill="auto"/>
                  <w:noWrap w:val="0"/>
                  <w:vAlign w:val="center"/>
                </w:tcPr>
                <w:p w14:paraId="7E67A303">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default" w:cs="Times New Roman"/>
                      <w:spacing w:val="1"/>
                      <w:kern w:val="0"/>
                      <w:sz w:val="21"/>
                      <w:szCs w:val="16"/>
                      <w:lang w:val="en-US" w:eastAsia="zh-CN" w:bidi="ar-SA"/>
                    </w:rPr>
                  </w:pPr>
                  <w:r>
                    <w:rPr>
                      <w:rFonts w:hint="eastAsia" w:cs="Times New Roman"/>
                      <w:spacing w:val="1"/>
                      <w:kern w:val="0"/>
                      <w:sz w:val="21"/>
                      <w:szCs w:val="16"/>
                      <w:lang w:val="en-US" w:eastAsia="zh-CN" w:bidi="ar-SA"/>
                    </w:rPr>
                    <w:t>布袋除尘器</w:t>
                  </w:r>
                </w:p>
              </w:tc>
              <w:tc>
                <w:tcPr>
                  <w:tcW w:w="1313" w:type="pct"/>
                  <w:shd w:val="clear" w:color="auto" w:fill="auto"/>
                  <w:noWrap w:val="0"/>
                  <w:vAlign w:val="center"/>
                </w:tcPr>
                <w:p w14:paraId="71329A49">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456" w:type="pct"/>
                  <w:shd w:val="clear" w:color="auto" w:fill="auto"/>
                  <w:noWrap w:val="0"/>
                  <w:vAlign w:val="center"/>
                </w:tcPr>
                <w:p w14:paraId="73BBF6A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套</w:t>
                  </w:r>
                </w:p>
              </w:tc>
              <w:tc>
                <w:tcPr>
                  <w:tcW w:w="411" w:type="pct"/>
                  <w:shd w:val="clear" w:color="auto" w:fill="auto"/>
                  <w:noWrap w:val="0"/>
                  <w:vAlign w:val="center"/>
                </w:tcPr>
                <w:p w14:paraId="4BD03236">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0" w:firstLineChars="0"/>
                    <w:jc w:val="center"/>
                    <w:textAlignment w:val="auto"/>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w:t>
                  </w:r>
                </w:p>
              </w:tc>
              <w:tc>
                <w:tcPr>
                  <w:tcW w:w="1483" w:type="pct"/>
                  <w:noWrap w:val="0"/>
                  <w:vAlign w:val="center"/>
                </w:tcPr>
                <w:p w14:paraId="01D402A8">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1391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0" w:type="pct"/>
                  <w:noWrap w:val="0"/>
                  <w:vAlign w:val="center"/>
                </w:tcPr>
                <w:p w14:paraId="0D2439A7">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924" w:type="pct"/>
                  <w:shd w:val="clear" w:color="auto" w:fill="auto"/>
                  <w:noWrap w:val="0"/>
                  <w:vAlign w:val="center"/>
                </w:tcPr>
                <w:p w14:paraId="6AF2306D">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引风机</w:t>
                  </w:r>
                </w:p>
              </w:tc>
              <w:tc>
                <w:tcPr>
                  <w:tcW w:w="1313" w:type="pct"/>
                  <w:shd w:val="clear" w:color="auto" w:fill="auto"/>
                  <w:noWrap w:val="0"/>
                  <w:vAlign w:val="center"/>
                </w:tcPr>
                <w:p w14:paraId="61EED330">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456" w:type="pct"/>
                  <w:shd w:val="clear" w:color="auto" w:fill="auto"/>
                  <w:noWrap w:val="0"/>
                  <w:vAlign w:val="center"/>
                </w:tcPr>
                <w:p w14:paraId="14904259">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个</w:t>
                  </w:r>
                </w:p>
              </w:tc>
              <w:tc>
                <w:tcPr>
                  <w:tcW w:w="411" w:type="pct"/>
                  <w:shd w:val="clear" w:color="auto" w:fill="auto"/>
                  <w:noWrap w:val="0"/>
                  <w:vAlign w:val="center"/>
                </w:tcPr>
                <w:p w14:paraId="7CC3E936">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highlight w:val="none"/>
                      <w:lang w:val="en-US" w:eastAsia="zh-CN" w:bidi="ar-SA"/>
                    </w:rPr>
                    <w:t>2</w:t>
                  </w:r>
                </w:p>
              </w:tc>
              <w:tc>
                <w:tcPr>
                  <w:tcW w:w="1483" w:type="pct"/>
                  <w:noWrap w:val="0"/>
                  <w:vAlign w:val="center"/>
                </w:tcPr>
                <w:p w14:paraId="5160C8BD">
                  <w:pPr>
                    <w:pStyle w:val="14"/>
                    <w:keepNext w:val="0"/>
                    <w:keepLines w:val="0"/>
                    <w:pageBreakBefore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废气收集</w:t>
                  </w:r>
                </w:p>
              </w:tc>
            </w:tr>
          </w:tbl>
          <w:p w14:paraId="7C725912">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color w:val="auto"/>
                <w:szCs w:val="22"/>
              </w:rPr>
            </w:pPr>
            <w:r>
              <w:rPr>
                <w:rFonts w:hint="eastAsia" w:ascii="Times New Roman" w:hAnsi="Times New Roman" w:eastAsia="宋体" w:cs="Times New Roman"/>
                <w:b/>
                <w:color w:val="auto"/>
                <w:szCs w:val="22"/>
                <w:lang w:val="en-US" w:eastAsia="zh-CN"/>
              </w:rPr>
              <w:t>七</w:t>
            </w:r>
            <w:r>
              <w:rPr>
                <w:rFonts w:hint="default" w:ascii="Times New Roman" w:hAnsi="Times New Roman" w:eastAsia="宋体" w:cs="Times New Roman"/>
                <w:b/>
                <w:color w:val="auto"/>
                <w:szCs w:val="22"/>
              </w:rPr>
              <w:t>、项目定员及工作制</w:t>
            </w:r>
            <w:bookmarkEnd w:id="7"/>
            <w:bookmarkEnd w:id="8"/>
            <w:bookmarkEnd w:id="9"/>
            <w:r>
              <w:rPr>
                <w:rFonts w:hint="default" w:ascii="Times New Roman" w:hAnsi="Times New Roman" w:eastAsia="宋体" w:cs="Times New Roman"/>
                <w:b/>
                <w:color w:val="auto"/>
                <w:szCs w:val="22"/>
              </w:rPr>
              <w:t>度</w:t>
            </w:r>
          </w:p>
          <w:p w14:paraId="5C08F8B2">
            <w:pPr>
              <w:keepNext w:val="0"/>
              <w:keepLines w:val="0"/>
              <w:widowControl/>
              <w:suppressLineNumbers w:val="0"/>
              <w:jc w:val="left"/>
              <w:rPr>
                <w:rFonts w:hint="default" w:ascii="Times New Roman" w:hAnsi="Times New Roman" w:eastAsia="宋体" w:cs="Times New Roman"/>
                <w:color w:val="000000" w:themeColor="text1"/>
                <w:szCs w:val="22"/>
                <w:highlight w:val="none"/>
                <w14:textFill>
                  <w14:solidFill>
                    <w14:schemeClr w14:val="tx1"/>
                  </w14:solidFill>
                </w14:textFill>
              </w:rPr>
            </w:pPr>
            <w:bookmarkStart w:id="10" w:name="_Toc483056697"/>
            <w:bookmarkStart w:id="11" w:name="_Toc483056319"/>
            <w:bookmarkStart w:id="12" w:name="_Toc30069"/>
            <w:r>
              <w:rPr>
                <w:rFonts w:hint="default" w:ascii="Times New Roman" w:hAnsi="Times New Roman" w:eastAsia="宋体" w:cs="Times New Roman"/>
                <w:color w:val="000000" w:themeColor="text1"/>
                <w:szCs w:val="22"/>
                <w:highlight w:val="none"/>
                <w14:textFill>
                  <w14:solidFill>
                    <w14:schemeClr w14:val="tx1"/>
                  </w14:solidFill>
                </w14:textFill>
              </w:rPr>
              <w:t>本项目劳动定</w:t>
            </w:r>
            <w:r>
              <w:rPr>
                <w:rFonts w:hint="default" w:ascii="Times New Roman" w:hAnsi="Times New Roman" w:eastAsia="宋体" w:cs="Times New Roman"/>
                <w:color w:val="auto"/>
                <w:szCs w:val="22"/>
                <w:highlight w:val="none"/>
              </w:rPr>
              <w:t>员</w:t>
            </w:r>
            <w:r>
              <w:rPr>
                <w:rFonts w:hint="eastAsia" w:cs="Times New Roman"/>
                <w:color w:val="auto"/>
                <w:szCs w:val="22"/>
                <w:highlight w:val="none"/>
                <w:lang w:val="en-US" w:eastAsia="zh-CN"/>
              </w:rPr>
              <w:t>4</w:t>
            </w:r>
            <w:r>
              <w:rPr>
                <w:rFonts w:hint="default" w:ascii="Times New Roman" w:hAnsi="Times New Roman" w:eastAsia="宋体" w:cs="Times New Roman"/>
                <w:color w:val="auto"/>
                <w:szCs w:val="22"/>
                <w:highlight w:val="none"/>
              </w:rPr>
              <w:t>人</w:t>
            </w:r>
            <w:r>
              <w:rPr>
                <w:rFonts w:hint="default" w:ascii="Times New Roman" w:hAnsi="Times New Roman" w:eastAsia="宋体" w:cs="Times New Roman"/>
                <w:b w:val="0"/>
                <w:bCs/>
                <w:color w:val="auto"/>
                <w:sz w:val="24"/>
                <w:szCs w:val="24"/>
                <w:highlight w:val="none"/>
                <w:lang w:val="en-US" w:eastAsia="zh-CN"/>
              </w:rPr>
              <w:t>，</w:t>
            </w:r>
            <w:r>
              <w:rPr>
                <w:rFonts w:hint="eastAsia" w:cs="Times New Roman"/>
                <w:b w:val="0"/>
                <w:bCs/>
                <w:color w:val="auto"/>
                <w:sz w:val="24"/>
                <w:szCs w:val="24"/>
                <w:highlight w:val="none"/>
                <w:lang w:val="en-US" w:eastAsia="zh-CN"/>
              </w:rPr>
              <w:t>为周围村民，</w:t>
            </w:r>
            <w:r>
              <w:rPr>
                <w:rFonts w:hint="eastAsia" w:ascii="Times New Roman" w:hAnsi="Times New Roman" w:eastAsia="宋体" w:cs="Times New Roman"/>
                <w:b w:val="0"/>
                <w:bCs/>
                <w:color w:val="auto"/>
                <w:sz w:val="24"/>
                <w:szCs w:val="24"/>
                <w:highlight w:val="none"/>
                <w:lang w:val="en-US" w:eastAsia="zh-CN"/>
              </w:rPr>
              <w:t>不</w:t>
            </w:r>
            <w:r>
              <w:rPr>
                <w:rFonts w:hint="default" w:ascii="Times New Roman" w:hAnsi="Times New Roman" w:eastAsia="宋体" w:cs="Times New Roman"/>
                <w:b w:val="0"/>
                <w:bCs/>
                <w:color w:val="auto"/>
                <w:sz w:val="24"/>
                <w:szCs w:val="24"/>
                <w:highlight w:val="none"/>
                <w:lang w:val="en-US" w:eastAsia="zh-CN"/>
              </w:rPr>
              <w:t>在项目区</w:t>
            </w:r>
            <w:r>
              <w:rPr>
                <w:rFonts w:hint="eastAsia" w:cs="Times New Roman"/>
                <w:b w:val="0"/>
                <w:bCs/>
                <w:color w:val="auto"/>
                <w:sz w:val="24"/>
                <w:szCs w:val="24"/>
                <w:highlight w:val="none"/>
                <w:lang w:val="en-US" w:eastAsia="zh-CN"/>
              </w:rPr>
              <w:t>食宿</w:t>
            </w:r>
            <w:r>
              <w:rPr>
                <w:rFonts w:hint="default" w:ascii="Times New Roman" w:hAnsi="Times New Roman" w:eastAsia="宋体" w:cs="Times New Roman"/>
                <w:color w:val="auto"/>
                <w:szCs w:val="22"/>
                <w:highlight w:val="none"/>
              </w:rPr>
              <w:t>，实行一班制，每天工作8小时，年平均工作</w:t>
            </w:r>
            <w:r>
              <w:rPr>
                <w:rFonts w:hint="eastAsia" w:cs="Times New Roman"/>
                <w:color w:val="auto"/>
                <w:szCs w:val="22"/>
                <w:highlight w:val="none"/>
                <w:lang w:val="en-US" w:eastAsia="zh-CN"/>
              </w:rPr>
              <w:t>180</w:t>
            </w:r>
            <w:r>
              <w:rPr>
                <w:rFonts w:hint="default" w:ascii="Times New Roman" w:hAnsi="Times New Roman" w:eastAsia="宋体" w:cs="Times New Roman"/>
                <w:color w:val="auto"/>
                <w:szCs w:val="22"/>
                <w:highlight w:val="none"/>
              </w:rPr>
              <w:t>天</w:t>
            </w:r>
            <w:r>
              <w:rPr>
                <w:rFonts w:hint="default" w:ascii="Times New Roman" w:hAnsi="Times New Roman" w:eastAsia="宋体" w:cs="Times New Roman"/>
                <w:color w:val="auto"/>
                <w:kern w:val="0"/>
                <w:sz w:val="24"/>
                <w:szCs w:val="24"/>
                <w:highlight w:val="none"/>
                <w:lang w:val="en-US" w:eastAsia="zh-CN" w:bidi="ar"/>
              </w:rPr>
              <w:t>，夜间不生产</w:t>
            </w:r>
            <w:r>
              <w:rPr>
                <w:rFonts w:hint="default" w:ascii="Times New Roman" w:hAnsi="Times New Roman" w:eastAsia="宋体" w:cs="Times New Roman"/>
                <w:color w:val="auto"/>
                <w:szCs w:val="22"/>
                <w:highlight w:val="none"/>
              </w:rPr>
              <w:t>。</w:t>
            </w:r>
            <w:bookmarkEnd w:id="10"/>
            <w:bookmarkEnd w:id="11"/>
            <w:bookmarkEnd w:id="12"/>
          </w:p>
          <w:p w14:paraId="71971E1F">
            <w:pPr>
              <w:pStyle w:val="10"/>
              <w:keepNext w:val="0"/>
              <w:keepLines w:val="0"/>
              <w:pageBreakBefore w:val="0"/>
              <w:widowControl w:val="0"/>
              <w:kinsoku/>
              <w:wordWrap/>
              <w:overflowPunct/>
              <w:topLinePunct w:val="0"/>
              <w:autoSpaceDE/>
              <w:autoSpaceDN/>
              <w:bidi w:val="0"/>
              <w:adjustRightInd/>
              <w:spacing w:line="360" w:lineRule="auto"/>
              <w:ind w:firstLine="482"/>
              <w:jc w:val="both"/>
              <w:textAlignment w:val="auto"/>
              <w:rPr>
                <w:rFonts w:hint="default" w:ascii="Times New Roman" w:hAnsi="Times New Roman" w:eastAsia="宋体" w:cs="Times New Roman"/>
                <w:b/>
                <w:color w:val="auto"/>
                <w:lang w:val="en-US"/>
              </w:rPr>
            </w:pPr>
            <w:r>
              <w:rPr>
                <w:rFonts w:hint="eastAsia" w:ascii="Times New Roman" w:hAnsi="Times New Roman" w:eastAsia="宋体" w:cs="Times New Roman"/>
                <w:b/>
                <w:color w:val="auto"/>
                <w:szCs w:val="22"/>
                <w:lang w:val="en-US" w:eastAsia="zh-CN"/>
              </w:rPr>
              <w:t>八</w:t>
            </w:r>
            <w:r>
              <w:rPr>
                <w:rFonts w:hint="default" w:ascii="Times New Roman" w:hAnsi="Times New Roman" w:eastAsia="宋体" w:cs="Times New Roman"/>
                <w:b/>
                <w:color w:val="auto"/>
                <w:szCs w:val="22"/>
              </w:rPr>
              <w:t>、</w:t>
            </w:r>
            <w:r>
              <w:rPr>
                <w:rFonts w:hint="default" w:ascii="Times New Roman" w:hAnsi="Times New Roman" w:eastAsia="宋体" w:cs="Times New Roman"/>
                <w:b/>
                <w:color w:val="auto"/>
              </w:rPr>
              <w:t>项目用水情况</w:t>
            </w:r>
            <w:r>
              <w:rPr>
                <w:rFonts w:hint="eastAsia" w:cs="Times New Roman"/>
                <w:b/>
                <w:color w:val="auto"/>
                <w:lang w:eastAsia="zh-CN"/>
              </w:rPr>
              <w:t>、</w:t>
            </w:r>
            <w:r>
              <w:rPr>
                <w:rFonts w:hint="default" w:ascii="Times New Roman" w:hAnsi="Times New Roman" w:eastAsia="宋体" w:cs="Times New Roman"/>
                <w:b/>
                <w:color w:val="auto"/>
              </w:rPr>
              <w:t>水量平衡</w:t>
            </w:r>
          </w:p>
          <w:p w14:paraId="11914FFA">
            <w:pPr>
              <w:keepNext w:val="0"/>
              <w:keepLines w:val="0"/>
              <w:pageBreakBefore w:val="0"/>
              <w:widowControl w:val="0"/>
              <w:kinsoku/>
              <w:wordWrap/>
              <w:overflowPunct/>
              <w:topLinePunct w:val="0"/>
              <w:autoSpaceDE/>
              <w:autoSpaceDN/>
              <w:bidi w:val="0"/>
              <w:adjustRightInd/>
              <w:spacing w:line="360" w:lineRule="auto"/>
              <w:ind w:firstLine="482"/>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1、用水情况</w:t>
            </w:r>
          </w:p>
          <w:p w14:paraId="1403868B">
            <w:pPr>
              <w:ind w:firstLine="482"/>
              <w:rPr>
                <w:rFonts w:hint="default" w:ascii="Times New Roman" w:hAnsi="Times New Roman" w:eastAsia="宋体" w:cs="Times New Roman"/>
                <w:b/>
                <w:color w:val="auto"/>
                <w:szCs w:val="22"/>
                <w:lang w:val="en-US" w:eastAsia="zh-CN"/>
              </w:rPr>
            </w:pPr>
            <w:r>
              <w:rPr>
                <w:rFonts w:hint="default" w:ascii="Times New Roman" w:hAnsi="Times New Roman" w:eastAsia="宋体" w:cs="Times New Roman"/>
                <w:color w:val="auto"/>
              </w:rPr>
              <w:t>本项</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目运</w:t>
            </w:r>
            <w:r>
              <w:rPr>
                <w:rFonts w:hint="default" w:ascii="Times New Roman" w:hAnsi="Times New Roman" w:eastAsia="宋体" w:cs="Times New Roman"/>
                <w:color w:val="auto"/>
              </w:rPr>
              <w:t>营期用水主要为</w:t>
            </w:r>
            <w:r>
              <w:rPr>
                <w:rFonts w:hint="eastAsia" w:ascii="Times New Roman" w:hAnsi="Times New Roman" w:eastAsia="宋体" w:cs="Times New Roman"/>
                <w:color w:val="auto"/>
                <w:lang w:val="en-US" w:eastAsia="zh-CN"/>
              </w:rPr>
              <w:t xml:space="preserve">运输车辆清洗用水、员工办公用水、洒水降尘用水。     </w:t>
            </w:r>
          </w:p>
          <w:p w14:paraId="796148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运输车辆清洗用水</w:t>
            </w:r>
          </w:p>
          <w:p w14:paraId="6EFD91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项目运输车辆进出厂区时，车轮上沾有的泥土灰尘会导致运输道路扬尘的产生。</w:t>
            </w:r>
          </w:p>
          <w:p w14:paraId="17882285">
            <w:pPr>
              <w:tabs>
                <w:tab w:val="right" w:pos="8306"/>
              </w:tabs>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沥青混凝土生产线物</w:t>
            </w:r>
            <w:r>
              <w:rPr>
                <w:rFonts w:hint="eastAsia" w:ascii="Times New Roman" w:hAnsi="Times New Roman" w:eastAsia="宋体" w:cs="Times New Roman"/>
                <w:color w:val="auto"/>
                <w:sz w:val="24"/>
              </w:rPr>
              <w:t>料运</w:t>
            </w:r>
            <w:r>
              <w:rPr>
                <w:rFonts w:ascii="Times New Roman" w:hAnsi="Times New Roman" w:eastAsia="宋体" w:cs="Times New Roman"/>
                <w:color w:val="auto"/>
                <w:sz w:val="24"/>
              </w:rPr>
              <w:t>输量约为</w:t>
            </w:r>
            <w:r>
              <w:rPr>
                <w:rFonts w:hint="eastAsia" w:cs="Times New Roman"/>
                <w:color w:val="auto"/>
                <w:sz w:val="24"/>
                <w:highlight w:val="none"/>
                <w:lang w:val="en-US" w:eastAsia="zh-CN"/>
              </w:rPr>
              <w:t>108150</w:t>
            </w:r>
            <w:r>
              <w:rPr>
                <w:rFonts w:ascii="Times New Roman" w:hAnsi="Times New Roman" w:eastAsia="宋体" w:cs="Times New Roman"/>
                <w:color w:val="auto"/>
                <w:sz w:val="24"/>
              </w:rPr>
              <w:t>t/a，运输车辆平均载重</w:t>
            </w:r>
            <w:r>
              <w:rPr>
                <w:rFonts w:hint="eastAsia" w:cs="Times New Roman"/>
                <w:color w:val="auto"/>
                <w:sz w:val="24"/>
                <w:lang w:val="en-US" w:eastAsia="zh-CN"/>
              </w:rPr>
              <w:t>约</w:t>
            </w:r>
            <w:r>
              <w:rPr>
                <w:rFonts w:ascii="Times New Roman" w:hAnsi="Times New Roman" w:eastAsia="宋体" w:cs="Times New Roman"/>
                <w:color w:val="auto"/>
                <w:sz w:val="24"/>
              </w:rPr>
              <w:t>20t，则共运输</w:t>
            </w:r>
            <w:r>
              <w:rPr>
                <w:rFonts w:hint="eastAsia" w:cs="Times New Roman"/>
                <w:color w:val="auto"/>
                <w:sz w:val="24"/>
                <w:lang w:val="en-US" w:eastAsia="zh-CN"/>
              </w:rPr>
              <w:t>5408</w:t>
            </w:r>
            <w:r>
              <w:rPr>
                <w:rFonts w:ascii="Times New Roman" w:hAnsi="Times New Roman" w:eastAsia="宋体" w:cs="Times New Roman"/>
                <w:color w:val="auto"/>
                <w:sz w:val="24"/>
              </w:rPr>
              <w:t>车次/a。</w:t>
            </w:r>
            <w:r>
              <w:rPr>
                <w:rFonts w:hint="eastAsia"/>
                <w:color w:val="auto"/>
                <w:lang w:val="en-US" w:eastAsia="zh-CN"/>
              </w:rPr>
              <w:t>根据《云南省用水定额标准》（DT53/T168-2019）中清洗服务（洗车）循环用水，中型以上客车、货车</w:t>
            </w:r>
            <w:r>
              <w:rPr>
                <w:rFonts w:ascii="Times New Roman" w:hAnsi="Times New Roman" w:eastAsia="宋体" w:cs="Times New Roman"/>
                <w:color w:val="auto"/>
                <w:sz w:val="24"/>
              </w:rPr>
              <w:t>清洗用水量按0.04m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/次计，则清洗用水量为</w:t>
            </w:r>
            <w:r>
              <w:rPr>
                <w:rFonts w:hint="eastAsia" w:cs="Times New Roman"/>
                <w:color w:val="auto"/>
                <w:sz w:val="24"/>
                <w:lang w:val="en-US" w:eastAsia="zh-CN"/>
              </w:rPr>
              <w:t>1.202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w:t>
            </w:r>
            <w:r>
              <w:rPr>
                <w:rFonts w:hint="eastAsia" w:cs="Times New Roman"/>
                <w:color w:val="auto"/>
                <w:sz w:val="24"/>
                <w:lang w:val="en-US" w:eastAsia="zh-CN"/>
              </w:rPr>
              <w:t>216.32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/a），产污系数按</w:t>
            </w:r>
            <w:r>
              <w:rPr>
                <w:rFonts w:hint="eastAsia" w:ascii="Times New Roman" w:hAnsi="Times New Roman" w:eastAsia="宋体" w:cs="Times New Roman"/>
                <w:color w:val="auto"/>
                <w:sz w:val="24"/>
                <w:lang w:val="en-US" w:eastAsia="zh-CN"/>
              </w:rPr>
              <w:t>0.8</w:t>
            </w:r>
            <w:r>
              <w:rPr>
                <w:rFonts w:ascii="Times New Roman" w:hAnsi="Times New Roman" w:eastAsia="宋体" w:cs="Times New Roman"/>
                <w:color w:val="auto"/>
                <w:sz w:val="24"/>
              </w:rPr>
              <w:t>计，运输车</w:t>
            </w:r>
            <w:r>
              <w:rPr>
                <w:rFonts w:hint="eastAsia" w:ascii="Times New Roman" w:hAnsi="Times New Roman" w:eastAsia="宋体" w:cs="Times New Roman"/>
                <w:color w:val="auto"/>
                <w:sz w:val="24"/>
                <w:lang w:val="en-US" w:eastAsia="zh-CN"/>
              </w:rPr>
              <w:t>辆</w:t>
            </w:r>
            <w:r>
              <w:rPr>
                <w:rFonts w:ascii="Times New Roman" w:hAnsi="Times New Roman" w:eastAsia="宋体" w:cs="Times New Roman"/>
                <w:color w:val="auto"/>
                <w:sz w:val="24"/>
              </w:rPr>
              <w:t>清洗废水产生量为</w:t>
            </w:r>
            <w:r>
              <w:rPr>
                <w:rFonts w:hint="eastAsia" w:cs="Times New Roman"/>
                <w:color w:val="auto"/>
                <w:sz w:val="24"/>
                <w:lang w:val="en-US" w:eastAsia="zh-CN"/>
              </w:rPr>
              <w:t>0.962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w:t>
            </w:r>
            <w:r>
              <w:rPr>
                <w:rFonts w:hint="eastAsia" w:cs="Times New Roman"/>
                <w:color w:val="auto"/>
                <w:sz w:val="24"/>
                <w:lang w:val="en-US" w:eastAsia="zh-CN"/>
              </w:rPr>
              <w:t>173.16</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/a），在</w:t>
            </w:r>
            <w:r>
              <w:rPr>
                <w:rFonts w:hint="eastAsia" w:cs="Times New Roman"/>
                <w:color w:val="auto"/>
                <w:sz w:val="24"/>
                <w:lang w:val="en-US" w:eastAsia="zh-CN"/>
              </w:rPr>
              <w:t>项目</w:t>
            </w:r>
            <w:r>
              <w:rPr>
                <w:rFonts w:ascii="Times New Roman" w:hAnsi="Times New Roman" w:eastAsia="宋体" w:cs="Times New Roman"/>
                <w:color w:val="auto"/>
                <w:sz w:val="24"/>
              </w:rPr>
              <w:t>进出口处设置1个容积为</w:t>
            </w:r>
            <w:r>
              <w:rPr>
                <w:rFonts w:hint="eastAsia" w:cs="Times New Roman"/>
                <w:color w:val="auto"/>
                <w:sz w:val="24"/>
                <w:lang w:val="en-US" w:eastAsia="zh-CN"/>
              </w:rPr>
              <w:t>5</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洗车池</w:t>
            </w:r>
            <w:r>
              <w:rPr>
                <w:rFonts w:hint="eastAsia" w:cs="Times New Roman"/>
                <w:color w:val="auto"/>
                <w:sz w:val="24"/>
                <w:lang w:val="en-US" w:eastAsia="zh-CN"/>
              </w:rPr>
              <w:t>收集</w:t>
            </w:r>
            <w:r>
              <w:rPr>
                <w:rFonts w:hint="eastAsia" w:ascii="Times New Roman" w:hAnsi="Times New Roman" w:eastAsia="宋体" w:cs="Times New Roman"/>
                <w:color w:val="auto"/>
                <w:sz w:val="24"/>
                <w:lang w:val="en-US" w:eastAsia="zh-CN"/>
              </w:rPr>
              <w:t>运输车辆清洗废水</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清洗废水循环使用，</w:t>
            </w:r>
            <w:r>
              <w:rPr>
                <w:rFonts w:hint="eastAsia" w:eastAsia="宋体" w:cs="Times New Roman"/>
                <w:color w:val="auto"/>
                <w:sz w:val="24"/>
                <w:lang w:val="en-US" w:eastAsia="zh-CN"/>
              </w:rPr>
              <w:t>当不能满足洗车条件后用于厂区洒水降尘，</w:t>
            </w:r>
            <w:r>
              <w:rPr>
                <w:rFonts w:hint="eastAsia" w:ascii="Times New Roman" w:hAnsi="Times New Roman" w:eastAsia="宋体" w:cs="Times New Roman"/>
                <w:color w:val="auto"/>
                <w:sz w:val="24"/>
                <w:lang w:val="en-US" w:eastAsia="zh-CN"/>
              </w:rPr>
              <w:t>不外排，</w:t>
            </w:r>
            <w:r>
              <w:rPr>
                <w:rFonts w:hint="eastAsia" w:cs="Times New Roman"/>
                <w:color w:val="auto"/>
                <w:sz w:val="24"/>
                <w:lang w:val="en-US" w:eastAsia="zh-CN"/>
              </w:rPr>
              <w:t>清洗过程中存在一定损耗，损耗约20％，</w:t>
            </w:r>
            <w:r>
              <w:rPr>
                <w:rFonts w:hint="eastAsia" w:ascii="Times New Roman" w:hAnsi="Times New Roman" w:eastAsia="宋体" w:cs="Times New Roman"/>
                <w:color w:val="auto"/>
                <w:sz w:val="24"/>
                <w:lang w:val="en-US" w:eastAsia="zh-CN"/>
              </w:rPr>
              <w:t>每天定期补充损耗，补充量为0.</w:t>
            </w:r>
            <w:r>
              <w:rPr>
                <w:rFonts w:hint="eastAsia" w:cs="Times New Roman"/>
                <w:color w:val="auto"/>
                <w:sz w:val="24"/>
                <w:lang w:val="en-US" w:eastAsia="zh-CN"/>
              </w:rPr>
              <w:t>24</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w:t>
            </w:r>
            <w:r>
              <w:rPr>
                <w:rFonts w:hint="eastAsia" w:cs="Times New Roman"/>
                <w:color w:val="auto"/>
                <w:sz w:val="24"/>
                <w:lang w:val="en-US" w:eastAsia="zh-CN"/>
              </w:rPr>
              <w:t>43.2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p>
          <w:p w14:paraId="78BADA9A">
            <w:pPr>
              <w:adjustRightIn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lang w:val="en-US" w:eastAsia="zh-CN"/>
              </w:rPr>
              <w:t>员工办公用水</w:t>
            </w:r>
          </w:p>
          <w:p w14:paraId="30727CB9">
            <w:pPr>
              <w:pStyle w:val="10"/>
              <w:keepNext w:val="0"/>
              <w:keepLines w:val="0"/>
              <w:pageBreakBefore w:val="0"/>
              <w:widowControl w:val="0"/>
              <w:kinsoku/>
              <w:wordWrap/>
              <w:overflowPunct/>
              <w:topLinePunct w:val="0"/>
              <w:autoSpaceDE/>
              <w:autoSpaceDN/>
              <w:bidi w:val="0"/>
              <w:adjustRightInd/>
              <w:spacing w:line="360" w:lineRule="auto"/>
              <w:ind w:firstLine="480"/>
              <w:jc w:val="left"/>
              <w:textAlignment w:val="auto"/>
              <w:rPr>
                <w:rFonts w:hint="eastAsia" w:ascii="Times New Roman" w:hAnsi="Times New Roman" w:eastAsia="宋体" w:cs="Times New Roman"/>
                <w:color w:val="auto"/>
                <w:spacing w:val="0"/>
                <w:kern w:val="2"/>
                <w:sz w:val="24"/>
                <w:szCs w:val="22"/>
                <w:lang w:val="en-US" w:eastAsia="zh-CN" w:bidi="ar-SA"/>
              </w:rPr>
            </w:pPr>
            <w:r>
              <w:rPr>
                <w:rFonts w:hint="eastAsia" w:ascii="Times New Roman" w:hAnsi="Times New Roman" w:eastAsia="宋体" w:cs="Times New Roman"/>
                <w:color w:val="auto"/>
                <w:spacing w:val="0"/>
                <w:kern w:val="2"/>
                <w:sz w:val="24"/>
                <w:szCs w:val="22"/>
                <w:lang w:val="en-US" w:eastAsia="zh-CN" w:bidi="ar-SA"/>
              </w:rPr>
              <w:t>本项目</w:t>
            </w:r>
            <w:r>
              <w:rPr>
                <w:rFonts w:hint="eastAsia" w:cs="Times New Roman"/>
                <w:color w:val="auto"/>
                <w:spacing w:val="0"/>
                <w:kern w:val="2"/>
                <w:sz w:val="24"/>
                <w:szCs w:val="22"/>
                <w:lang w:val="en-US" w:eastAsia="zh-CN" w:bidi="ar-SA"/>
              </w:rPr>
              <w:t>劳动定员</w:t>
            </w:r>
            <w:r>
              <w:rPr>
                <w:rFonts w:hint="eastAsia" w:ascii="Times New Roman" w:hAnsi="Times New Roman" w:eastAsia="宋体" w:cs="Times New Roman"/>
                <w:color w:val="auto"/>
                <w:spacing w:val="0"/>
                <w:kern w:val="2"/>
                <w:sz w:val="24"/>
                <w:szCs w:val="22"/>
                <w:lang w:val="en-US" w:eastAsia="zh-CN" w:bidi="ar-SA"/>
              </w:rPr>
              <w:t>为</w:t>
            </w:r>
            <w:r>
              <w:rPr>
                <w:rFonts w:hint="eastAsia" w:cs="Times New Roman"/>
                <w:color w:val="auto"/>
                <w:spacing w:val="0"/>
                <w:kern w:val="2"/>
                <w:sz w:val="24"/>
                <w:szCs w:val="22"/>
                <w:highlight w:val="none"/>
                <w:lang w:val="en-US" w:eastAsia="zh-CN" w:bidi="ar-SA"/>
              </w:rPr>
              <w:t>4</w:t>
            </w:r>
            <w:r>
              <w:rPr>
                <w:rFonts w:hint="eastAsia" w:ascii="Times New Roman" w:hAnsi="Times New Roman" w:eastAsia="宋体" w:cs="Times New Roman"/>
                <w:color w:val="auto"/>
                <w:spacing w:val="0"/>
                <w:kern w:val="2"/>
                <w:sz w:val="24"/>
                <w:szCs w:val="22"/>
                <w:highlight w:val="none"/>
                <w:lang w:val="en-US" w:eastAsia="zh-CN" w:bidi="ar-SA"/>
              </w:rPr>
              <w:t>人</w:t>
            </w:r>
            <w:r>
              <w:rPr>
                <w:rFonts w:hint="eastAsia" w:ascii="Times New Roman" w:hAnsi="Times New Roman" w:eastAsia="宋体" w:cs="Times New Roman"/>
                <w:color w:val="auto"/>
                <w:spacing w:val="0"/>
                <w:kern w:val="2"/>
                <w:sz w:val="24"/>
                <w:szCs w:val="22"/>
                <w:lang w:val="en-US" w:eastAsia="zh-CN" w:bidi="ar-SA"/>
              </w:rPr>
              <w:t>，均</w:t>
            </w:r>
            <w:r>
              <w:rPr>
                <w:rFonts w:hint="eastAsia" w:cs="Times New Roman"/>
                <w:color w:val="auto"/>
                <w:spacing w:val="0"/>
                <w:kern w:val="2"/>
                <w:sz w:val="24"/>
                <w:szCs w:val="22"/>
                <w:lang w:val="en-US" w:eastAsia="zh-CN" w:bidi="ar-SA"/>
              </w:rPr>
              <w:t>不在</w:t>
            </w:r>
            <w:r>
              <w:rPr>
                <w:rFonts w:hint="eastAsia" w:ascii="Times New Roman" w:hAnsi="Times New Roman" w:eastAsia="宋体" w:cs="Times New Roman"/>
                <w:color w:val="auto"/>
                <w:spacing w:val="0"/>
                <w:kern w:val="2"/>
                <w:sz w:val="24"/>
                <w:szCs w:val="22"/>
                <w:lang w:val="en-US" w:eastAsia="zh-CN" w:bidi="ar-SA"/>
              </w:rPr>
              <w:t>项目区食宿，</w:t>
            </w:r>
            <w:r>
              <w:rPr>
                <w:rFonts w:hint="default" w:ascii="Times New Roman" w:hAnsi="Times New Roman" w:eastAsia="宋体" w:cs="Times New Roman"/>
                <w:color w:val="auto"/>
                <w:spacing w:val="0"/>
                <w:kern w:val="2"/>
                <w:sz w:val="24"/>
                <w:szCs w:val="22"/>
                <w:lang w:val="en-US" w:eastAsia="zh-CN" w:bidi="ar-SA"/>
              </w:rPr>
              <w:t>参</w:t>
            </w:r>
            <w:r>
              <w:rPr>
                <w:rFonts w:hint="eastAsia" w:ascii="Times New Roman" w:hAnsi="Times New Roman" w:eastAsia="宋体" w:cs="Times New Roman"/>
                <w:color w:val="auto"/>
                <w:spacing w:val="0"/>
                <w:kern w:val="2"/>
                <w:sz w:val="24"/>
                <w:szCs w:val="22"/>
                <w:lang w:val="en-US" w:eastAsia="zh-CN" w:bidi="ar-SA"/>
              </w:rPr>
              <w:t>考</w:t>
            </w:r>
            <w:r>
              <w:rPr>
                <w:color w:val="auto"/>
                <w:szCs w:val="24"/>
              </w:rPr>
              <w:t>《云南省地方标准 用水定额》（DB53/T168-2019）</w:t>
            </w:r>
            <w:r>
              <w:rPr>
                <w:rFonts w:hint="eastAsia"/>
                <w:color w:val="auto"/>
                <w:szCs w:val="24"/>
                <w:lang w:val="en-US" w:eastAsia="zh-CN"/>
              </w:rPr>
              <w:t>中“物业管理，办公写字楼”</w:t>
            </w:r>
            <w:r>
              <w:rPr>
                <w:color w:val="auto"/>
                <w:szCs w:val="24"/>
                <w:lang w:val="zh-CN"/>
              </w:rPr>
              <w:t>，生活用水量</w:t>
            </w:r>
            <w:r>
              <w:rPr>
                <w:color w:val="auto"/>
                <w:szCs w:val="24"/>
              </w:rPr>
              <w:t>按</w:t>
            </w:r>
            <w:r>
              <w:rPr>
                <w:rFonts w:hint="eastAsia"/>
                <w:color w:val="auto"/>
                <w:szCs w:val="24"/>
                <w:lang w:val="en-US" w:eastAsia="zh-CN"/>
              </w:rPr>
              <w:t>4</w:t>
            </w:r>
            <w:r>
              <w:rPr>
                <w:rFonts w:hint="eastAsia"/>
                <w:color w:val="auto"/>
                <w:szCs w:val="24"/>
              </w:rPr>
              <w:t>0L</w:t>
            </w:r>
            <w:r>
              <w:rPr>
                <w:color w:val="auto"/>
                <w:szCs w:val="24"/>
                <w:lang w:val="zh-CN"/>
              </w:rPr>
              <w:t>/（人</w:t>
            </w:r>
            <w:r>
              <w:rPr>
                <w:color w:val="auto"/>
                <w:szCs w:val="24"/>
              </w:rPr>
              <w:t>·</w:t>
            </w:r>
            <w:r>
              <w:rPr>
                <w:rFonts w:hint="eastAsia"/>
                <w:color w:val="auto"/>
                <w:szCs w:val="24"/>
              </w:rPr>
              <w:t>d</w:t>
            </w:r>
            <w:r>
              <w:rPr>
                <w:color w:val="auto"/>
                <w:szCs w:val="24"/>
                <w:lang w:val="zh-CN"/>
              </w:rPr>
              <w:t>）</w:t>
            </w:r>
            <w:r>
              <w:rPr>
                <w:color w:val="auto"/>
                <w:szCs w:val="24"/>
              </w:rPr>
              <w:t>计</w:t>
            </w:r>
            <w:r>
              <w:rPr>
                <w:rFonts w:hint="default" w:ascii="Times New Roman" w:hAnsi="Times New Roman" w:eastAsia="宋体" w:cs="Times New Roman"/>
                <w:color w:val="auto"/>
                <w:spacing w:val="0"/>
                <w:kern w:val="2"/>
                <w:sz w:val="24"/>
                <w:szCs w:val="22"/>
                <w:lang w:val="en-US" w:eastAsia="zh-CN" w:bidi="ar-SA"/>
              </w:rPr>
              <w:t>，则员工生活用水量为</w:t>
            </w:r>
            <w:r>
              <w:rPr>
                <w:rFonts w:hint="eastAsia" w:ascii="Times New Roman" w:hAnsi="Times New Roman" w:eastAsia="宋体" w:cs="Times New Roman"/>
                <w:color w:val="auto"/>
                <w:spacing w:val="0"/>
                <w:kern w:val="2"/>
                <w:sz w:val="24"/>
                <w:szCs w:val="22"/>
                <w:lang w:val="en-US" w:eastAsia="zh-CN" w:bidi="ar-SA"/>
              </w:rPr>
              <w:t>0.16</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cs="Times New Roman"/>
                <w:color w:val="auto"/>
                <w:spacing w:val="0"/>
                <w:kern w:val="2"/>
                <w:sz w:val="24"/>
                <w:szCs w:val="22"/>
                <w:lang w:val="en-US" w:eastAsia="zh-CN" w:bidi="ar-SA"/>
              </w:rPr>
              <w:t>28.8</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/a），污水产生量按80%计，产生废水量为</w:t>
            </w:r>
            <w:r>
              <w:rPr>
                <w:rFonts w:hint="eastAsia" w:ascii="Times New Roman" w:hAnsi="Times New Roman" w:eastAsia="宋体" w:cs="Times New Roman"/>
                <w:color w:val="auto"/>
                <w:spacing w:val="0"/>
                <w:kern w:val="2"/>
                <w:sz w:val="24"/>
                <w:szCs w:val="22"/>
                <w:lang w:val="en-US" w:eastAsia="zh-CN" w:bidi="ar-SA"/>
              </w:rPr>
              <w:t>0.128</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cs="Times New Roman"/>
                <w:color w:val="auto"/>
                <w:spacing w:val="0"/>
                <w:kern w:val="2"/>
                <w:sz w:val="24"/>
                <w:szCs w:val="22"/>
                <w:lang w:val="en-US" w:eastAsia="zh-CN" w:bidi="ar-SA"/>
              </w:rPr>
              <w:t>23.04</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/a）</w:t>
            </w:r>
            <w:r>
              <w:rPr>
                <w:rFonts w:hint="eastAsia" w:ascii="Times New Roman" w:hAnsi="Times New Roman" w:eastAsia="宋体" w:cs="Times New Roman"/>
                <w:color w:val="auto"/>
                <w:spacing w:val="0"/>
                <w:kern w:val="2"/>
                <w:sz w:val="24"/>
                <w:szCs w:val="22"/>
                <w:lang w:val="en-US" w:eastAsia="zh-CN" w:bidi="ar-SA"/>
              </w:rPr>
              <w:t>。办公区主要依托云南龙泉矿业开发有限公司</w:t>
            </w:r>
            <w:r>
              <w:rPr>
                <w:rFonts w:hint="eastAsia" w:cs="Times New Roman"/>
                <w:color w:val="auto"/>
                <w:spacing w:val="0"/>
                <w:kern w:val="2"/>
                <w:sz w:val="24"/>
                <w:szCs w:val="22"/>
                <w:lang w:val="en-US" w:eastAsia="zh-CN" w:bidi="ar-SA"/>
              </w:rPr>
              <w:t>西南侧</w:t>
            </w:r>
            <w:r>
              <w:rPr>
                <w:rFonts w:hint="eastAsia" w:ascii="Times New Roman" w:hAnsi="Times New Roman" w:eastAsia="宋体" w:cs="Times New Roman"/>
                <w:color w:val="auto"/>
                <w:spacing w:val="0"/>
                <w:kern w:val="2"/>
                <w:sz w:val="24"/>
                <w:szCs w:val="22"/>
                <w:lang w:val="en-US" w:eastAsia="zh-CN" w:bidi="ar-SA"/>
              </w:rPr>
              <w:t>办公区，办公废水经</w:t>
            </w:r>
            <w:r>
              <w:rPr>
                <w:rFonts w:hint="eastAsia" w:cs="Times New Roman"/>
                <w:color w:val="auto"/>
                <w:spacing w:val="0"/>
                <w:kern w:val="2"/>
                <w:sz w:val="24"/>
                <w:szCs w:val="22"/>
                <w:lang w:val="en-US" w:eastAsia="zh-CN" w:bidi="ar-SA"/>
              </w:rPr>
              <w:t>1个</w:t>
            </w:r>
            <w:r>
              <w:rPr>
                <w:rFonts w:hint="eastAsia" w:ascii="Times New Roman" w:hAnsi="Times New Roman" w:eastAsia="宋体" w:cs="Times New Roman"/>
                <w:color w:val="auto"/>
                <w:spacing w:val="0"/>
                <w:kern w:val="2"/>
                <w:sz w:val="24"/>
                <w:szCs w:val="22"/>
                <w:lang w:val="en-US" w:eastAsia="zh-CN" w:bidi="ar-SA"/>
              </w:rPr>
              <w:t>2m</w:t>
            </w:r>
            <w:r>
              <w:rPr>
                <w:rFonts w:hint="eastAsia" w:ascii="Times New Roman" w:hAnsi="Times New Roman" w:eastAsia="宋体" w:cs="Times New Roman"/>
                <w:color w:val="auto"/>
                <w:spacing w:val="0"/>
                <w:kern w:val="2"/>
                <w:sz w:val="24"/>
                <w:szCs w:val="22"/>
                <w:vertAlign w:val="superscript"/>
                <w:lang w:val="en-US" w:eastAsia="zh-CN" w:bidi="ar-SA"/>
              </w:rPr>
              <w:t>3</w:t>
            </w:r>
            <w:r>
              <w:rPr>
                <w:rFonts w:hint="eastAsia" w:ascii="Times New Roman" w:hAnsi="Times New Roman" w:eastAsia="宋体" w:cs="Times New Roman"/>
                <w:color w:val="auto"/>
                <w:spacing w:val="0"/>
                <w:kern w:val="2"/>
                <w:sz w:val="24"/>
                <w:szCs w:val="22"/>
                <w:lang w:val="en-US" w:eastAsia="zh-CN" w:bidi="ar-SA"/>
              </w:rPr>
              <w:t>化粪池处理后定期清掏用作周围农作物施肥。</w:t>
            </w:r>
          </w:p>
          <w:p w14:paraId="5DEBA8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lang w:val="en-US" w:eastAsia="zh-CN"/>
              </w:rPr>
              <w:t>洒水降尘用水</w:t>
            </w:r>
          </w:p>
          <w:p w14:paraId="7A628CD4">
            <w:pPr>
              <w:tabs>
                <w:tab w:val="right" w:pos="8306"/>
              </w:tabs>
              <w:spacing w:line="360" w:lineRule="auto"/>
              <w:ind w:firstLine="480" w:firstLineChars="200"/>
              <w:rPr>
                <w:rFonts w:hint="eastAsia" w:ascii="Times New Roman" w:hAnsi="Times New Roman" w:eastAsia="宋体" w:cs="Times New Roman"/>
                <w:color w:val="0000FF"/>
                <w:szCs w:val="22"/>
                <w:lang w:eastAsia="zh-CN"/>
              </w:rPr>
            </w:pPr>
            <w:r>
              <w:rPr>
                <w:rFonts w:ascii="Times New Roman" w:hAnsi="Times New Roman" w:eastAsia="宋体" w:cs="Times New Roman"/>
                <w:color w:val="000000" w:themeColor="text1"/>
                <w:sz w:val="24"/>
                <w14:textFill>
                  <w14:solidFill>
                    <w14:schemeClr w14:val="tx1"/>
                  </w14:solidFill>
                </w14:textFill>
              </w:rPr>
              <w:t>项目在运营过程中会产生扬尘，为了减低对大气的影响，采用洒水降尘措施，需进行洒水降尘的场地</w:t>
            </w:r>
            <w:r>
              <w:rPr>
                <w:rFonts w:ascii="Times New Roman" w:hAnsi="Times New Roman" w:eastAsia="宋体" w:cs="Times New Roman"/>
                <w:color w:val="auto"/>
                <w:sz w:val="24"/>
              </w:rPr>
              <w:t>为</w:t>
            </w:r>
            <w:r>
              <w:rPr>
                <w:rFonts w:hint="eastAsia" w:cs="Times New Roman"/>
                <w:color w:val="auto"/>
                <w:sz w:val="24"/>
                <w:lang w:val="en-US" w:eastAsia="zh-CN"/>
              </w:rPr>
              <w:t>砂石料堆场</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计量仓、</w:t>
            </w:r>
            <w:r>
              <w:rPr>
                <w:rFonts w:ascii="Times New Roman" w:hAnsi="Times New Roman" w:eastAsia="宋体" w:cs="Times New Roman"/>
                <w:color w:val="auto"/>
                <w:sz w:val="24"/>
              </w:rPr>
              <w:t>厂区运输道路</w:t>
            </w:r>
            <w:r>
              <w:rPr>
                <w:rFonts w:hint="eastAsia" w:ascii="Times New Roman" w:hAnsi="Times New Roman" w:eastAsia="宋体" w:cs="Times New Roman"/>
                <w:color w:val="auto"/>
                <w:sz w:val="24"/>
                <w:lang w:val="en-US" w:eastAsia="zh-CN"/>
              </w:rPr>
              <w:t>和</w:t>
            </w:r>
            <w:r>
              <w:rPr>
                <w:rFonts w:hint="eastAsia" w:cs="Times New Roman"/>
                <w:color w:val="auto"/>
                <w:sz w:val="24"/>
                <w:lang w:val="en-US" w:eastAsia="zh-CN"/>
              </w:rPr>
              <w:t>生产厂区周围</w:t>
            </w:r>
            <w:r>
              <w:rPr>
                <w:rFonts w:ascii="Times New Roman" w:hAnsi="Times New Roman" w:eastAsia="宋体" w:cs="Times New Roman"/>
                <w:color w:val="auto"/>
                <w:sz w:val="24"/>
              </w:rPr>
              <w:t>等，</w:t>
            </w:r>
            <w:r>
              <w:rPr>
                <w:rFonts w:ascii="Times New Roman" w:hAnsi="Times New Roman" w:eastAsia="宋体" w:cs="Times New Roman"/>
                <w:color w:val="000000" w:themeColor="text1"/>
                <w:sz w:val="24"/>
                <w:lang w:bidi="ar"/>
                <w14:textFill>
                  <w14:solidFill>
                    <w14:schemeClr w14:val="tx1"/>
                  </w14:solidFill>
                </w14:textFill>
              </w:rPr>
              <w:t>洒水降尘面积约为</w:t>
            </w:r>
            <w:r>
              <w:rPr>
                <w:rFonts w:hint="eastAsia" w:cs="Times New Roman"/>
                <w:color w:val="000000" w:themeColor="text1"/>
                <w:sz w:val="24"/>
                <w:lang w:val="en-US" w:eastAsia="zh-CN" w:bidi="ar"/>
                <w14:textFill>
                  <w14:solidFill>
                    <w14:schemeClr w14:val="tx1"/>
                  </w14:solidFill>
                </w14:textFill>
              </w:rPr>
              <w:t>10</w:t>
            </w:r>
            <w:r>
              <w:rPr>
                <w:rFonts w:hint="eastAsia" w:ascii="Times New Roman" w:hAnsi="Times New Roman" w:eastAsia="宋体" w:cs="Times New Roman"/>
                <w:color w:val="000000" w:themeColor="text1"/>
                <w:kern w:val="0"/>
                <w:sz w:val="24"/>
                <w:lang w:bidi="ar"/>
                <w14:textFill>
                  <w14:solidFill>
                    <w14:schemeClr w14:val="tx1"/>
                  </w14:solidFill>
                </w14:textFill>
              </w:rPr>
              <w:t>00</w:t>
            </w:r>
            <w:r>
              <w:rPr>
                <w:rFonts w:ascii="Times New Roman" w:hAnsi="Times New Roman" w:eastAsia="宋体" w:cs="Times New Roman"/>
                <w:color w:val="000000" w:themeColor="text1"/>
                <w:kern w:val="0"/>
                <w:sz w:val="24"/>
                <w:lang w:bidi="ar"/>
                <w14:textFill>
                  <w14:solidFill>
                    <w14:schemeClr w14:val="tx1"/>
                  </w14:solidFill>
                </w14:textFill>
              </w:rPr>
              <w:t>m</w:t>
            </w:r>
            <w:r>
              <w:rPr>
                <w:rFonts w:ascii="Times New Roman" w:hAnsi="Times New Roman" w:eastAsia="宋体" w:cs="Times New Roman"/>
                <w:color w:val="000000" w:themeColor="text1"/>
                <w:kern w:val="0"/>
                <w:sz w:val="24"/>
                <w:vertAlign w:val="superscript"/>
                <w:lang w:bidi="ar"/>
                <w14:textFill>
                  <w14:solidFill>
                    <w14:schemeClr w14:val="tx1"/>
                  </w14:solidFill>
                </w14:textFill>
              </w:rPr>
              <w:t>2</w:t>
            </w:r>
            <w:r>
              <w:rPr>
                <w:rFonts w:ascii="Times New Roman" w:hAnsi="Times New Roman" w:eastAsia="宋体" w:cs="Times New Roman"/>
                <w:color w:val="000000" w:themeColor="text1"/>
                <w:kern w:val="0"/>
                <w:sz w:val="24"/>
                <w:lang w:bidi="ar"/>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根据《云南省地方标准用水定额》（DB53/T168-2019）</w:t>
            </w:r>
            <w:r>
              <w:rPr>
                <w:rFonts w:hint="eastAsia" w:ascii="Times New Roman" w:hAnsi="Times New Roman" w:eastAsia="宋体" w:cs="Times New Roman"/>
                <w:color w:val="000000" w:themeColor="text1"/>
                <w:sz w:val="24"/>
                <w:lang w:val="en-US" w:eastAsia="zh-CN"/>
                <w14:textFill>
                  <w14:solidFill>
                    <w14:schemeClr w14:val="tx1"/>
                  </w14:solidFill>
                </w14:textFill>
              </w:rPr>
              <w:t>中“环境卫生管理，场地浇洒”</w:t>
            </w:r>
            <w:r>
              <w:rPr>
                <w:rFonts w:ascii="Times New Roman" w:hAnsi="Times New Roman" w:eastAsia="宋体" w:cs="Times New Roman"/>
                <w:color w:val="000000" w:themeColor="text1"/>
                <w:sz w:val="24"/>
                <w14:textFill>
                  <w14:solidFill>
                    <w14:schemeClr w14:val="tx1"/>
                  </w14:solidFill>
                </w14:textFill>
              </w:rPr>
              <w:t>，洒水降尘用水量按2L</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（m</w:t>
            </w:r>
            <w:r>
              <w:rPr>
                <w:rFonts w:ascii="Times New Roman" w:hAnsi="Times New Roman" w:eastAsia="宋体" w:cs="Times New Roman"/>
                <w:color w:val="000000" w:themeColor="text1"/>
                <w:sz w:val="24"/>
                <w:vertAlign w:val="super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·次），每天进行2次洒水降尘，则</w:t>
            </w:r>
            <w:r>
              <w:rPr>
                <w:rFonts w:hint="eastAsia" w:cs="Times New Roman"/>
                <w:color w:val="000000" w:themeColor="text1"/>
                <w:sz w:val="24"/>
                <w:lang w:val="en-US" w:eastAsia="zh-CN"/>
                <w14:textFill>
                  <w14:solidFill>
                    <w14:schemeClr w14:val="tx1"/>
                  </w14:solidFill>
                </w14:textFill>
              </w:rPr>
              <w:t>项目</w:t>
            </w:r>
            <w:r>
              <w:rPr>
                <w:rFonts w:ascii="Times New Roman" w:hAnsi="Times New Roman" w:eastAsia="宋体" w:cs="Times New Roman"/>
                <w:color w:val="000000" w:themeColor="text1"/>
                <w:sz w:val="24"/>
                <w14:textFill>
                  <w14:solidFill>
                    <w14:schemeClr w14:val="tx1"/>
                  </w14:solidFill>
                </w14:textFill>
              </w:rPr>
              <w:t>洒水降尘用水量为</w:t>
            </w:r>
            <w:r>
              <w:rPr>
                <w:rFonts w:hint="eastAsia" w:ascii="Times New Roman" w:hAnsi="Times New Roman" w:eastAsia="宋体" w:cs="Times New Roman"/>
                <w:color w:val="000000" w:themeColor="text1"/>
                <w:sz w:val="24"/>
                <w:lang w:val="en-US" w:eastAsia="zh-CN"/>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/d、</w:t>
            </w:r>
            <w:r>
              <w:rPr>
                <w:rFonts w:hint="eastAsia" w:cs="Times New Roman"/>
                <w:color w:val="000000" w:themeColor="text1"/>
                <w:sz w:val="24"/>
                <w:lang w:val="en-US" w:eastAsia="zh-CN"/>
                <w14:textFill>
                  <w14:solidFill>
                    <w14:schemeClr w14:val="tx1"/>
                  </w14:solidFill>
                </w14:textFill>
              </w:rPr>
              <w:t>18</w:t>
            </w:r>
            <w:r>
              <w:rPr>
                <w:rFonts w:hint="eastAsia" w:ascii="Times New Roman" w:hAnsi="Times New Roman" w:eastAsia="宋体" w:cs="Times New Roman"/>
                <w:color w:val="000000" w:themeColor="text1"/>
                <w:sz w:val="24"/>
                <w:lang w:val="en-US" w:eastAsia="zh-CN"/>
                <w14:textFill>
                  <w14:solidFill>
                    <w14:schemeClr w14:val="tx1"/>
                  </w14:solidFill>
                </w14:textFill>
              </w:rPr>
              <w:t>0</w:t>
            </w:r>
            <w:r>
              <w:rPr>
                <w:rFonts w:ascii="Times New Roman" w:hAnsi="Times New Roman" w:eastAsia="宋体" w:cs="Times New Roman"/>
                <w:color w:val="000000" w:themeColor="text1"/>
                <w:sz w:val="24"/>
                <w14:textFill>
                  <w14:solidFill>
                    <w14:schemeClr w14:val="tx1"/>
                  </w14:solidFill>
                </w14:textFill>
              </w:rPr>
              <w:t>m</w:t>
            </w:r>
            <w:r>
              <w:rPr>
                <w:rFonts w:ascii="Times New Roman" w:hAnsi="Times New Roman" w:eastAsia="宋体" w:cs="Times New Roman"/>
                <w:color w:val="000000" w:themeColor="text1"/>
                <w:sz w:val="24"/>
                <w:vertAlign w:val="superscript"/>
                <w14:textFill>
                  <w14:solidFill>
                    <w14:schemeClr w14:val="tx1"/>
                  </w14:solidFill>
                </w14:textFill>
              </w:rPr>
              <w:t>3</w:t>
            </w:r>
            <w:r>
              <w:rPr>
                <w:rFonts w:ascii="Times New Roman" w:hAnsi="Times New Roman" w:eastAsia="宋体" w:cs="Times New Roman"/>
                <w:color w:val="000000" w:themeColor="text1"/>
                <w:sz w:val="24"/>
                <w14:textFill>
                  <w14:solidFill>
                    <w14:schemeClr w14:val="tx1"/>
                  </w14:solidFill>
                </w14:textFill>
              </w:rPr>
              <w:t>/a（晴天以</w:t>
            </w:r>
            <w:r>
              <w:rPr>
                <w:rFonts w:hint="eastAsia" w:cs="Times New Roman"/>
                <w:color w:val="000000" w:themeColor="text1"/>
                <w:sz w:val="24"/>
                <w:lang w:val="en-US" w:eastAsia="zh-CN"/>
                <w14:textFill>
                  <w14:solidFill>
                    <w14:schemeClr w14:val="tx1"/>
                  </w14:solidFill>
                </w14:textFill>
              </w:rPr>
              <w:t>90</w:t>
            </w:r>
            <w:r>
              <w:rPr>
                <w:rFonts w:ascii="Times New Roman" w:hAnsi="Times New Roman" w:eastAsia="宋体" w:cs="Times New Roman"/>
                <w:color w:val="000000" w:themeColor="text1"/>
                <w:sz w:val="24"/>
                <w14:textFill>
                  <w14:solidFill>
                    <w14:schemeClr w14:val="tx1"/>
                  </w14:solidFill>
                </w14:textFill>
              </w:rPr>
              <w:t>天计），洒水降尘用水全部蒸发，不产生多余废水。</w:t>
            </w:r>
          </w:p>
          <w:p w14:paraId="5B2001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lang w:val="en-US" w:eastAsia="zh-CN"/>
              </w:rPr>
              <w:t>初期雨水</w:t>
            </w:r>
          </w:p>
          <w:p w14:paraId="71E3AC23">
            <w:pPr>
              <w:widowControl/>
              <w:ind w:firstLine="480"/>
              <w:jc w:val="left"/>
            </w:pPr>
            <w:r>
              <w:rPr>
                <w:rFonts w:hint="eastAsia"/>
              </w:rPr>
              <w:t>本次评价初期雨水量按下述公式进行计算：</w:t>
            </w:r>
          </w:p>
          <w:p w14:paraId="464FAC88">
            <w:pPr>
              <w:widowControl/>
              <w:ind w:left="0" w:leftChars="0" w:firstLine="0" w:firstLineChars="0"/>
              <w:jc w:val="center"/>
            </w:pPr>
            <w:r>
              <w:t>V=ψ×H×F</w:t>
            </w:r>
          </w:p>
          <w:p w14:paraId="799AB3F2">
            <w:pPr>
              <w:widowControl/>
              <w:ind w:firstLine="480"/>
              <w:jc w:val="left"/>
            </w:pPr>
            <w:r>
              <w:rPr>
                <w:rFonts w:hint="eastAsia"/>
              </w:rPr>
              <w:t>式中：V—径流雨量，m</w:t>
            </w:r>
            <w:r>
              <w:rPr>
                <w:rFonts w:hint="eastAsia"/>
                <w:vertAlign w:val="superscript"/>
              </w:rPr>
              <w:t>3</w:t>
            </w:r>
            <w:r>
              <w:rPr>
                <w:rFonts w:hint="eastAsia"/>
              </w:rPr>
              <w:t>；</w:t>
            </w:r>
          </w:p>
          <w:p w14:paraId="3EF64340">
            <w:pPr>
              <w:widowControl/>
              <w:ind w:firstLine="1200" w:firstLineChars="500"/>
              <w:jc w:val="left"/>
            </w:pPr>
            <w:r>
              <w:rPr>
                <w:rFonts w:hint="default" w:ascii="Times New Roman" w:hAnsi="Times New Roman" w:cs="Times New Roman"/>
              </w:rPr>
              <w:t>ψ</w:t>
            </w:r>
            <w:r>
              <w:rPr>
                <w:rFonts w:hint="eastAsia"/>
              </w:rPr>
              <w:t>—径流系数，根据 《室外排水设计规范》</w:t>
            </w:r>
            <w:r>
              <w:rPr>
                <w:rFonts w:hint="eastAsia"/>
                <w:lang w:eastAsia="zh-CN"/>
              </w:rPr>
              <w:t>（</w:t>
            </w:r>
            <w:r>
              <w:rPr>
                <w:rFonts w:hint="eastAsia"/>
              </w:rPr>
              <w:t>GB50014-2021</w:t>
            </w:r>
            <w:r>
              <w:rPr>
                <w:rFonts w:hint="eastAsia"/>
                <w:lang w:eastAsia="zh-CN"/>
              </w:rPr>
              <w:t>）</w:t>
            </w:r>
            <w:r>
              <w:rPr>
                <w:rFonts w:hint="eastAsia"/>
              </w:rPr>
              <w:t>，本次计算取0.9（</w:t>
            </w:r>
            <w:r>
              <w:rPr>
                <w:rFonts w:hint="eastAsia"/>
                <w:lang w:val="en-US" w:eastAsia="zh-CN"/>
              </w:rPr>
              <w:t>混凝土</w:t>
            </w:r>
            <w:r>
              <w:rPr>
                <w:rFonts w:hint="eastAsia"/>
              </w:rPr>
              <w:t>或沥青路面）；</w:t>
            </w:r>
          </w:p>
          <w:p w14:paraId="087EBD4E">
            <w:pPr>
              <w:widowControl/>
              <w:ind w:firstLine="1200" w:firstLineChars="500"/>
              <w:jc w:val="left"/>
            </w:pPr>
            <w:r>
              <w:rPr>
                <w:rFonts w:hint="eastAsia"/>
              </w:rPr>
              <w:t>H—根据寻甸县20年累计气象资料统计，项目区域最大24h最大降雨量14</w:t>
            </w:r>
            <w:r>
              <w:t>1.9</w:t>
            </w:r>
            <w:r>
              <w:rPr>
                <w:rFonts w:hint="eastAsia"/>
              </w:rPr>
              <w:t>mm；</w:t>
            </w:r>
          </w:p>
          <w:p w14:paraId="4E54BBE0">
            <w:pPr>
              <w:widowControl/>
              <w:ind w:firstLine="1200" w:firstLineChars="500"/>
              <w:jc w:val="left"/>
              <w:rPr>
                <w:rFonts w:hint="eastAsia" w:ascii="Times New Roman" w:hAnsi="Times New Roman" w:eastAsia="宋体" w:cs="Times New Roman"/>
                <w:vertAlign w:val="baseline"/>
                <w:lang w:val="en-US" w:eastAsia="zh-CN"/>
              </w:rPr>
            </w:pPr>
            <w:r>
              <w:rPr>
                <w:rFonts w:hint="eastAsia" w:ascii="Times New Roman" w:hAnsi="Times New Roman" w:eastAsia="宋体" w:cs="Times New Roman"/>
                <w:lang w:val="en-US" w:eastAsia="zh-CN"/>
              </w:rPr>
              <w:t>F─汇水区面积（m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 初期雨水主要考虑厂区处理用房及周围道路和硬化地面，汇水面积约1500m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vertAlign w:val="baseline"/>
                <w:lang w:val="en-US" w:eastAsia="zh-CN"/>
              </w:rPr>
              <w:t>。</w:t>
            </w:r>
          </w:p>
          <w:p w14:paraId="49013D19">
            <w:pPr>
              <w:pStyle w:val="5"/>
              <w:keepNext w:val="0"/>
              <w:keepLines w:val="0"/>
              <w:pageBreakBefore w:val="0"/>
              <w:kinsoku/>
              <w:overflowPunct/>
              <w:topLinePunct w:val="0"/>
              <w:autoSpaceDE/>
              <w:autoSpaceDN/>
              <w:bidi w:val="0"/>
              <w:adjustRightInd/>
              <w:snapToGrid/>
              <w:spacing w:after="0" w:afterLines="0" w:line="360" w:lineRule="auto"/>
              <w:ind w:left="0" w:right="0"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kern w:val="2"/>
                <w:sz w:val="24"/>
                <w:szCs w:val="22"/>
                <w:lang w:val="en-US" w:eastAsia="zh-CN" w:bidi="ar-SA"/>
              </w:rPr>
              <w:t>经计算，项目区日最大雨水产生量约为191.565m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/d，</w:t>
            </w:r>
            <w:r>
              <w:rPr>
                <w:rFonts w:hint="eastAsia" w:cs="Times New Roman"/>
                <w:kern w:val="2"/>
                <w:sz w:val="24"/>
                <w:szCs w:val="22"/>
                <w:lang w:val="en-US" w:eastAsia="zh-CN" w:bidi="ar-SA"/>
              </w:rPr>
              <w:t>23.945</w:t>
            </w:r>
            <w:r>
              <w:rPr>
                <w:rFonts w:hint="eastAsia" w:ascii="Times New Roman" w:hAnsi="Times New Roman" w:eastAsia="宋体" w:cs="Times New Roman"/>
                <w:kern w:val="2"/>
                <w:sz w:val="24"/>
                <w:szCs w:val="22"/>
                <w:lang w:val="en-US" w:eastAsia="zh-CN" w:bidi="ar-SA"/>
              </w:rPr>
              <w:t>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/h，项目初期雨水仅收集前15min的雨水量，为</w:t>
            </w:r>
            <w:r>
              <w:rPr>
                <w:rFonts w:hint="eastAsia" w:cs="Times New Roman"/>
                <w:kern w:val="2"/>
                <w:sz w:val="24"/>
                <w:szCs w:val="22"/>
                <w:lang w:val="en-US" w:eastAsia="zh-CN" w:bidi="ar-SA"/>
              </w:rPr>
              <w:t>5.986</w:t>
            </w:r>
            <w:r>
              <w:rPr>
                <w:rFonts w:hint="eastAsia" w:ascii="Times New Roman" w:hAnsi="Times New Roman" w:eastAsia="宋体" w:cs="Times New Roman"/>
                <w:kern w:val="2"/>
                <w:sz w:val="24"/>
                <w:szCs w:val="22"/>
                <w:lang w:val="en-US" w:eastAsia="zh-CN" w:bidi="ar-SA"/>
              </w:rPr>
              <w:t>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/次，本项目年生产</w:t>
            </w:r>
            <w:r>
              <w:rPr>
                <w:rFonts w:hint="eastAsia" w:cs="Times New Roman"/>
                <w:kern w:val="2"/>
                <w:sz w:val="24"/>
                <w:szCs w:val="22"/>
                <w:lang w:val="en-US" w:eastAsia="zh-CN" w:bidi="ar-SA"/>
              </w:rPr>
              <w:t>180</w:t>
            </w:r>
            <w:r>
              <w:rPr>
                <w:rFonts w:hint="eastAsia" w:ascii="Times New Roman" w:hAnsi="Times New Roman" w:eastAsia="宋体" w:cs="Times New Roman"/>
                <w:kern w:val="2"/>
                <w:sz w:val="24"/>
                <w:szCs w:val="22"/>
                <w:lang w:val="en-US" w:eastAsia="zh-CN" w:bidi="ar-SA"/>
              </w:rPr>
              <w:t>天，降雨天约</w:t>
            </w:r>
            <w:r>
              <w:rPr>
                <w:rFonts w:hint="eastAsia" w:cs="Times New Roman"/>
                <w:kern w:val="2"/>
                <w:sz w:val="24"/>
                <w:szCs w:val="22"/>
                <w:lang w:val="en-US" w:eastAsia="zh-CN" w:bidi="ar-SA"/>
              </w:rPr>
              <w:t>90</w:t>
            </w:r>
            <w:r>
              <w:rPr>
                <w:rFonts w:hint="eastAsia" w:ascii="Times New Roman" w:hAnsi="Times New Roman" w:eastAsia="宋体" w:cs="Times New Roman"/>
                <w:kern w:val="2"/>
                <w:sz w:val="24"/>
                <w:szCs w:val="22"/>
                <w:lang w:val="en-US" w:eastAsia="zh-CN" w:bidi="ar-SA"/>
              </w:rPr>
              <w:t>天，则初期雨水量为</w:t>
            </w:r>
            <w:r>
              <w:rPr>
                <w:rFonts w:hint="eastAsia" w:cs="Times New Roman"/>
                <w:kern w:val="2"/>
                <w:sz w:val="24"/>
                <w:szCs w:val="22"/>
                <w:lang w:val="en-US" w:eastAsia="zh-CN" w:bidi="ar-SA"/>
              </w:rPr>
              <w:t>538.74</w:t>
            </w:r>
            <w:r>
              <w:rPr>
                <w:rFonts w:hint="eastAsia" w:ascii="Times New Roman" w:hAnsi="Times New Roman" w:eastAsia="宋体" w:cs="Times New Roman"/>
                <w:kern w:val="2"/>
                <w:sz w:val="24"/>
                <w:szCs w:val="22"/>
                <w:lang w:val="en-US" w:eastAsia="zh-CN" w:bidi="ar-SA"/>
              </w:rPr>
              <w:t>m</w:t>
            </w:r>
            <w:r>
              <w:rPr>
                <w:rFonts w:hint="eastAsia" w:ascii="Times New Roman" w:hAnsi="Times New Roman" w:eastAsia="宋体" w:cs="Times New Roman"/>
                <w:kern w:val="2"/>
                <w:sz w:val="24"/>
                <w:szCs w:val="22"/>
                <w:vertAlign w:val="superscript"/>
                <w:lang w:val="en-US" w:eastAsia="zh-CN" w:bidi="ar-SA"/>
              </w:rPr>
              <w:t>3</w:t>
            </w:r>
            <w:r>
              <w:rPr>
                <w:rFonts w:hint="eastAsia" w:ascii="Times New Roman" w:hAnsi="Times New Roman" w:eastAsia="宋体" w:cs="Times New Roman"/>
                <w:kern w:val="2"/>
                <w:sz w:val="24"/>
                <w:szCs w:val="22"/>
                <w:lang w:val="en-US" w:eastAsia="zh-CN" w:bidi="ar-SA"/>
              </w:rPr>
              <w:t>/a。初期雨水中主要污染</w:t>
            </w:r>
            <w:r>
              <w:rPr>
                <w:rFonts w:hint="eastAsia" w:ascii="Times New Roman" w:hAnsi="Times New Roman" w:eastAsia="宋体" w:cs="Times New Roman"/>
                <w:color w:val="auto"/>
                <w:kern w:val="2"/>
                <w:sz w:val="24"/>
                <w:szCs w:val="22"/>
                <w:highlight w:val="none"/>
                <w:lang w:val="en-US" w:eastAsia="zh-CN" w:bidi="ar-SA"/>
              </w:rPr>
              <w:t>物为</w:t>
            </w:r>
            <w:r>
              <w:rPr>
                <w:rFonts w:hint="eastAsia" w:cs="Times New Roman"/>
                <w:color w:val="auto"/>
                <w:kern w:val="2"/>
                <w:sz w:val="24"/>
                <w:szCs w:val="22"/>
                <w:highlight w:val="none"/>
                <w:lang w:val="en-US" w:eastAsia="zh-CN" w:bidi="ar-SA"/>
              </w:rPr>
              <w:t>SS、油类等</w:t>
            </w:r>
            <w:r>
              <w:rPr>
                <w:rFonts w:hint="eastAsia" w:ascii="Times New Roman" w:hAnsi="Times New Roman" w:eastAsia="宋体" w:cs="Times New Roman"/>
                <w:color w:val="auto"/>
                <w:kern w:val="2"/>
                <w:sz w:val="24"/>
                <w:szCs w:val="22"/>
                <w:highlight w:val="none"/>
                <w:lang w:val="en-US" w:eastAsia="zh-CN" w:bidi="ar-SA"/>
              </w:rPr>
              <w:t>。本项目初期雨水污染物浓度与厂区地面硬化程度、项目区环保设施运营情况管理等因素有关，污染物浓度或有一定波动，本项目</w:t>
            </w:r>
            <w:r>
              <w:rPr>
                <w:rFonts w:hint="eastAsia" w:cs="Times New Roman"/>
                <w:color w:val="auto"/>
                <w:kern w:val="2"/>
                <w:sz w:val="24"/>
                <w:szCs w:val="22"/>
                <w:highlight w:val="none"/>
                <w:lang w:val="en-US" w:eastAsia="zh-CN" w:bidi="ar-SA"/>
              </w:rPr>
              <w:t>新建1个20m</w:t>
            </w:r>
            <w:r>
              <w:rPr>
                <w:rFonts w:hint="eastAsia" w:cs="Times New Roman"/>
                <w:color w:val="auto"/>
                <w:kern w:val="2"/>
                <w:sz w:val="24"/>
                <w:szCs w:val="22"/>
                <w:highlight w:val="none"/>
                <w:vertAlign w:val="superscript"/>
                <w:lang w:val="en-US" w:eastAsia="zh-CN" w:bidi="ar-SA"/>
              </w:rPr>
              <w:t>3</w:t>
            </w:r>
            <w:r>
              <w:rPr>
                <w:rFonts w:hint="eastAsia" w:cs="Times New Roman"/>
                <w:color w:val="auto"/>
                <w:kern w:val="2"/>
                <w:sz w:val="24"/>
                <w:szCs w:val="22"/>
                <w:highlight w:val="none"/>
                <w:vertAlign w:val="baseline"/>
                <w:lang w:val="en-US" w:eastAsia="zh-CN" w:bidi="ar-SA"/>
              </w:rPr>
              <w:t>初期雨水</w:t>
            </w:r>
            <w:r>
              <w:rPr>
                <w:rFonts w:hint="eastAsia" w:cs="Times New Roman"/>
                <w:color w:val="auto"/>
                <w:kern w:val="2"/>
                <w:sz w:val="24"/>
                <w:szCs w:val="22"/>
                <w:highlight w:val="none"/>
                <w:lang w:val="en-US" w:eastAsia="zh-CN" w:bidi="ar-SA"/>
              </w:rPr>
              <w:t>隔油沉淀池</w:t>
            </w:r>
            <w:r>
              <w:rPr>
                <w:rFonts w:hint="eastAsia" w:ascii="Times New Roman" w:hAnsi="Times New Roman" w:eastAsia="宋体" w:cs="Times New Roman"/>
                <w:color w:val="auto"/>
                <w:kern w:val="2"/>
                <w:sz w:val="24"/>
                <w:szCs w:val="22"/>
                <w:highlight w:val="none"/>
                <w:lang w:val="en-US" w:eastAsia="zh-CN" w:bidi="ar-SA"/>
              </w:rPr>
              <w:t>收集处理后回用于厂区洒水降尘。</w:t>
            </w:r>
          </w:p>
          <w:p w14:paraId="09EAEA05">
            <w:pPr>
              <w:pStyle w:val="2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kern w:val="24"/>
                <w:sz w:val="21"/>
                <w:szCs w:val="21"/>
                <w:lang w:val="en-US" w:eastAsia="zh-CN" w:bidi="ar-SA"/>
              </w:rPr>
            </w:pPr>
            <w:r>
              <w:rPr>
                <w:rFonts w:hint="default" w:ascii="Times New Roman" w:hAnsi="Times New Roman" w:eastAsia="宋体" w:cs="Times New Roman"/>
                <w:b/>
                <w:color w:val="auto"/>
                <w:kern w:val="24"/>
                <w:sz w:val="21"/>
                <w:szCs w:val="21"/>
                <w:highlight w:val="none"/>
                <w:lang w:val="en-US" w:eastAsia="zh-CN" w:bidi="ar-SA"/>
              </w:rPr>
              <w:t>表2-6</w:t>
            </w:r>
            <w:r>
              <w:rPr>
                <w:rFonts w:hint="eastAsia" w:cs="Times New Roman"/>
                <w:b/>
                <w:color w:val="auto"/>
                <w:kern w:val="24"/>
                <w:sz w:val="21"/>
                <w:szCs w:val="21"/>
                <w:highlight w:val="none"/>
                <w:lang w:val="en-US" w:eastAsia="zh-CN" w:bidi="ar-SA"/>
              </w:rPr>
              <w:t xml:space="preserve"> </w:t>
            </w:r>
            <w:r>
              <w:rPr>
                <w:rFonts w:hint="default" w:ascii="Times New Roman" w:hAnsi="Times New Roman" w:eastAsia="宋体" w:cs="Times New Roman"/>
                <w:b/>
                <w:color w:val="auto"/>
                <w:kern w:val="24"/>
                <w:sz w:val="21"/>
                <w:szCs w:val="21"/>
                <w:highlight w:val="none"/>
                <w:lang w:val="en-US" w:eastAsia="zh-CN" w:bidi="ar-SA"/>
              </w:rPr>
              <w:t>项目用水量及废水产生量情况</w:t>
            </w:r>
            <w:r>
              <w:rPr>
                <w:rFonts w:hint="default" w:ascii="Times New Roman" w:hAnsi="Times New Roman" w:eastAsia="宋体" w:cs="Times New Roman"/>
                <w:b/>
                <w:kern w:val="24"/>
                <w:sz w:val="21"/>
                <w:szCs w:val="21"/>
                <w:lang w:val="en-US" w:eastAsia="zh-CN" w:bidi="ar-SA"/>
              </w:rPr>
              <w:t>一览表</w:t>
            </w:r>
          </w:p>
          <w:tbl>
            <w:tblPr>
              <w:tblStyle w:val="15"/>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050"/>
              <w:gridCol w:w="966"/>
              <w:gridCol w:w="1234"/>
              <w:gridCol w:w="750"/>
              <w:gridCol w:w="2800"/>
            </w:tblGrid>
            <w:tr w14:paraId="69C8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04" w:type="pct"/>
                  <w:vMerge w:val="restart"/>
                  <w:noWrap w:val="0"/>
                  <w:vAlign w:val="center"/>
                </w:tcPr>
                <w:p w14:paraId="4409284F">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用水节点</w:t>
                  </w:r>
                </w:p>
              </w:tc>
              <w:tc>
                <w:tcPr>
                  <w:tcW w:w="1214" w:type="pct"/>
                  <w:gridSpan w:val="2"/>
                  <w:noWrap w:val="0"/>
                  <w:vAlign w:val="center"/>
                </w:tcPr>
                <w:p w14:paraId="32CAEBC9">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bCs/>
                      <w:color w:val="auto"/>
                      <w:lang w:eastAsia="zh-CN"/>
                    </w:rPr>
                  </w:pPr>
                  <w:r>
                    <w:rPr>
                      <w:rFonts w:hint="default" w:ascii="Times New Roman" w:hAnsi="Times New Roman" w:eastAsia="宋体" w:cs="Times New Roman"/>
                      <w:b/>
                      <w:bCs/>
                      <w:color w:val="auto"/>
                    </w:rPr>
                    <w:t>用水量</w:t>
                  </w:r>
                  <w:r>
                    <w:rPr>
                      <w:rFonts w:hint="eastAsia" w:cs="Times New Roman"/>
                      <w:b/>
                      <w:bCs/>
                      <w:color w:val="auto"/>
                      <w:lang w:eastAsia="zh-CN"/>
                    </w:rPr>
                    <w:t>（</w:t>
                  </w:r>
                  <w:r>
                    <w:rPr>
                      <w:rFonts w:hint="eastAsia" w:cs="Times New Roman"/>
                      <w:b/>
                      <w:bCs/>
                      <w:color w:val="auto"/>
                      <w:lang w:val="en-US" w:eastAsia="zh-CN"/>
                    </w:rPr>
                    <w:t>补充水</w:t>
                  </w:r>
                  <w:r>
                    <w:rPr>
                      <w:rFonts w:hint="eastAsia" w:cs="Times New Roman"/>
                      <w:b/>
                      <w:bCs/>
                      <w:color w:val="auto"/>
                      <w:lang w:eastAsia="zh-CN"/>
                    </w:rPr>
                    <w:t>）</w:t>
                  </w:r>
                </w:p>
              </w:tc>
              <w:tc>
                <w:tcPr>
                  <w:tcW w:w="1195" w:type="pct"/>
                  <w:gridSpan w:val="2"/>
                  <w:noWrap w:val="0"/>
                  <w:vAlign w:val="center"/>
                </w:tcPr>
                <w:p w14:paraId="329A6E5B">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废水产生量</w:t>
                  </w:r>
                </w:p>
              </w:tc>
              <w:tc>
                <w:tcPr>
                  <w:tcW w:w="1686" w:type="pct"/>
                  <w:vMerge w:val="restart"/>
                  <w:noWrap w:val="0"/>
                  <w:vAlign w:val="center"/>
                </w:tcPr>
                <w:p w14:paraId="50D0FE8C">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rPr>
                    <w:t>处置情况</w:t>
                  </w:r>
                </w:p>
              </w:tc>
            </w:tr>
            <w:tr w14:paraId="33C8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904" w:type="pct"/>
                  <w:vMerge w:val="continue"/>
                  <w:noWrap w:val="0"/>
                  <w:vAlign w:val="center"/>
                </w:tcPr>
                <w:p w14:paraId="6F6C05B4">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p>
              </w:tc>
              <w:tc>
                <w:tcPr>
                  <w:tcW w:w="632" w:type="pct"/>
                  <w:noWrap w:val="0"/>
                  <w:vAlign w:val="center"/>
                </w:tcPr>
                <w:p w14:paraId="28489FE3">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/d</w:t>
                  </w:r>
                </w:p>
              </w:tc>
              <w:tc>
                <w:tcPr>
                  <w:tcW w:w="581" w:type="pct"/>
                  <w:noWrap w:val="0"/>
                  <w:vAlign w:val="center"/>
                </w:tcPr>
                <w:p w14:paraId="75F85C0E">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/a</w:t>
                  </w:r>
                </w:p>
              </w:tc>
              <w:tc>
                <w:tcPr>
                  <w:tcW w:w="743" w:type="pct"/>
                  <w:noWrap w:val="0"/>
                  <w:vAlign w:val="center"/>
                </w:tcPr>
                <w:p w14:paraId="4A20FFFE">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/d</w:t>
                  </w:r>
                </w:p>
              </w:tc>
              <w:tc>
                <w:tcPr>
                  <w:tcW w:w="451" w:type="pct"/>
                  <w:noWrap w:val="0"/>
                  <w:vAlign w:val="center"/>
                </w:tcPr>
                <w:p w14:paraId="1312F6DA">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/a</w:t>
                  </w:r>
                </w:p>
              </w:tc>
              <w:tc>
                <w:tcPr>
                  <w:tcW w:w="1686" w:type="pct"/>
                  <w:vMerge w:val="continue"/>
                  <w:noWrap w:val="0"/>
                  <w:vAlign w:val="center"/>
                </w:tcPr>
                <w:p w14:paraId="797E9841">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rPr>
                  </w:pPr>
                </w:p>
              </w:tc>
            </w:tr>
            <w:tr w14:paraId="57AC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904" w:type="pct"/>
                  <w:noWrap w:val="0"/>
                  <w:vAlign w:val="center"/>
                </w:tcPr>
                <w:p w14:paraId="70F304F1">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车辆清洗用水</w:t>
                  </w:r>
                </w:p>
              </w:tc>
              <w:tc>
                <w:tcPr>
                  <w:tcW w:w="632" w:type="pct"/>
                  <w:noWrap w:val="0"/>
                  <w:vAlign w:val="center"/>
                </w:tcPr>
                <w:p w14:paraId="6A6AC8EA">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0.24</w:t>
                  </w:r>
                </w:p>
              </w:tc>
              <w:tc>
                <w:tcPr>
                  <w:tcW w:w="581" w:type="pct"/>
                  <w:noWrap w:val="0"/>
                  <w:vAlign w:val="center"/>
                </w:tcPr>
                <w:p w14:paraId="277F9906">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43.2</w:t>
                  </w:r>
                </w:p>
              </w:tc>
              <w:tc>
                <w:tcPr>
                  <w:tcW w:w="743" w:type="pct"/>
                  <w:noWrap w:val="0"/>
                  <w:vAlign w:val="center"/>
                </w:tcPr>
                <w:p w14:paraId="689FCE56">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451" w:type="pct"/>
                  <w:noWrap w:val="0"/>
                  <w:vAlign w:val="center"/>
                </w:tcPr>
                <w:p w14:paraId="1EAF2334">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rPr>
                  </w:pPr>
                  <w:r>
                    <w:rPr>
                      <w:rFonts w:hint="eastAsia" w:cs="Times New Roman"/>
                      <w:color w:val="auto"/>
                      <w:lang w:val="en-US" w:eastAsia="zh-CN"/>
                    </w:rPr>
                    <w:t>/</w:t>
                  </w:r>
                </w:p>
              </w:tc>
              <w:tc>
                <w:tcPr>
                  <w:tcW w:w="1686" w:type="pct"/>
                  <w:noWrap w:val="0"/>
                  <w:vAlign w:val="center"/>
                </w:tcPr>
                <w:p w14:paraId="740E6632">
                  <w:pPr>
                    <w:pStyle w:val="20"/>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宋体" w:cs="Times New Roman"/>
                      <w:color w:val="auto"/>
                      <w:kern w:val="0"/>
                      <w:lang w:eastAsia="zh-CN"/>
                    </w:rPr>
                  </w:pPr>
                  <w:r>
                    <w:rPr>
                      <w:rFonts w:hint="eastAsia" w:ascii="Times New Roman" w:hAnsi="Times New Roman" w:eastAsia="宋体" w:cs="Times New Roman"/>
                      <w:color w:val="auto"/>
                      <w:kern w:val="0"/>
                      <w:lang w:val="en-US" w:eastAsia="zh-CN"/>
                    </w:rPr>
                    <w:t>收集于洗车池后</w:t>
                  </w:r>
                  <w:r>
                    <w:rPr>
                      <w:rFonts w:hint="default" w:ascii="Times New Roman" w:hAnsi="Times New Roman" w:eastAsia="宋体" w:cs="Times New Roman"/>
                      <w:color w:val="auto"/>
                      <w:kern w:val="0"/>
                    </w:rPr>
                    <w:t>循环使用，当不能满足洗车条件后用于厂区洒水降尘，不外排</w:t>
                  </w:r>
                  <w:r>
                    <w:rPr>
                      <w:rFonts w:hint="eastAsia" w:ascii="Times New Roman" w:hAnsi="Times New Roman" w:eastAsia="宋体" w:cs="Times New Roman"/>
                      <w:color w:val="auto"/>
                      <w:kern w:val="0"/>
                      <w:lang w:eastAsia="zh-CN"/>
                    </w:rPr>
                    <w:t>。</w:t>
                  </w:r>
                </w:p>
              </w:tc>
            </w:tr>
            <w:tr w14:paraId="0585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904" w:type="pct"/>
                  <w:noWrap w:val="0"/>
                  <w:vAlign w:val="center"/>
                </w:tcPr>
                <w:p w14:paraId="2C6C8069">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员工办公用水</w:t>
                  </w:r>
                </w:p>
              </w:tc>
              <w:tc>
                <w:tcPr>
                  <w:tcW w:w="632" w:type="pct"/>
                  <w:noWrap w:val="0"/>
                  <w:vAlign w:val="center"/>
                </w:tcPr>
                <w:p w14:paraId="2DEBD4E2">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s="Times New Roman"/>
                      <w:color w:val="auto"/>
                      <w:lang w:val="en-US" w:eastAsia="zh-CN"/>
                    </w:rPr>
                  </w:pPr>
                  <w:r>
                    <w:rPr>
                      <w:rFonts w:hint="eastAsia" w:cs="Times New Roman"/>
                      <w:color w:val="auto"/>
                      <w:lang w:val="en-US" w:eastAsia="zh-CN"/>
                    </w:rPr>
                    <w:t>0.16</w:t>
                  </w:r>
                </w:p>
              </w:tc>
              <w:tc>
                <w:tcPr>
                  <w:tcW w:w="581" w:type="pct"/>
                  <w:noWrap w:val="0"/>
                  <w:vAlign w:val="center"/>
                </w:tcPr>
                <w:p w14:paraId="5C4E7D7E">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s="Times New Roman"/>
                      <w:color w:val="auto"/>
                      <w:lang w:val="en-US" w:eastAsia="zh-CN"/>
                    </w:rPr>
                  </w:pPr>
                  <w:r>
                    <w:rPr>
                      <w:rFonts w:hint="eastAsia" w:cs="Times New Roman"/>
                      <w:color w:val="auto"/>
                      <w:lang w:val="en-US" w:eastAsia="zh-CN"/>
                    </w:rPr>
                    <w:t>28.8</w:t>
                  </w:r>
                </w:p>
              </w:tc>
              <w:tc>
                <w:tcPr>
                  <w:tcW w:w="743" w:type="pct"/>
                  <w:noWrap w:val="0"/>
                  <w:vAlign w:val="center"/>
                </w:tcPr>
                <w:p w14:paraId="3DC30549">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auto"/>
                      <w:lang w:val="en-US" w:eastAsia="zh-CN"/>
                    </w:rPr>
                  </w:pPr>
                  <w:r>
                    <w:rPr>
                      <w:rFonts w:hint="eastAsia" w:cs="Times New Roman"/>
                      <w:color w:val="auto"/>
                      <w:lang w:val="en-US" w:eastAsia="zh-CN"/>
                    </w:rPr>
                    <w:t>0.128</w:t>
                  </w:r>
                </w:p>
              </w:tc>
              <w:tc>
                <w:tcPr>
                  <w:tcW w:w="451" w:type="pct"/>
                  <w:noWrap w:val="0"/>
                  <w:vAlign w:val="center"/>
                </w:tcPr>
                <w:p w14:paraId="3A140135">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auto"/>
                      <w:lang w:val="en-US" w:eastAsia="zh-CN"/>
                    </w:rPr>
                  </w:pPr>
                  <w:r>
                    <w:rPr>
                      <w:rFonts w:hint="eastAsia" w:cs="Times New Roman"/>
                      <w:color w:val="auto"/>
                      <w:lang w:val="en-US" w:eastAsia="zh-CN"/>
                    </w:rPr>
                    <w:t>23.04</w:t>
                  </w:r>
                </w:p>
              </w:tc>
              <w:tc>
                <w:tcPr>
                  <w:tcW w:w="1686" w:type="pct"/>
                  <w:noWrap w:val="0"/>
                  <w:vAlign w:val="center"/>
                </w:tcPr>
                <w:p w14:paraId="726E8570">
                  <w:pPr>
                    <w:pStyle w:val="20"/>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办公废水经</w:t>
                  </w:r>
                  <w:r>
                    <w:rPr>
                      <w:rFonts w:hint="eastAsia" w:cs="Times New Roman"/>
                      <w:color w:val="auto"/>
                      <w:kern w:val="0"/>
                      <w:lang w:val="en-US" w:eastAsia="zh-CN"/>
                    </w:rPr>
                    <w:t>化粪</w:t>
                  </w:r>
                  <w:r>
                    <w:rPr>
                      <w:rFonts w:hint="eastAsia" w:ascii="Times New Roman" w:hAnsi="Times New Roman" w:eastAsia="宋体" w:cs="Times New Roman"/>
                      <w:color w:val="auto"/>
                      <w:kern w:val="0"/>
                      <w:lang w:val="en-US" w:eastAsia="zh-CN"/>
                    </w:rPr>
                    <w:t>池处理后定期清掏用作周围农作物施肥</w:t>
                  </w:r>
                  <w:r>
                    <w:rPr>
                      <w:rFonts w:hint="default" w:ascii="Times New Roman" w:hAnsi="Times New Roman" w:eastAsia="宋体" w:cs="Times New Roman"/>
                      <w:color w:val="auto"/>
                      <w:kern w:val="0"/>
                    </w:rPr>
                    <w:t>，不外排</w:t>
                  </w:r>
                  <w:r>
                    <w:rPr>
                      <w:rFonts w:hint="eastAsia" w:ascii="Times New Roman" w:hAnsi="Times New Roman" w:eastAsia="宋体" w:cs="Times New Roman"/>
                      <w:color w:val="auto"/>
                      <w:kern w:val="0"/>
                      <w:lang w:eastAsia="zh-CN"/>
                    </w:rPr>
                    <w:t>。</w:t>
                  </w:r>
                </w:p>
              </w:tc>
            </w:tr>
            <w:tr w14:paraId="4F2E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pct"/>
                  <w:noWrap w:val="0"/>
                  <w:vAlign w:val="center"/>
                </w:tcPr>
                <w:p w14:paraId="51594ACA">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洒水降尘用水</w:t>
                  </w:r>
                </w:p>
              </w:tc>
              <w:tc>
                <w:tcPr>
                  <w:tcW w:w="632" w:type="pct"/>
                  <w:noWrap w:val="0"/>
                  <w:vAlign w:val="center"/>
                </w:tcPr>
                <w:p w14:paraId="613A0C23">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w:t>
                  </w:r>
                </w:p>
              </w:tc>
              <w:tc>
                <w:tcPr>
                  <w:tcW w:w="581" w:type="pct"/>
                  <w:noWrap w:val="0"/>
                  <w:vAlign w:val="center"/>
                </w:tcPr>
                <w:p w14:paraId="6467DD85">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180</w:t>
                  </w:r>
                </w:p>
              </w:tc>
              <w:tc>
                <w:tcPr>
                  <w:tcW w:w="743" w:type="pct"/>
                  <w:noWrap w:val="0"/>
                  <w:vAlign w:val="center"/>
                </w:tcPr>
                <w:p w14:paraId="0E49BE45">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451" w:type="pct"/>
                  <w:noWrap w:val="0"/>
                  <w:vAlign w:val="center"/>
                </w:tcPr>
                <w:p w14:paraId="401A1B3C">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686" w:type="pct"/>
                  <w:noWrap w:val="0"/>
                  <w:vAlign w:val="center"/>
                </w:tcPr>
                <w:p w14:paraId="2B302B7E">
                  <w:pPr>
                    <w:pStyle w:val="20"/>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lang w:val="en-US" w:eastAsia="zh-CN"/>
                    </w:rPr>
                    <w:t>/</w:t>
                  </w:r>
                </w:p>
              </w:tc>
            </w:tr>
            <w:tr w14:paraId="584F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4" w:type="pct"/>
                  <w:noWrap w:val="0"/>
                  <w:vAlign w:val="center"/>
                </w:tcPr>
                <w:p w14:paraId="79C88DBE">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cs="Times New Roman"/>
                      <w:color w:val="0000FF"/>
                      <w:lang w:val="en-US" w:eastAsia="zh-CN"/>
                    </w:rPr>
                  </w:pPr>
                  <w:r>
                    <w:rPr>
                      <w:rFonts w:hint="eastAsia" w:cs="Times New Roman"/>
                      <w:color w:val="000000" w:themeColor="text1"/>
                      <w:lang w:val="en-US" w:eastAsia="zh-CN"/>
                      <w14:textFill>
                        <w14:solidFill>
                          <w14:schemeClr w14:val="tx1"/>
                        </w14:solidFill>
                      </w14:textFill>
                    </w:rPr>
                    <w:t>初期雨水</w:t>
                  </w:r>
                </w:p>
              </w:tc>
              <w:tc>
                <w:tcPr>
                  <w:tcW w:w="632" w:type="pct"/>
                  <w:noWrap w:val="0"/>
                  <w:vAlign w:val="center"/>
                </w:tcPr>
                <w:p w14:paraId="72FC34B3">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581" w:type="pct"/>
                  <w:noWrap w:val="0"/>
                  <w:vAlign w:val="center"/>
                </w:tcPr>
                <w:p w14:paraId="401C1051">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743" w:type="pct"/>
                  <w:noWrap w:val="0"/>
                  <w:vAlign w:val="center"/>
                </w:tcPr>
                <w:p w14:paraId="28F3F986">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5.986</w:t>
                  </w:r>
                  <w:r>
                    <w:rPr>
                      <w:rFonts w:hint="eastAsia" w:ascii="Times New Roman" w:hAnsi="Times New Roman" w:eastAsia="宋体" w:cs="Times New Roman"/>
                      <w:color w:val="000000" w:themeColor="text1"/>
                      <w:lang w:val="en-US" w:eastAsia="zh-CN"/>
                      <w14:textFill>
                        <w14:solidFill>
                          <w14:schemeClr w14:val="tx1"/>
                        </w14:solidFill>
                      </w14:textFill>
                    </w:rPr>
                    <w:t>m</w:t>
                  </w:r>
                  <w:r>
                    <w:rPr>
                      <w:rFonts w:hint="eastAsia" w:ascii="Times New Roman" w:hAnsi="Times New Roman" w:eastAsia="宋体" w:cs="Times New Roman"/>
                      <w:color w:val="000000" w:themeColor="text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lang w:val="en-US" w:eastAsia="zh-CN"/>
                      <w14:textFill>
                        <w14:solidFill>
                          <w14:schemeClr w14:val="tx1"/>
                        </w14:solidFill>
                      </w14:textFill>
                    </w:rPr>
                    <w:t>/次</w:t>
                  </w:r>
                </w:p>
              </w:tc>
              <w:tc>
                <w:tcPr>
                  <w:tcW w:w="451" w:type="pct"/>
                  <w:noWrap w:val="0"/>
                  <w:vAlign w:val="center"/>
                </w:tcPr>
                <w:p w14:paraId="58F64CAD">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1686" w:type="pct"/>
                  <w:noWrap w:val="0"/>
                  <w:vAlign w:val="center"/>
                </w:tcPr>
                <w:p w14:paraId="65E9BD0F">
                  <w:pPr>
                    <w:pStyle w:val="20"/>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沉淀</w:t>
                  </w:r>
                  <w:r>
                    <w:rPr>
                      <w:rFonts w:hint="eastAsia" w:cs="Times New Roman"/>
                      <w:color w:val="auto"/>
                      <w:kern w:val="0"/>
                      <w:lang w:val="en-US" w:eastAsia="zh-CN"/>
                    </w:rPr>
                    <w:t>、隔油</w:t>
                  </w:r>
                  <w:r>
                    <w:rPr>
                      <w:rFonts w:hint="eastAsia" w:ascii="Times New Roman" w:hAnsi="Times New Roman" w:eastAsia="宋体" w:cs="Times New Roman"/>
                      <w:color w:val="auto"/>
                      <w:kern w:val="0"/>
                      <w:lang w:val="en-US" w:eastAsia="zh-CN"/>
                    </w:rPr>
                    <w:t>处理后</w:t>
                  </w:r>
                  <w:r>
                    <w:rPr>
                      <w:rFonts w:hint="default" w:ascii="Times New Roman" w:hAnsi="Times New Roman" w:eastAsia="宋体" w:cs="Times New Roman"/>
                      <w:color w:val="auto"/>
                      <w:kern w:val="0"/>
                    </w:rPr>
                    <w:t>用于厂区洒水降尘，不外排</w:t>
                  </w:r>
                  <w:r>
                    <w:rPr>
                      <w:rFonts w:hint="eastAsia" w:ascii="Times New Roman" w:hAnsi="Times New Roman" w:eastAsia="宋体" w:cs="Times New Roman"/>
                      <w:color w:val="auto"/>
                      <w:kern w:val="0"/>
                      <w:lang w:eastAsia="zh-CN"/>
                    </w:rPr>
                    <w:t>。</w:t>
                  </w:r>
                </w:p>
              </w:tc>
            </w:tr>
            <w:tr w14:paraId="44C1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4" w:type="pct"/>
                  <w:noWrap w:val="0"/>
                  <w:vAlign w:val="center"/>
                </w:tcPr>
                <w:p w14:paraId="4BD47F32">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合计</w:t>
                  </w:r>
                </w:p>
              </w:tc>
              <w:tc>
                <w:tcPr>
                  <w:tcW w:w="632" w:type="pct"/>
                  <w:noWrap w:val="0"/>
                  <w:vAlign w:val="center"/>
                </w:tcPr>
                <w:p w14:paraId="137EF45E">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2.4</w:t>
                  </w:r>
                </w:p>
              </w:tc>
              <w:tc>
                <w:tcPr>
                  <w:tcW w:w="581" w:type="pct"/>
                  <w:noWrap w:val="0"/>
                  <w:vAlign w:val="center"/>
                </w:tcPr>
                <w:p w14:paraId="6EADD64E">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252</w:t>
                  </w:r>
                </w:p>
              </w:tc>
              <w:tc>
                <w:tcPr>
                  <w:tcW w:w="743" w:type="pct"/>
                  <w:noWrap w:val="0"/>
                  <w:vAlign w:val="center"/>
                </w:tcPr>
                <w:p w14:paraId="32AB3419">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000000" w:themeColor="text1"/>
                      <w:lang w:val="en-US" w:eastAsia="zh-CN"/>
                      <w14:textFill>
                        <w14:solidFill>
                          <w14:schemeClr w14:val="tx1"/>
                        </w14:solidFill>
                      </w14:textFill>
                    </w:rPr>
                    <w:t>/</w:t>
                  </w:r>
                </w:p>
              </w:tc>
              <w:tc>
                <w:tcPr>
                  <w:tcW w:w="451" w:type="pct"/>
                  <w:noWrap w:val="0"/>
                  <w:vAlign w:val="center"/>
                </w:tcPr>
                <w:p w14:paraId="336072BE">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Times New Roman" w:hAnsi="Times New Roman" w:eastAsia="宋体" w:cs="Times New Roman"/>
                      <w:color w:val="auto"/>
                      <w:lang w:val="en-US" w:eastAsia="zh-CN"/>
                    </w:rPr>
                  </w:pPr>
                  <w:r>
                    <w:rPr>
                      <w:rFonts w:hint="eastAsia" w:cs="Times New Roman"/>
                      <w:color w:val="000000" w:themeColor="text1"/>
                      <w:lang w:val="en-US" w:eastAsia="zh-CN"/>
                      <w14:textFill>
                        <w14:solidFill>
                          <w14:schemeClr w14:val="tx1"/>
                        </w14:solidFill>
                      </w14:textFill>
                    </w:rPr>
                    <w:t>/</w:t>
                  </w:r>
                </w:p>
              </w:tc>
              <w:tc>
                <w:tcPr>
                  <w:tcW w:w="1686" w:type="pct"/>
                  <w:noWrap w:val="0"/>
                  <w:vAlign w:val="center"/>
                </w:tcPr>
                <w:p w14:paraId="2E15EED3">
                  <w:pPr>
                    <w:pStyle w:val="20"/>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bl>
          <w:p w14:paraId="236B9B1E">
            <w:pPr>
              <w:pStyle w:val="14"/>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482" w:firstLineChars="200"/>
              <w:jc w:val="both"/>
              <w:textAlignment w:val="auto"/>
              <w:rPr>
                <w:rFonts w:hint="default" w:ascii="Times New Roman" w:hAnsi="Times New Roman" w:eastAsia="宋体" w:cs="Times New Roman"/>
                <w:b/>
                <w:bCs/>
                <w:color w:val="auto"/>
                <w:kern w:val="2"/>
                <w:sz w:val="24"/>
                <w:szCs w:val="22"/>
                <w:lang w:val="en-US" w:eastAsia="zh-CN" w:bidi="ar-SA"/>
              </w:rPr>
            </w:pPr>
            <w:r>
              <w:rPr>
                <w:rFonts w:hint="eastAsia" w:ascii="Times New Roman" w:hAnsi="Times New Roman" w:eastAsia="宋体" w:cs="Times New Roman"/>
                <w:b/>
                <w:bCs/>
                <w:color w:val="auto"/>
                <w:kern w:val="2"/>
                <w:sz w:val="24"/>
                <w:szCs w:val="22"/>
                <w:lang w:val="en-US" w:eastAsia="zh-CN" w:bidi="ar-SA"/>
              </w:rPr>
              <w:t>2、水平衡</w:t>
            </w:r>
          </w:p>
          <w:p w14:paraId="14DFDC9C">
            <w:pPr>
              <w:pStyle w:val="14"/>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非雨天</w:t>
            </w:r>
            <w:r>
              <w:rPr>
                <w:rFonts w:hint="default" w:ascii="Times New Roman" w:hAnsi="Times New Roman" w:eastAsia="宋体" w:cs="Times New Roman"/>
                <w:color w:val="auto"/>
                <w:sz w:val="24"/>
                <w:szCs w:val="24"/>
                <w:highlight w:val="none"/>
                <w:lang w:val="en-US" w:eastAsia="zh-CN"/>
              </w:rPr>
              <w:t>水平衡见图2-1</w:t>
            </w:r>
            <w:r>
              <w:rPr>
                <w:rFonts w:hint="eastAsia" w:ascii="Times New Roman" w:hAnsi="Times New Roman" w:cs="Times New Roman"/>
                <w:color w:val="auto"/>
                <w:sz w:val="24"/>
                <w:szCs w:val="24"/>
                <w:highlight w:val="none"/>
                <w:lang w:val="en-US" w:eastAsia="zh-CN"/>
              </w:rPr>
              <w:t>、雨天</w:t>
            </w:r>
            <w:r>
              <w:rPr>
                <w:rFonts w:hint="default" w:ascii="Times New Roman" w:hAnsi="Times New Roman" w:eastAsia="宋体" w:cs="Times New Roman"/>
                <w:color w:val="auto"/>
                <w:sz w:val="24"/>
                <w:szCs w:val="24"/>
                <w:highlight w:val="none"/>
                <w:lang w:val="en-US" w:eastAsia="zh-CN"/>
              </w:rPr>
              <w:t>水平衡见图2-</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w:t>
            </w:r>
          </w:p>
          <w:p w14:paraId="1456D125">
            <w:pPr>
              <w:rPr>
                <w:rFonts w:hint="eastAsia"/>
              </w:rPr>
            </w:pPr>
            <w:r>
              <w:rPr>
                <w:rFonts w:hint="eastAsia" w:ascii="Times New Roman" w:hAnsi="Times New Roman" w:eastAsia="宋体" w:cs="Times New Roman"/>
                <w:b/>
                <w:bCs w:val="0"/>
                <w:color w:val="000000" w:themeColor="text1"/>
                <w:sz w:val="21"/>
                <w:szCs w:val="21"/>
                <w:lang w:val="en-US" w:eastAsia="zh-CN" w:bidi="ar"/>
                <w14:textFill>
                  <w14:solidFill>
                    <w14:schemeClr w14:val="tx1"/>
                  </w14:solidFill>
                </w14:textFill>
              </w:rPr>
              <w:object>
                <v:shape id="_x0000_i1025" o:spt="75" type="#_x0000_t75" style="height:176.75pt;width:347.65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14:paraId="5A094310">
            <w:pPr>
              <w:pStyle w:val="14"/>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图2-1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w:t>
            </w:r>
            <w:r>
              <w:rPr>
                <w:rFonts w:hint="eastAsia" w:ascii="Times New Roman" w:hAnsi="Times New Roman" w:cs="Times New Roman"/>
                <w:b/>
                <w:bCs/>
                <w:color w:val="auto"/>
                <w:sz w:val="21"/>
                <w:szCs w:val="21"/>
                <w:lang w:val="en-US" w:eastAsia="zh-CN"/>
              </w:rPr>
              <w:t>非雨天</w:t>
            </w:r>
            <w:r>
              <w:rPr>
                <w:rFonts w:hint="default" w:ascii="Times New Roman" w:hAnsi="Times New Roman" w:eastAsia="宋体" w:cs="Times New Roman"/>
                <w:b/>
                <w:bCs/>
                <w:color w:val="auto"/>
                <w:sz w:val="21"/>
                <w:szCs w:val="21"/>
                <w:lang w:val="en-US" w:eastAsia="zh-CN"/>
              </w:rPr>
              <w:t>水平衡图  单位：</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p w14:paraId="530FC06D">
            <w:pPr>
              <w:pStyle w:val="14"/>
              <w:keepNext w:val="0"/>
              <w:keepLines w:val="0"/>
              <w:widowControl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val="0"/>
                <w:color w:val="000000" w:themeColor="text1"/>
                <w:sz w:val="21"/>
                <w:szCs w:val="21"/>
                <w:lang w:val="en-US" w:eastAsia="zh-CN" w:bidi="ar"/>
                <w14:textFill>
                  <w14:solidFill>
                    <w14:schemeClr w14:val="tx1"/>
                  </w14:solidFill>
                </w14:textFill>
              </w:rPr>
              <w:object>
                <v:shape id="_x0000_i1026" o:spt="75" type="#_x0000_t75" style="height:176.75pt;width:347.65pt;" o:ole="t" filled="f" o:preferrelative="t" stroked="f" coordsize="21600,21600">
                  <v:path/>
                  <v:fill on="f" focussize="0,0"/>
                  <v:stroke on="f"/>
                  <v:imagedata r:id="rId19" o:title=""/>
                  <o:lock v:ext="edit" aspectratio="f"/>
                  <w10:wrap type="none"/>
                  <w10:anchorlock/>
                </v:shape>
                <o:OLEObject Type="Embed" ProgID="Visio.Drawing.11" ShapeID="_x0000_i1026" DrawAspect="Content" ObjectID="_1468075726" r:id="rId18">
                  <o:LockedField>false</o:LockedField>
                </o:OLEObject>
              </w:object>
            </w:r>
          </w:p>
          <w:p w14:paraId="0A976322">
            <w:pPr>
              <w:pStyle w:val="14"/>
              <w:keepNext w:val="0"/>
              <w:keepLines w:val="0"/>
              <w:widowControl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图2-</w:t>
            </w:r>
            <w:r>
              <w:rPr>
                <w:rFonts w:hint="eastAsia" w:ascii="Times New Roman" w:hAnsi="Times New Roman" w:eastAsia="宋体"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w:t>
            </w:r>
            <w:r>
              <w:rPr>
                <w:rFonts w:hint="eastAsia" w:ascii="Times New Roman" w:hAnsi="Times New Roman" w:cs="Times New Roman"/>
                <w:b/>
                <w:bCs/>
                <w:color w:val="auto"/>
                <w:sz w:val="21"/>
                <w:szCs w:val="21"/>
                <w:lang w:val="en-US" w:eastAsia="zh-CN"/>
              </w:rPr>
              <w:t>雨天</w:t>
            </w:r>
            <w:r>
              <w:rPr>
                <w:rFonts w:hint="default" w:ascii="Times New Roman" w:hAnsi="Times New Roman" w:eastAsia="宋体" w:cs="Times New Roman"/>
                <w:b/>
                <w:bCs/>
                <w:color w:val="auto"/>
                <w:sz w:val="21"/>
                <w:szCs w:val="21"/>
                <w:lang w:val="en-US" w:eastAsia="zh-CN"/>
              </w:rPr>
              <w:t>水平衡图  单位：</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p w14:paraId="75BBC3E1">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九</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物料平衡</w:t>
            </w:r>
          </w:p>
          <w:p w14:paraId="3B3CE2F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本项目物料平衡见</w:t>
            </w:r>
            <w:r>
              <w:rPr>
                <w:rFonts w:hint="eastAsia" w:cs="Times New Roman"/>
                <w:color w:val="000000" w:themeColor="text1"/>
                <w:kern w:val="0"/>
                <w:sz w:val="24"/>
                <w:highlight w:val="none"/>
                <w:lang w:val="en-US" w:eastAsia="zh-CN"/>
                <w14:textFill>
                  <w14:solidFill>
                    <w14:schemeClr w14:val="tx1"/>
                  </w14:solidFill>
                </w14:textFill>
              </w:rPr>
              <w:t>图</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2-</w:t>
            </w:r>
            <w:r>
              <w:rPr>
                <w:rFonts w:hint="eastAsia" w:cs="Times New Roman"/>
                <w:color w:val="000000" w:themeColor="text1"/>
                <w:kern w:val="0"/>
                <w:sz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14:paraId="2066E1CB">
            <w:pPr>
              <w:pStyle w:val="6"/>
              <w:rPr>
                <w:rFonts w:hint="default"/>
                <w:lang w:val="en-US"/>
              </w:rPr>
            </w:pPr>
            <w:r>
              <w:rPr>
                <w:rFonts w:hint="eastAsia" w:ascii="Times New Roman" w:hAnsi="Times New Roman" w:eastAsia="宋体" w:cs="Times New Roman"/>
                <w:b/>
                <w:bCs w:val="0"/>
                <w:color w:val="000000" w:themeColor="text1"/>
                <w:sz w:val="21"/>
                <w:szCs w:val="21"/>
                <w:lang w:val="en-US" w:eastAsia="zh-CN" w:bidi="ar"/>
                <w14:textFill>
                  <w14:solidFill>
                    <w14:schemeClr w14:val="tx1"/>
                  </w14:solidFill>
                </w14:textFill>
              </w:rPr>
              <w:object>
                <v:shape id="_x0000_i1027" o:spt="75" type="#_x0000_t75" style="height:168.6pt;width:347.65pt;" o:ole="t" filled="f" o:preferrelative="t" stroked="f" coordsize="21600,21600">
                  <v:path/>
                  <v:fill on="f" focussize="0,0"/>
                  <v:stroke on="f"/>
                  <v:imagedata r:id="rId21" o:title=""/>
                  <o:lock v:ext="edit" aspectratio="f"/>
                  <w10:wrap type="none"/>
                  <w10:anchorlock/>
                </v:shape>
                <o:OLEObject Type="Embed" ProgID="Visio.Drawing.11" ShapeID="_x0000_i1027" DrawAspect="Content" ObjectID="_1468075727" r:id="rId20">
                  <o:LockedField>false</o:LockedField>
                </o:OLEObject>
              </w:object>
            </w:r>
            <w:r>
              <w:rPr>
                <w:rFonts w:hint="default" w:ascii="Times New Roman" w:hAnsi="Times New Roman" w:eastAsia="宋体" w:cs="Times New Roman"/>
                <w:b/>
                <w:bCs/>
                <w:i w:val="0"/>
                <w:iCs/>
                <w:color w:val="auto"/>
                <w:sz w:val="21"/>
                <w:szCs w:val="21"/>
                <w:lang w:val="en-US" w:eastAsia="zh-CN"/>
              </w:rPr>
              <w:t>图2-</w:t>
            </w:r>
            <w:r>
              <w:rPr>
                <w:rFonts w:hint="eastAsia" w:cs="Times New Roman"/>
                <w:b/>
                <w:bCs/>
                <w:i w:val="0"/>
                <w:iCs/>
                <w:color w:val="auto"/>
                <w:sz w:val="21"/>
                <w:szCs w:val="21"/>
                <w:lang w:val="en-US" w:eastAsia="zh-CN"/>
              </w:rPr>
              <w:t>3</w:t>
            </w:r>
            <w:r>
              <w:rPr>
                <w:rFonts w:hint="eastAsia" w:ascii="Times New Roman" w:hAnsi="Times New Roman" w:cs="Times New Roman"/>
                <w:b/>
                <w:bCs/>
                <w:i w:val="0"/>
                <w:iCs/>
                <w:color w:val="auto"/>
                <w:sz w:val="21"/>
                <w:szCs w:val="21"/>
                <w:lang w:val="en-US" w:eastAsia="zh-CN"/>
              </w:rPr>
              <w:t xml:space="preserve">  </w:t>
            </w:r>
            <w:r>
              <w:rPr>
                <w:rFonts w:hint="default" w:ascii="Times New Roman" w:hAnsi="Times New Roman" w:eastAsia="宋体" w:cs="Times New Roman"/>
                <w:b/>
                <w:bCs/>
                <w:i w:val="0"/>
                <w:iCs/>
                <w:color w:val="auto"/>
                <w:sz w:val="21"/>
                <w:szCs w:val="21"/>
                <w:lang w:val="en-US" w:eastAsia="zh-CN"/>
              </w:rPr>
              <w:t>项目</w:t>
            </w:r>
            <w:r>
              <w:rPr>
                <w:rFonts w:hint="eastAsia" w:cs="Times New Roman"/>
                <w:b/>
                <w:bCs/>
                <w:i w:val="0"/>
                <w:iCs/>
                <w:color w:val="auto"/>
                <w:sz w:val="21"/>
                <w:szCs w:val="21"/>
                <w:lang w:val="en-US" w:eastAsia="zh-CN"/>
              </w:rPr>
              <w:t>物料平衡图 单位：t/a</w:t>
            </w:r>
          </w:p>
          <w:p w14:paraId="37CD5129">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十</w:t>
            </w:r>
            <w:r>
              <w:rPr>
                <w:rFonts w:hint="default" w:ascii="Times New Roman" w:hAnsi="Times New Roman" w:eastAsia="宋体" w:cs="Times New Roman"/>
                <w:b/>
                <w:bCs/>
                <w:color w:val="auto"/>
                <w:sz w:val="24"/>
                <w:szCs w:val="24"/>
                <w:lang w:val="en-US" w:eastAsia="zh-CN"/>
              </w:rPr>
              <w:t>、平面布置</w:t>
            </w:r>
          </w:p>
          <w:p w14:paraId="7ACE320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both"/>
              <w:textAlignment w:val="auto"/>
              <w:rPr>
                <w:rFonts w:hint="default" w:eastAsia="宋体"/>
                <w:color w:val="auto"/>
                <w:lang w:val="en-US" w:eastAsia="zh-CN"/>
              </w:rPr>
            </w:pPr>
            <w:r>
              <w:rPr>
                <w:rFonts w:hint="eastAsia" w:ascii="Times New Roman" w:hAnsi="Times New Roman" w:eastAsia="宋体" w:cs="Times New Roman"/>
                <w:color w:val="000000" w:themeColor="text1"/>
                <w:kern w:val="0"/>
                <w:sz w:val="24"/>
                <w:lang w:val="en-US" w:eastAsia="zh-CN"/>
                <w14:textFill>
                  <w14:solidFill>
                    <w14:schemeClr w14:val="tx1"/>
                  </w14:solidFill>
                </w14:textFill>
              </w:rPr>
              <w:t>本项目位置位于云南龙泉矿业开发有限公司“45万吨/年普通建筑材料用石灰岩露天开采技术改造项目”采石场内3#堆料场和破碎站之间的空地上，</w:t>
            </w:r>
            <w:r>
              <w:rPr>
                <w:rFonts w:hint="default" w:ascii="Times New Roman" w:hAnsi="Times New Roman" w:eastAsia="宋体" w:cs="Times New Roman"/>
                <w:color w:val="auto"/>
                <w:sz w:val="24"/>
                <w:szCs w:val="24"/>
              </w:rPr>
              <w:t>按照工艺过程、运转顺序和安全生产的需要</w:t>
            </w:r>
            <w:r>
              <w:rPr>
                <w:rFonts w:hint="eastAsia" w:ascii="Times New Roman" w:hAnsi="Times New Roman" w:eastAsia="宋体" w:cs="Times New Roman"/>
                <w:color w:val="auto"/>
                <w:sz w:val="24"/>
                <w:szCs w:val="24"/>
                <w:lang w:val="en-US" w:eastAsia="zh-CN"/>
              </w:rPr>
              <w:t>将沥青混凝土生产线“自南向北”合理布局，项目区南侧紧挨着采石场3#堆料场</w:t>
            </w:r>
            <w:r>
              <w:rPr>
                <w:rFonts w:hint="eastAsia" w:cs="Times New Roman"/>
                <w:color w:val="auto"/>
                <w:sz w:val="24"/>
                <w:szCs w:val="24"/>
                <w:lang w:val="en-US" w:eastAsia="zh-CN"/>
              </w:rPr>
              <w:t>东侧</w:t>
            </w:r>
            <w:r>
              <w:rPr>
                <w:rFonts w:hint="eastAsia" w:ascii="Times New Roman" w:hAnsi="Times New Roman" w:eastAsia="宋体" w:cs="Times New Roman"/>
                <w:color w:val="auto"/>
                <w:sz w:val="24"/>
                <w:szCs w:val="24"/>
                <w:lang w:val="en-US" w:eastAsia="zh-CN"/>
              </w:rPr>
              <w:t>设置砂石料</w:t>
            </w:r>
            <w:r>
              <w:rPr>
                <w:rFonts w:hint="eastAsia" w:cs="Times New Roman"/>
                <w:color w:val="auto"/>
                <w:sz w:val="24"/>
                <w:szCs w:val="24"/>
                <w:lang w:val="en-US" w:eastAsia="zh-CN"/>
              </w:rPr>
              <w:t>堆场</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北侧设有计量仓，</w:t>
            </w:r>
            <w:r>
              <w:rPr>
                <w:rFonts w:hint="eastAsia" w:ascii="Times New Roman" w:hAnsi="Times New Roman" w:eastAsia="宋体" w:cs="Times New Roman"/>
                <w:color w:val="auto"/>
                <w:sz w:val="24"/>
                <w:szCs w:val="24"/>
                <w:lang w:val="en-US" w:eastAsia="zh-CN"/>
              </w:rPr>
              <w:t>便于上料，</w:t>
            </w:r>
            <w:r>
              <w:rPr>
                <w:rFonts w:hint="eastAsia" w:cs="Times New Roman"/>
                <w:color w:val="auto"/>
                <w:sz w:val="24"/>
                <w:szCs w:val="24"/>
                <w:lang w:val="en-US" w:eastAsia="zh-CN"/>
              </w:rPr>
              <w:t>计量</w:t>
            </w:r>
            <w:r>
              <w:rPr>
                <w:rFonts w:hint="eastAsia" w:ascii="Times New Roman" w:hAnsi="Times New Roman" w:eastAsia="宋体" w:cs="Times New Roman"/>
                <w:color w:val="auto"/>
                <w:sz w:val="24"/>
                <w:szCs w:val="24"/>
                <w:lang w:val="en-US" w:eastAsia="zh-CN"/>
              </w:rPr>
              <w:t>仓连接着皮带输送机，皮带输送机末端为烘干滚筒（末端配备燃烧机、风机）</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紧接</w:t>
            </w:r>
            <w:r>
              <w:rPr>
                <w:rFonts w:hint="eastAsia" w:cs="Times New Roman"/>
                <w:color w:val="auto"/>
                <w:sz w:val="24"/>
                <w:szCs w:val="24"/>
                <w:lang w:val="en-US" w:eastAsia="zh-CN"/>
              </w:rPr>
              <w:t>这北侧设有拌合站（包括热料提升装置、计量装置、</w:t>
            </w:r>
            <w:r>
              <w:rPr>
                <w:rFonts w:hint="eastAsia" w:ascii="Times New Roman" w:hAnsi="Times New Roman" w:eastAsia="宋体" w:cs="Times New Roman"/>
                <w:color w:val="auto"/>
                <w:sz w:val="24"/>
                <w:szCs w:val="24"/>
                <w:lang w:val="en-US" w:eastAsia="zh-CN"/>
              </w:rPr>
              <w:t>沥青混合料搅拌设备、出料装车区</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拌合站紧挨着北侧</w:t>
            </w:r>
            <w:r>
              <w:rPr>
                <w:rFonts w:hint="eastAsia" w:ascii="Times New Roman" w:hAnsi="Times New Roman" w:eastAsia="宋体" w:cs="Times New Roman"/>
                <w:color w:val="auto"/>
                <w:sz w:val="24"/>
                <w:szCs w:val="24"/>
                <w:lang w:val="en-US" w:eastAsia="zh-CN"/>
              </w:rPr>
              <w:t>设有矿粉筒仓，项目</w:t>
            </w:r>
            <w:r>
              <w:rPr>
                <w:rFonts w:hint="eastAsia" w:cs="Times New Roman"/>
                <w:color w:val="auto"/>
                <w:sz w:val="24"/>
                <w:szCs w:val="24"/>
                <w:lang w:val="en-US" w:eastAsia="zh-CN"/>
              </w:rPr>
              <w:t>10t</w:t>
            </w:r>
            <w:r>
              <w:rPr>
                <w:rFonts w:hint="eastAsia" w:ascii="Times New Roman" w:hAnsi="Times New Roman" w:eastAsia="宋体" w:cs="Times New Roman"/>
                <w:color w:val="auto"/>
                <w:sz w:val="24"/>
                <w:szCs w:val="24"/>
                <w:lang w:val="en-US" w:eastAsia="zh-CN"/>
              </w:rPr>
              <w:t>柴油储罐位于砂石料</w:t>
            </w:r>
            <w:r>
              <w:rPr>
                <w:rFonts w:hint="eastAsia" w:cs="Times New Roman"/>
                <w:color w:val="auto"/>
                <w:sz w:val="24"/>
                <w:szCs w:val="24"/>
                <w:lang w:val="en-US" w:eastAsia="zh-CN"/>
              </w:rPr>
              <w:t>堆场</w:t>
            </w:r>
            <w:r>
              <w:rPr>
                <w:rFonts w:hint="eastAsia" w:ascii="Times New Roman" w:hAnsi="Times New Roman" w:eastAsia="宋体" w:cs="Times New Roman"/>
                <w:color w:val="auto"/>
                <w:sz w:val="24"/>
                <w:szCs w:val="24"/>
                <w:lang w:val="en-US" w:eastAsia="zh-CN"/>
              </w:rPr>
              <w:t>东南侧，2个沥青储罐、2个</w:t>
            </w:r>
            <w:r>
              <w:rPr>
                <w:rFonts w:hint="eastAsia" w:cs="Times New Roman"/>
                <w:color w:val="auto"/>
                <w:sz w:val="24"/>
                <w:szCs w:val="24"/>
                <w:lang w:val="en-US" w:eastAsia="zh-CN"/>
              </w:rPr>
              <w:t>50t</w:t>
            </w:r>
            <w:r>
              <w:rPr>
                <w:rFonts w:hint="eastAsia" w:ascii="Times New Roman" w:hAnsi="Times New Roman" w:eastAsia="宋体" w:cs="Times New Roman"/>
                <w:color w:val="auto"/>
                <w:sz w:val="24"/>
                <w:szCs w:val="24"/>
                <w:lang w:val="en-US" w:eastAsia="zh-CN"/>
              </w:rPr>
              <w:t>柴</w:t>
            </w:r>
            <w:r>
              <w:rPr>
                <w:rFonts w:hint="eastAsia" w:cs="Times New Roman"/>
                <w:color w:val="auto"/>
                <w:sz w:val="24"/>
                <w:szCs w:val="24"/>
                <w:lang w:val="en-US" w:eastAsia="zh-CN"/>
              </w:rPr>
              <w:t>油</w:t>
            </w:r>
            <w:r>
              <w:rPr>
                <w:rFonts w:hint="eastAsia" w:ascii="Times New Roman" w:hAnsi="Times New Roman" w:eastAsia="宋体" w:cs="Times New Roman"/>
                <w:color w:val="auto"/>
                <w:sz w:val="24"/>
                <w:szCs w:val="24"/>
                <w:lang w:val="en-US" w:eastAsia="zh-CN"/>
              </w:rPr>
              <w:t>储罐并排位于烘干滚筒南侧，废气处理系统（旋风除尘器、布袋除尘器、排气筒）位于</w:t>
            </w:r>
            <w:r>
              <w:rPr>
                <w:rFonts w:hint="eastAsia" w:cs="Times New Roman"/>
                <w:color w:val="auto"/>
                <w:sz w:val="24"/>
                <w:szCs w:val="24"/>
                <w:lang w:val="en-US" w:eastAsia="zh-CN"/>
              </w:rPr>
              <w:t>拌合站上</w:t>
            </w:r>
            <w:r>
              <w:rPr>
                <w:rFonts w:hint="eastAsia" w:ascii="Times New Roman" w:hAnsi="Times New Roman" w:eastAsia="宋体" w:cs="Times New Roman"/>
                <w:color w:val="auto"/>
                <w:sz w:val="24"/>
                <w:szCs w:val="24"/>
                <w:lang w:val="en-US" w:eastAsia="zh-CN"/>
              </w:rPr>
              <w:t>，有利于生产废气收集处理。</w:t>
            </w:r>
            <w:r>
              <w:rPr>
                <w:rFonts w:hint="default" w:ascii="Times New Roman" w:hAnsi="Times New Roman" w:eastAsia="宋体" w:cs="Times New Roman"/>
                <w:color w:val="auto"/>
                <w:sz w:val="24"/>
                <w:szCs w:val="24"/>
              </w:rPr>
              <w:t>项目平面布局满足了工艺流程的合理顺畅，使生产设备集中布置。生产</w:t>
            </w:r>
            <w:r>
              <w:rPr>
                <w:rFonts w:hint="eastAsia" w:ascii="Times New Roman" w:hAnsi="Times New Roman" w:eastAsia="宋体" w:cs="Times New Roman"/>
                <w:color w:val="auto"/>
                <w:sz w:val="24"/>
                <w:szCs w:val="24"/>
                <w:lang w:val="en-US" w:eastAsia="zh-CN"/>
              </w:rPr>
              <w:t>区与</w:t>
            </w:r>
            <w:r>
              <w:rPr>
                <w:rFonts w:hint="default" w:ascii="Times New Roman" w:hAnsi="Times New Roman" w:eastAsia="宋体" w:cs="Times New Roman"/>
                <w:color w:val="auto"/>
                <w:sz w:val="24"/>
                <w:szCs w:val="24"/>
              </w:rPr>
              <w:t>道路相连，便于</w:t>
            </w:r>
            <w:r>
              <w:rPr>
                <w:rFonts w:hint="eastAsia" w:ascii="Times New Roman" w:hAnsi="Times New Roman" w:eastAsia="宋体" w:cs="Times New Roman"/>
                <w:color w:val="auto"/>
                <w:sz w:val="24"/>
                <w:szCs w:val="24"/>
                <w:lang w:val="en-US" w:eastAsia="zh-CN"/>
              </w:rPr>
              <w:t>车辆</w:t>
            </w:r>
            <w:r>
              <w:rPr>
                <w:rFonts w:hint="default" w:ascii="Times New Roman" w:hAnsi="Times New Roman" w:eastAsia="宋体" w:cs="Times New Roman"/>
                <w:color w:val="auto"/>
                <w:sz w:val="24"/>
                <w:szCs w:val="24"/>
              </w:rPr>
              <w:t>运输。项目平面布置基本合理</w:t>
            </w:r>
            <w:r>
              <w:rPr>
                <w:rFonts w:hint="eastAsia"/>
                <w:color w:val="auto"/>
                <w:lang w:eastAsia="zh-CN"/>
              </w:rPr>
              <w:t>，</w:t>
            </w:r>
            <w:r>
              <w:rPr>
                <w:rFonts w:hint="eastAsia"/>
                <w:color w:val="auto"/>
                <w:lang w:val="en-US" w:eastAsia="zh-CN"/>
              </w:rPr>
              <w:t>项目与采石场位置关系图详见附图2-1，项目平面布置图详见2-2。</w:t>
            </w:r>
          </w:p>
          <w:p w14:paraId="1E584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十</w:t>
            </w:r>
            <w:r>
              <w:rPr>
                <w:rFonts w:hint="eastAsia" w:cs="Times New Roman"/>
                <w:b/>
                <w:bCs/>
                <w:color w:val="auto"/>
                <w:sz w:val="24"/>
                <w:szCs w:val="24"/>
                <w:lang w:val="en-US" w:eastAsia="zh-CN"/>
              </w:rPr>
              <w:t>一</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项目环保投资</w:t>
            </w:r>
          </w:p>
          <w:p w14:paraId="180C40A9">
            <w:pPr>
              <w:ind w:firstLine="480"/>
              <w:rPr>
                <w:rFonts w:hint="default" w:eastAsia="宋体"/>
                <w:lang w:val="en-US" w:eastAsia="zh-CN"/>
              </w:rPr>
            </w:pPr>
            <w:r>
              <w:rPr>
                <w:rFonts w:hint="eastAsia"/>
                <w:lang w:val="en-US" w:eastAsia="zh-CN"/>
              </w:rPr>
              <w:t>经现场勘查，项目已建成，现投资主要为整改环保措施等方面，</w:t>
            </w:r>
            <w:r>
              <w:rPr>
                <w:rFonts w:hint="eastAsia" w:ascii="Times New Roman" w:hAnsi="Times New Roman" w:eastAsia="宋体" w:cs="Times New Roman"/>
                <w:bCs/>
                <w:color w:val="000000" w:themeColor="text1"/>
                <w:sz w:val="24"/>
                <w14:textFill>
                  <w14:solidFill>
                    <w14:schemeClr w14:val="tx1"/>
                  </w14:solidFill>
                </w14:textFill>
              </w:rPr>
              <w:t>环保投资估算</w:t>
            </w:r>
            <w:r>
              <w:rPr>
                <w:rFonts w:hint="eastAsia" w:eastAsia="宋体" w:cs="Times New Roman"/>
                <w:bCs/>
                <w:color w:val="000000" w:themeColor="text1"/>
                <w:sz w:val="24"/>
                <w:lang w:val="en-US" w:eastAsia="zh-CN"/>
                <w14:textFill>
                  <w14:solidFill>
                    <w14:schemeClr w14:val="tx1"/>
                  </w14:solidFill>
                </w14:textFill>
              </w:rPr>
              <w:t>详见下表2-</w:t>
            </w:r>
            <w:r>
              <w:rPr>
                <w:rFonts w:hint="eastAsia" w:cs="Times New Roman"/>
                <w:bCs/>
                <w:color w:val="000000" w:themeColor="text1"/>
                <w:sz w:val="24"/>
                <w:lang w:val="en-US" w:eastAsia="zh-CN"/>
                <w14:textFill>
                  <w14:solidFill>
                    <w14:schemeClr w14:val="tx1"/>
                  </w14:solidFill>
                </w14:textFill>
              </w:rPr>
              <w:t>8</w:t>
            </w:r>
            <w:r>
              <w:rPr>
                <w:rFonts w:hint="eastAsia" w:ascii="Times New Roman" w:hAnsi="Times New Roman" w:eastAsia="宋体" w:cs="Times New Roman"/>
                <w:bCs/>
                <w:color w:val="000000" w:themeColor="text1"/>
                <w:sz w:val="24"/>
                <w14:textFill>
                  <w14:solidFill>
                    <w14:schemeClr w14:val="tx1"/>
                  </w14:solidFill>
                </w14:textFill>
              </w:rPr>
              <w:t>。</w:t>
            </w:r>
          </w:p>
          <w:p w14:paraId="41553F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eastAsia"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rPr>
              <w:t>环保投资一览表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516"/>
              <w:gridCol w:w="1339"/>
              <w:gridCol w:w="4959"/>
              <w:gridCol w:w="1093"/>
            </w:tblGrid>
            <w:tr w14:paraId="0E17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noWrap w:val="0"/>
                  <w:vAlign w:val="center"/>
                </w:tcPr>
                <w:p w14:paraId="12A6D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时段</w:t>
                  </w:r>
                </w:p>
              </w:tc>
              <w:tc>
                <w:tcPr>
                  <w:tcW w:w="1110" w:type="pct"/>
                  <w:gridSpan w:val="2"/>
                  <w:noWrap w:val="0"/>
                  <w:vAlign w:val="center"/>
                </w:tcPr>
                <w:p w14:paraId="29EC83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治理项目</w:t>
                  </w:r>
                </w:p>
              </w:tc>
              <w:tc>
                <w:tcPr>
                  <w:tcW w:w="2969" w:type="pct"/>
                  <w:noWrap w:val="0"/>
                  <w:vAlign w:val="center"/>
                </w:tcPr>
                <w:p w14:paraId="72F530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环保设施</w:t>
                  </w:r>
                </w:p>
              </w:tc>
              <w:tc>
                <w:tcPr>
                  <w:tcW w:w="654" w:type="pct"/>
                  <w:noWrap w:val="0"/>
                  <w:vAlign w:val="center"/>
                </w:tcPr>
                <w:p w14:paraId="722C32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环保投资</w:t>
                  </w:r>
                </w:p>
                <w:p w14:paraId="105DA3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（万元）</w:t>
                  </w:r>
                </w:p>
              </w:tc>
            </w:tr>
            <w:tr w14:paraId="2DE8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restart"/>
                  <w:noWrap w:val="0"/>
                  <w:vAlign w:val="center"/>
                </w:tcPr>
                <w:p w14:paraId="16BC5A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运营期</w:t>
                  </w:r>
                </w:p>
              </w:tc>
              <w:tc>
                <w:tcPr>
                  <w:tcW w:w="309" w:type="pct"/>
                  <w:vMerge w:val="restart"/>
                  <w:noWrap w:val="0"/>
                  <w:vAlign w:val="center"/>
                </w:tcPr>
                <w:p w14:paraId="489CF8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339" w:type="dxa"/>
                  <w:shd w:val="clear" w:color="auto" w:fill="auto"/>
                  <w:noWrap w:val="0"/>
                  <w:vAlign w:val="center"/>
                </w:tcPr>
                <w:p w14:paraId="6DBC67DF">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装卸废气</w:t>
                  </w:r>
                </w:p>
              </w:tc>
              <w:tc>
                <w:tcPr>
                  <w:tcW w:w="4959" w:type="dxa"/>
                  <w:shd w:val="clear" w:color="auto" w:fill="auto"/>
                  <w:noWrap w:val="0"/>
                  <w:vAlign w:val="center"/>
                </w:tcPr>
                <w:p w14:paraId="797EA404">
                  <w:pPr>
                    <w:pageBreakBefore w:val="0"/>
                    <w:kinsoku/>
                    <w:wordWrap/>
                    <w:overflowPunct/>
                    <w:topLinePunct w:val="0"/>
                    <w:autoSpaceDE/>
                    <w:autoSpaceDN/>
                    <w:bidi w:val="0"/>
                    <w:adjustRightInd/>
                    <w:spacing w:line="360" w:lineRule="exact"/>
                    <w:ind w:firstLine="0" w:firstLineChars="0"/>
                    <w:jc w:val="left"/>
                    <w:textAlignment w:val="auto"/>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砂石料由</w:t>
                  </w:r>
                  <w:r>
                    <w:rPr>
                      <w:rFonts w:hint="eastAsia" w:ascii="Times New Roman" w:hAnsi="Times New Roman" w:eastAsia="宋体" w:cs="Times New Roman"/>
                      <w:b w:val="0"/>
                      <w:bCs w:val="0"/>
                      <w:color w:val="auto"/>
                      <w:sz w:val="21"/>
                      <w:szCs w:val="21"/>
                      <w:highlight w:val="none"/>
                      <w:lang w:val="en-US" w:eastAsia="zh-CN"/>
                    </w:rPr>
                    <w:t>采石场的3#堆料场</w:t>
                  </w:r>
                  <w:r>
                    <w:rPr>
                      <w:rFonts w:hint="eastAsia" w:cs="Times New Roman"/>
                      <w:b w:val="0"/>
                      <w:bCs w:val="0"/>
                      <w:color w:val="auto"/>
                      <w:sz w:val="21"/>
                      <w:szCs w:val="21"/>
                      <w:highlight w:val="none"/>
                      <w:lang w:val="en-US" w:eastAsia="zh-CN"/>
                    </w:rPr>
                    <w:t>由装载车运至项目砂石料堆场，砂石料堆场设置了</w:t>
                  </w:r>
                  <w:r>
                    <w:rPr>
                      <w:rFonts w:hint="eastAsia"/>
                      <w:b w:val="0"/>
                      <w:bCs w:val="0"/>
                      <w:color w:val="auto"/>
                      <w:sz w:val="21"/>
                      <w:szCs w:val="21"/>
                    </w:rPr>
                    <w:t>大棚，采用三</w:t>
                  </w:r>
                  <w:r>
                    <w:rPr>
                      <w:rFonts w:hint="eastAsia" w:ascii="Times New Roman" w:hAnsi="Times New Roman" w:eastAsia="宋体" w:cs="Times New Roman"/>
                      <w:b w:val="0"/>
                      <w:bCs w:val="0"/>
                      <w:color w:val="auto"/>
                      <w:sz w:val="21"/>
                      <w:szCs w:val="21"/>
                      <w:lang w:val="en-US" w:eastAsia="zh-CN"/>
                    </w:rPr>
                    <w:t>面围挡</w:t>
                  </w:r>
                  <w:r>
                    <w:rPr>
                      <w:rFonts w:hint="eastAsia" w:cs="Times New Roman"/>
                      <w:b w:val="0"/>
                      <w:bCs w:val="0"/>
                      <w:color w:val="auto"/>
                      <w:sz w:val="21"/>
                      <w:szCs w:val="21"/>
                      <w:lang w:val="en-US" w:eastAsia="zh-CN"/>
                    </w:rPr>
                    <w:t>。</w:t>
                  </w:r>
                </w:p>
                <w:p w14:paraId="77D28923">
                  <w:pPr>
                    <w:pageBreakBefore w:val="0"/>
                    <w:kinsoku/>
                    <w:wordWrap/>
                    <w:overflowPunct/>
                    <w:topLinePunct w:val="0"/>
                    <w:autoSpaceDE/>
                    <w:autoSpaceDN/>
                    <w:bidi w:val="0"/>
                    <w:adjustRightIn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此次环评提出：采用人工通过软管定期对厂区进行洒水降尘。</w:t>
                  </w:r>
                </w:p>
              </w:tc>
              <w:tc>
                <w:tcPr>
                  <w:tcW w:w="654" w:type="pct"/>
                  <w:noWrap w:val="0"/>
                  <w:vAlign w:val="center"/>
                </w:tcPr>
                <w:p w14:paraId="6F5F41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r>
            <w:tr w14:paraId="4DB6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2AACB1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41F1E2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1339" w:type="dxa"/>
                  <w:shd w:val="clear" w:color="auto" w:fill="auto"/>
                  <w:noWrap w:val="0"/>
                  <w:vAlign w:val="center"/>
                </w:tcPr>
                <w:p w14:paraId="5CCC3AC8">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上料扬尘</w:t>
                  </w:r>
                </w:p>
              </w:tc>
              <w:tc>
                <w:tcPr>
                  <w:tcW w:w="4959" w:type="dxa"/>
                  <w:shd w:val="clear" w:color="auto" w:fill="auto"/>
                  <w:noWrap w:val="0"/>
                  <w:vAlign w:val="center"/>
                </w:tcPr>
                <w:p w14:paraId="70FF2566">
                  <w:pPr>
                    <w:pageBreakBefore w:val="0"/>
                    <w:kinsoku/>
                    <w:wordWrap/>
                    <w:overflowPunct/>
                    <w:topLinePunct w:val="0"/>
                    <w:autoSpaceDE/>
                    <w:autoSpaceDN/>
                    <w:bidi w:val="0"/>
                    <w:adjustRightInd/>
                    <w:spacing w:line="360" w:lineRule="exact"/>
                    <w:ind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投料口上方设置集气罩，投料废气经集气罩收集通过管道与烘干废气一起进入“旋风除尘器+布袋除尘器”处理</w:t>
                  </w:r>
                  <w:r>
                    <w:rPr>
                      <w:rFonts w:hint="eastAsia" w:cs="Times New Roman"/>
                      <w:color w:val="auto"/>
                      <w:sz w:val="21"/>
                      <w:szCs w:val="21"/>
                      <w:lang w:val="en-US" w:eastAsia="zh-CN"/>
                    </w:rPr>
                    <w:t>后通过1根15m高、直径约0.5m的排气筒（DA001）排放</w:t>
                  </w:r>
                  <w:r>
                    <w:rPr>
                      <w:rFonts w:hint="eastAsia" w:cs="Times New Roman"/>
                      <w:b w:val="0"/>
                      <w:bCs w:val="0"/>
                      <w:color w:val="auto"/>
                      <w:sz w:val="21"/>
                      <w:szCs w:val="21"/>
                      <w:lang w:val="en-US" w:eastAsia="zh-CN"/>
                    </w:rPr>
                    <w:t>。</w:t>
                  </w:r>
                </w:p>
              </w:tc>
              <w:tc>
                <w:tcPr>
                  <w:tcW w:w="654" w:type="pct"/>
                  <w:noWrap w:val="0"/>
                  <w:vAlign w:val="center"/>
                </w:tcPr>
                <w:p w14:paraId="505E5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2.0</w:t>
                  </w:r>
                </w:p>
              </w:tc>
            </w:tr>
            <w:tr w14:paraId="69FA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6579D4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2FF780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1339" w:type="dxa"/>
                  <w:shd w:val="clear" w:color="auto" w:fill="auto"/>
                  <w:noWrap w:val="0"/>
                  <w:vAlign w:val="center"/>
                </w:tcPr>
                <w:p w14:paraId="62B87348">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皮带输</w:t>
                  </w:r>
                  <w:r>
                    <w:rPr>
                      <w:rFonts w:hint="eastAsia" w:ascii="Times New Roman" w:hAnsi="Times New Roman" w:eastAsia="宋体" w:cs="Times New Roman"/>
                      <w:color w:val="auto"/>
                      <w:sz w:val="21"/>
                      <w:szCs w:val="21"/>
                      <w:lang w:val="en-US" w:eastAsia="zh-CN"/>
                    </w:rPr>
                    <w:t>送扬</w:t>
                  </w:r>
                  <w:r>
                    <w:rPr>
                      <w:rFonts w:hint="eastAsia" w:cs="Times New Roman"/>
                      <w:color w:val="auto"/>
                      <w:sz w:val="21"/>
                      <w:szCs w:val="21"/>
                      <w:lang w:val="en-US" w:eastAsia="zh-CN"/>
                    </w:rPr>
                    <w:t>尘</w:t>
                  </w:r>
                </w:p>
              </w:tc>
              <w:tc>
                <w:tcPr>
                  <w:tcW w:w="4959" w:type="dxa"/>
                  <w:shd w:val="clear" w:color="auto" w:fill="auto"/>
                  <w:noWrap w:val="0"/>
                  <w:vAlign w:val="center"/>
                </w:tcPr>
                <w:p w14:paraId="22CD418C">
                  <w:pPr>
                    <w:pageBreakBefore w:val="0"/>
                    <w:kinsoku/>
                    <w:wordWrap/>
                    <w:overflowPunct/>
                    <w:topLinePunct w:val="0"/>
                    <w:autoSpaceDE/>
                    <w:autoSpaceDN/>
                    <w:bidi w:val="0"/>
                    <w:adjustRightInd/>
                    <w:spacing w:line="360" w:lineRule="exact"/>
                    <w:ind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皮带输送机实施廊道密封，少量以无组织形式排放。</w:t>
                  </w:r>
                </w:p>
              </w:tc>
              <w:tc>
                <w:tcPr>
                  <w:tcW w:w="654" w:type="pct"/>
                  <w:noWrap w:val="0"/>
                  <w:vAlign w:val="center"/>
                </w:tcPr>
                <w:p w14:paraId="3CA0B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r>
            <w:tr w14:paraId="70E8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5CD984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62F3CB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01" w:type="pct"/>
                  <w:shd w:val="clear" w:color="auto" w:fill="auto"/>
                  <w:noWrap w:val="0"/>
                  <w:vAlign w:val="center"/>
                </w:tcPr>
                <w:p w14:paraId="6EBA63AC">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烘干</w:t>
                  </w:r>
                  <w:r>
                    <w:rPr>
                      <w:rFonts w:hint="eastAsia" w:ascii="Times New Roman" w:hAnsi="Times New Roman" w:eastAsia="宋体" w:cs="Times New Roman"/>
                      <w:color w:val="auto"/>
                      <w:sz w:val="21"/>
                      <w:szCs w:val="21"/>
                      <w:lang w:val="en-US" w:eastAsia="zh-CN"/>
                    </w:rPr>
                    <w:t>滚筒产生废气</w:t>
                  </w:r>
                </w:p>
              </w:tc>
              <w:tc>
                <w:tcPr>
                  <w:tcW w:w="2969" w:type="pct"/>
                  <w:shd w:val="clear" w:color="auto" w:fill="auto"/>
                  <w:noWrap w:val="0"/>
                  <w:vAlign w:val="center"/>
                </w:tcPr>
                <w:p w14:paraId="14ACD8CC">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由管道进入旋风除尘器处理再经布袋除尘器处理后通过1根15m高排气筒（DA001）排放。</w:t>
                  </w:r>
                </w:p>
              </w:tc>
              <w:tc>
                <w:tcPr>
                  <w:tcW w:w="654" w:type="pct"/>
                  <w:noWrap w:val="0"/>
                  <w:vAlign w:val="center"/>
                </w:tcPr>
                <w:p w14:paraId="412751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009D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651795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46137E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01" w:type="pct"/>
                  <w:shd w:val="clear" w:color="auto" w:fill="auto"/>
                  <w:noWrap w:val="0"/>
                  <w:vAlign w:val="center"/>
                </w:tcPr>
                <w:p w14:paraId="6B370920">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沥青加热和搅拌废气、产品出料废气</w:t>
                  </w:r>
                </w:p>
              </w:tc>
              <w:tc>
                <w:tcPr>
                  <w:tcW w:w="2969" w:type="pct"/>
                  <w:shd w:val="clear" w:color="auto" w:fill="auto"/>
                  <w:noWrap w:val="0"/>
                  <w:vAlign w:val="center"/>
                </w:tcPr>
                <w:p w14:paraId="1C2A3089">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沥青罐</w:t>
                  </w:r>
                  <w:r>
                    <w:rPr>
                      <w:rFonts w:hint="eastAsia" w:ascii="Times New Roman" w:hAnsi="Times New Roman" w:eastAsia="宋体" w:cs="Times New Roman"/>
                      <w:color w:val="auto"/>
                      <w:sz w:val="21"/>
                      <w:szCs w:val="21"/>
                      <w:lang w:val="en-US" w:eastAsia="zh-CN"/>
                    </w:rPr>
                    <w:t>顶部呼吸口</w:t>
                  </w:r>
                  <w:r>
                    <w:rPr>
                      <w:rFonts w:hint="default" w:ascii="Times New Roman" w:hAnsi="Times New Roman" w:eastAsia="宋体" w:cs="Times New Roman"/>
                      <w:color w:val="auto"/>
                      <w:sz w:val="21"/>
                      <w:szCs w:val="21"/>
                    </w:rPr>
                    <w:t>、搅拌</w:t>
                  </w:r>
                  <w:r>
                    <w:rPr>
                      <w:rFonts w:hint="eastAsia"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呼吸口</w:t>
                  </w:r>
                  <w:r>
                    <w:rPr>
                      <w:rFonts w:hint="eastAsia" w:cs="Times New Roman"/>
                      <w:color w:val="auto"/>
                      <w:sz w:val="21"/>
                      <w:szCs w:val="21"/>
                      <w:lang w:val="en-US" w:eastAsia="zh-CN"/>
                    </w:rPr>
                    <w:t>产生废气经管道负压收集</w:t>
                  </w:r>
                  <w:r>
                    <w:rPr>
                      <w:rFonts w:hint="eastAsia" w:ascii="Times New Roman" w:hAnsi="Times New Roman" w:eastAsia="宋体" w:cs="Times New Roman"/>
                      <w:color w:val="auto"/>
                      <w:sz w:val="21"/>
                      <w:szCs w:val="21"/>
                      <w:lang w:val="en-US" w:eastAsia="zh-CN"/>
                    </w:rPr>
                    <w:t>，产品出料口废气经集气罩</w:t>
                  </w:r>
                  <w:r>
                    <w:rPr>
                      <w:rFonts w:hint="eastAsia" w:cs="Times New Roman"/>
                      <w:color w:val="auto"/>
                      <w:sz w:val="21"/>
                      <w:szCs w:val="21"/>
                      <w:lang w:val="en-US" w:eastAsia="zh-CN"/>
                    </w:rPr>
                    <w:t>负压</w:t>
                  </w:r>
                  <w:r>
                    <w:rPr>
                      <w:rFonts w:hint="eastAsia" w:ascii="Times New Roman" w:hAnsi="Times New Roman" w:eastAsia="宋体" w:cs="Times New Roman"/>
                      <w:color w:val="auto"/>
                      <w:sz w:val="21"/>
                      <w:szCs w:val="21"/>
                      <w:lang w:val="en-US" w:eastAsia="zh-CN"/>
                    </w:rPr>
                    <w:t>收集均进入“电捕焦油器+活性炭吸附</w:t>
                  </w:r>
                  <w:r>
                    <w:rPr>
                      <w:rFonts w:hint="eastAsia" w:cs="Times New Roman"/>
                      <w:color w:val="auto"/>
                      <w:kern w:val="0"/>
                      <w:sz w:val="21"/>
                      <w:szCs w:val="21"/>
                      <w:lang w:val="en-US" w:eastAsia="zh-CN" w:bidi="ar"/>
                    </w:rPr>
                    <w:t>”装置处理后由1根15m排气筒（DA003）排放</w:t>
                  </w:r>
                  <w:r>
                    <w:rPr>
                      <w:rFonts w:hint="eastAsia" w:cs="Times New Roman"/>
                      <w:color w:val="auto"/>
                      <w:sz w:val="21"/>
                      <w:szCs w:val="21"/>
                      <w:lang w:val="en-US" w:eastAsia="zh-CN"/>
                    </w:rPr>
                    <w:t>。</w:t>
                  </w:r>
                </w:p>
              </w:tc>
              <w:tc>
                <w:tcPr>
                  <w:tcW w:w="654" w:type="pct"/>
                  <w:noWrap w:val="0"/>
                  <w:vAlign w:val="center"/>
                </w:tcPr>
                <w:p w14:paraId="23681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r>
            <w:tr w14:paraId="4860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1EB6A0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57E932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p>
              </w:tc>
              <w:tc>
                <w:tcPr>
                  <w:tcW w:w="801" w:type="pct"/>
                  <w:shd w:val="clear" w:color="auto" w:fill="auto"/>
                  <w:noWrap w:val="0"/>
                  <w:vAlign w:val="center"/>
                </w:tcPr>
                <w:p w14:paraId="25CECF3E">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有机热载体炉产生废</w:t>
                  </w:r>
                  <w:r>
                    <w:rPr>
                      <w:rFonts w:hint="eastAsia" w:ascii="Times New Roman" w:hAnsi="Times New Roman" w:eastAsia="宋体" w:cs="Times New Roman"/>
                      <w:color w:val="auto"/>
                      <w:kern w:val="2"/>
                      <w:sz w:val="21"/>
                      <w:szCs w:val="21"/>
                      <w:lang w:val="en-US" w:eastAsia="zh-CN" w:bidi="ar-SA"/>
                    </w:rPr>
                    <w:t>气</w:t>
                  </w:r>
                </w:p>
              </w:tc>
              <w:tc>
                <w:tcPr>
                  <w:tcW w:w="2969" w:type="pct"/>
                  <w:shd w:val="clear" w:color="auto" w:fill="auto"/>
                  <w:noWrap w:val="0"/>
                  <w:vAlign w:val="center"/>
                </w:tcPr>
                <w:p w14:paraId="373C3EA5">
                  <w:pPr>
                    <w:keepNext w:val="0"/>
                    <w:keepLines w:val="0"/>
                    <w:pageBreakBefore w:val="0"/>
                    <w:widowControl/>
                    <w:suppressLineNumbers w:val="0"/>
                    <w:kinsoku/>
                    <w:wordWrap/>
                    <w:overflowPunct/>
                    <w:topLinePunct w:val="0"/>
                    <w:autoSpaceDE/>
                    <w:autoSpaceDN/>
                    <w:bidi w:val="0"/>
                    <w:adjustRightInd/>
                    <w:spacing w:line="360" w:lineRule="exact"/>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1根</w:t>
                  </w:r>
                  <w:r>
                    <w:rPr>
                      <w:rFonts w:hint="eastAsia" w:cs="Times New Roman"/>
                      <w:color w:val="auto"/>
                      <w:kern w:val="2"/>
                      <w:sz w:val="21"/>
                      <w:szCs w:val="21"/>
                      <w:lang w:val="en-US" w:eastAsia="zh-CN" w:bidi="ar-SA"/>
                    </w:rPr>
                    <w:t>5</w:t>
                  </w:r>
                  <w:r>
                    <w:rPr>
                      <w:rFonts w:hint="eastAsia" w:ascii="Times New Roman" w:hAnsi="Times New Roman" w:eastAsia="宋体" w:cs="Times New Roman"/>
                      <w:color w:val="auto"/>
                      <w:kern w:val="2"/>
                      <w:sz w:val="21"/>
                      <w:szCs w:val="21"/>
                      <w:lang w:val="en-US" w:eastAsia="zh-CN" w:bidi="ar-SA"/>
                    </w:rPr>
                    <w:t>m左右排气筒（DA002）收集有组织排放</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sz w:val="21"/>
                      <w:szCs w:val="21"/>
                      <w:lang w:val="en-US" w:eastAsia="zh-CN"/>
                    </w:rPr>
                    <w:t>加高排气筒高度至</w:t>
                  </w:r>
                  <w:r>
                    <w:rPr>
                      <w:rFonts w:hint="eastAsia"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m。</w:t>
                  </w:r>
                </w:p>
              </w:tc>
              <w:tc>
                <w:tcPr>
                  <w:tcW w:w="654" w:type="pct"/>
                  <w:noWrap w:val="0"/>
                  <w:vAlign w:val="center"/>
                </w:tcPr>
                <w:p w14:paraId="43D79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r>
            <w:tr w14:paraId="2C9C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47D1F4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594599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801" w:type="pct"/>
                  <w:noWrap w:val="0"/>
                  <w:vAlign w:val="center"/>
                </w:tcPr>
                <w:p w14:paraId="63FC08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运输扬尘</w:t>
                  </w:r>
                </w:p>
              </w:tc>
              <w:tc>
                <w:tcPr>
                  <w:tcW w:w="2969" w:type="pct"/>
                  <w:noWrap w:val="0"/>
                  <w:vAlign w:val="center"/>
                </w:tcPr>
                <w:p w14:paraId="25013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依托采石场洒水车</w:t>
                  </w:r>
                  <w:r>
                    <w:rPr>
                      <w:rFonts w:hint="eastAsia" w:ascii="Times New Roman" w:hAnsi="Times New Roman" w:eastAsia="宋体" w:cs="Times New Roman"/>
                      <w:color w:val="auto"/>
                      <w:sz w:val="21"/>
                      <w:szCs w:val="21"/>
                      <w:lang w:val="en-US" w:eastAsia="zh-CN"/>
                    </w:rPr>
                    <w:t>定期洒水降尘</w:t>
                  </w:r>
                </w:p>
              </w:tc>
              <w:tc>
                <w:tcPr>
                  <w:tcW w:w="654" w:type="pct"/>
                  <w:noWrap w:val="0"/>
                  <w:vAlign w:val="center"/>
                </w:tcPr>
                <w:p w14:paraId="1CD35D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B09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64" w:type="pct"/>
                  <w:vMerge w:val="continue"/>
                  <w:noWrap w:val="0"/>
                  <w:vAlign w:val="center"/>
                </w:tcPr>
                <w:p w14:paraId="2F0BCA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restart"/>
                  <w:noWrap w:val="0"/>
                  <w:vAlign w:val="center"/>
                </w:tcPr>
                <w:p w14:paraId="283CC3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801" w:type="pct"/>
                  <w:noWrap w:val="0"/>
                  <w:vAlign w:val="center"/>
                </w:tcPr>
                <w:p w14:paraId="75F95CDE">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运输车辆清洗水</w:t>
                  </w:r>
                </w:p>
              </w:tc>
              <w:tc>
                <w:tcPr>
                  <w:tcW w:w="2969" w:type="pct"/>
                  <w:noWrap w:val="0"/>
                  <w:vAlign w:val="center"/>
                </w:tcPr>
                <w:p w14:paraId="33B97B9A">
                  <w:pPr>
                    <w:pageBreakBefore w:val="0"/>
                    <w:kinsoku/>
                    <w:wordWrap/>
                    <w:overflowPunct/>
                    <w:topLinePunct w:val="0"/>
                    <w:autoSpaceDE/>
                    <w:autoSpaceDN/>
                    <w:bidi w:val="0"/>
                    <w:adjustRightIn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进出口处设置1个容积为</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洗车池，</w:t>
                  </w:r>
                  <w:r>
                    <w:rPr>
                      <w:rFonts w:hint="eastAsia" w:ascii="Times New Roman" w:hAnsi="Times New Roman" w:eastAsia="宋体" w:cs="Times New Roman"/>
                      <w:color w:val="auto"/>
                      <w:sz w:val="21"/>
                      <w:szCs w:val="21"/>
                      <w:lang w:val="en-US" w:eastAsia="zh-CN"/>
                    </w:rPr>
                    <w:t>收集于洗车池后</w:t>
                  </w:r>
                  <w:r>
                    <w:rPr>
                      <w:rFonts w:hint="default" w:ascii="Times New Roman" w:hAnsi="Times New Roman" w:eastAsia="宋体" w:cs="Times New Roman"/>
                      <w:color w:val="auto"/>
                      <w:sz w:val="21"/>
                      <w:szCs w:val="21"/>
                      <w:lang w:val="en-US" w:eastAsia="zh-CN"/>
                    </w:rPr>
                    <w:t>循环使用，当不能满足洗车条件后用于厂区洒水降尘，不外排</w:t>
                  </w:r>
                  <w:r>
                    <w:rPr>
                      <w:rFonts w:hint="eastAsia" w:ascii="Times New Roman" w:hAnsi="Times New Roman" w:eastAsia="宋体" w:cs="Times New Roman"/>
                      <w:color w:val="auto"/>
                      <w:sz w:val="21"/>
                      <w:szCs w:val="21"/>
                      <w:lang w:val="en-US" w:eastAsia="zh-CN"/>
                    </w:rPr>
                    <w:t>。</w:t>
                  </w:r>
                </w:p>
              </w:tc>
              <w:tc>
                <w:tcPr>
                  <w:tcW w:w="654" w:type="pct"/>
                  <w:noWrap w:val="0"/>
                  <w:vAlign w:val="center"/>
                </w:tcPr>
                <w:p w14:paraId="622DB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r>
            <w:tr w14:paraId="7C3C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64" w:type="pct"/>
                  <w:vMerge w:val="continue"/>
                  <w:noWrap w:val="0"/>
                  <w:vAlign w:val="center"/>
                </w:tcPr>
                <w:p w14:paraId="1FA402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097430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01" w:type="pct"/>
                  <w:noWrap w:val="0"/>
                  <w:vAlign w:val="center"/>
                </w:tcPr>
                <w:p w14:paraId="6ABB0BF2">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初期雨水</w:t>
                  </w:r>
                </w:p>
              </w:tc>
              <w:tc>
                <w:tcPr>
                  <w:tcW w:w="2969" w:type="pct"/>
                  <w:noWrap w:val="0"/>
                  <w:vAlign w:val="center"/>
                </w:tcPr>
                <w:p w14:paraId="1099391A">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新建1个20m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初期雨水隔油沉淀池。</w:t>
                  </w:r>
                </w:p>
              </w:tc>
              <w:tc>
                <w:tcPr>
                  <w:tcW w:w="654" w:type="pct"/>
                  <w:noWrap w:val="0"/>
                  <w:vAlign w:val="center"/>
                </w:tcPr>
                <w:p w14:paraId="265D7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r>
            <w:tr w14:paraId="4BBD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264" w:type="pct"/>
                  <w:vMerge w:val="continue"/>
                  <w:noWrap w:val="0"/>
                  <w:vAlign w:val="center"/>
                </w:tcPr>
                <w:p w14:paraId="54DDEA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216B25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01" w:type="pct"/>
                  <w:noWrap w:val="0"/>
                  <w:vAlign w:val="center"/>
                </w:tcPr>
                <w:p w14:paraId="571812EA">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化粪池</w:t>
                  </w:r>
                </w:p>
              </w:tc>
              <w:tc>
                <w:tcPr>
                  <w:tcW w:w="2969" w:type="pct"/>
                  <w:noWrap w:val="0"/>
                  <w:vAlign w:val="center"/>
                </w:tcPr>
                <w:p w14:paraId="01D475BE">
                  <w:pPr>
                    <w:pageBreakBefore w:val="0"/>
                    <w:kinsoku/>
                    <w:wordWrap/>
                    <w:overflowPunct/>
                    <w:topLinePunct w:val="0"/>
                    <w:autoSpaceDE/>
                    <w:autoSpaceDN/>
                    <w:bidi w:val="0"/>
                    <w:adjustRightIn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依托</w:t>
                  </w:r>
                  <w:r>
                    <w:rPr>
                      <w:rFonts w:hint="eastAsia" w:ascii="Times New Roman" w:hAnsi="Times New Roman" w:eastAsia="宋体" w:cs="Times New Roman"/>
                      <w:color w:val="auto"/>
                      <w:sz w:val="21"/>
                      <w:szCs w:val="21"/>
                      <w:lang w:val="en-US" w:eastAsia="zh-CN"/>
                    </w:rPr>
                    <w:t>云南龙泉矿业开发有限公司办公生活区</w:t>
                  </w:r>
                  <w:r>
                    <w:rPr>
                      <w:rFonts w:hint="eastAsia" w:cs="Times New Roman"/>
                      <w:color w:val="auto"/>
                      <w:sz w:val="21"/>
                      <w:szCs w:val="21"/>
                      <w:lang w:val="en-US" w:eastAsia="zh-CN"/>
                    </w:rPr>
                    <w:t>1个</w:t>
                  </w:r>
                  <w:r>
                    <w:rPr>
                      <w:rFonts w:hint="eastAsia" w:ascii="Times New Roman" w:hAnsi="Times New Roman" w:eastAsia="宋体" w:cs="Times New Roman"/>
                      <w:color w:val="auto"/>
                      <w:sz w:val="21"/>
                      <w:szCs w:val="21"/>
                      <w:lang w:val="en-US" w:eastAsia="zh-CN"/>
                    </w:rPr>
                    <w:t>2m</w:t>
                  </w:r>
                  <w:r>
                    <w:rPr>
                      <w:rFonts w:hint="eastAsia"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，定期清掏用作周围农作物施肥。</w:t>
                  </w:r>
                </w:p>
              </w:tc>
              <w:tc>
                <w:tcPr>
                  <w:tcW w:w="654" w:type="pct"/>
                  <w:noWrap w:val="0"/>
                  <w:vAlign w:val="center"/>
                </w:tcPr>
                <w:p w14:paraId="2DE86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A1C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52E592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noWrap w:val="0"/>
                  <w:vAlign w:val="center"/>
                </w:tcPr>
                <w:p w14:paraId="399D5C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771" w:type="pct"/>
                  <w:gridSpan w:val="2"/>
                  <w:noWrap w:val="0"/>
                  <w:vAlign w:val="center"/>
                </w:tcPr>
                <w:p w14:paraId="405BC9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产噪设备安装减振垫</w:t>
                  </w:r>
                </w:p>
              </w:tc>
              <w:tc>
                <w:tcPr>
                  <w:tcW w:w="654" w:type="pct"/>
                  <w:noWrap w:val="0"/>
                  <w:vAlign w:val="center"/>
                </w:tcPr>
                <w:p w14:paraId="3CAE20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w:t>
                  </w:r>
                </w:p>
              </w:tc>
            </w:tr>
            <w:tr w14:paraId="0465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65E5A1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restart"/>
                  <w:noWrap w:val="0"/>
                  <w:vAlign w:val="center"/>
                </w:tcPr>
                <w:p w14:paraId="2796E5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固废</w:t>
                  </w:r>
                </w:p>
              </w:tc>
              <w:tc>
                <w:tcPr>
                  <w:tcW w:w="1339" w:type="dxa"/>
                  <w:noWrap w:val="0"/>
                  <w:vAlign w:val="center"/>
                </w:tcPr>
                <w:p w14:paraId="259DC87F">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highlight w:val="none"/>
                      <w:lang w:val="en-US" w:eastAsia="zh-CN"/>
                    </w:rPr>
                    <w:t>除尘器收集粉尘</w:t>
                  </w:r>
                </w:p>
              </w:tc>
              <w:tc>
                <w:tcPr>
                  <w:tcW w:w="4959" w:type="dxa"/>
                  <w:noWrap w:val="0"/>
                  <w:vAlign w:val="center"/>
                </w:tcPr>
                <w:p w14:paraId="1A546BDE">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收集后作为矿粉填料回用与生产</w:t>
                  </w:r>
                  <w:r>
                    <w:rPr>
                      <w:rFonts w:hint="eastAsia" w:cs="Times New Roman"/>
                      <w:color w:val="auto"/>
                      <w:sz w:val="21"/>
                      <w:szCs w:val="21"/>
                      <w:highlight w:val="none"/>
                      <w:lang w:eastAsia="zh-CN"/>
                    </w:rPr>
                    <w:t>。</w:t>
                  </w:r>
                </w:p>
              </w:tc>
              <w:tc>
                <w:tcPr>
                  <w:tcW w:w="654" w:type="pct"/>
                  <w:noWrap w:val="0"/>
                  <w:vAlign w:val="center"/>
                </w:tcPr>
                <w:p w14:paraId="3EF25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6D4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33A5CB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50BF2C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1339" w:type="dxa"/>
                  <w:noWrap w:val="0"/>
                  <w:vAlign w:val="center"/>
                </w:tcPr>
                <w:p w14:paraId="1E073540">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highlight w:val="none"/>
                      <w:lang w:val="en-US" w:eastAsia="zh-CN"/>
                    </w:rPr>
                    <w:t>废布袋</w:t>
                  </w:r>
                </w:p>
              </w:tc>
              <w:tc>
                <w:tcPr>
                  <w:tcW w:w="4959" w:type="dxa"/>
                  <w:noWrap w:val="0"/>
                  <w:vAlign w:val="center"/>
                </w:tcPr>
                <w:p w14:paraId="38EF132E">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eastAsia="zh-CN"/>
                    </w:rPr>
                    <w:t>厂家更换回收处置。</w:t>
                  </w:r>
                </w:p>
              </w:tc>
              <w:tc>
                <w:tcPr>
                  <w:tcW w:w="654" w:type="pct"/>
                  <w:noWrap w:val="0"/>
                  <w:vAlign w:val="center"/>
                </w:tcPr>
                <w:p w14:paraId="3101AC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441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366AE9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43AC3D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1339" w:type="dxa"/>
                  <w:noWrap w:val="0"/>
                  <w:vAlign w:val="center"/>
                </w:tcPr>
                <w:p w14:paraId="60E70F06">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highlight w:val="none"/>
                      <w:lang w:val="en-US" w:eastAsia="zh-CN"/>
                    </w:rPr>
                    <w:t>滴漏沥青及拌合残渣</w:t>
                  </w:r>
                </w:p>
              </w:tc>
              <w:tc>
                <w:tcPr>
                  <w:tcW w:w="4959" w:type="dxa"/>
                  <w:noWrap w:val="0"/>
                  <w:vAlign w:val="center"/>
                </w:tcPr>
                <w:p w14:paraId="02285AEF">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暂存于密闭的塑料</w:t>
                  </w:r>
                  <w:r>
                    <w:rPr>
                      <w:rFonts w:hint="eastAsia" w:cs="Times New Roman"/>
                      <w:color w:val="auto"/>
                      <w:sz w:val="21"/>
                      <w:szCs w:val="21"/>
                      <w:highlight w:val="none"/>
                      <w:lang w:val="en-US" w:eastAsia="zh-CN"/>
                    </w:rPr>
                    <w:t>桶</w:t>
                  </w:r>
                  <w:r>
                    <w:rPr>
                      <w:rFonts w:hint="eastAsia" w:ascii="Times New Roman" w:hAnsi="Times New Roman" w:eastAsia="宋体" w:cs="Times New Roman"/>
                      <w:color w:val="auto"/>
                      <w:sz w:val="21"/>
                      <w:szCs w:val="21"/>
                      <w:highlight w:val="none"/>
                      <w:lang w:val="en-US" w:eastAsia="zh-CN"/>
                    </w:rPr>
                    <w:t>内，外管作为建筑材料由厂家带走处置，不在厂区</w:t>
                  </w:r>
                  <w:r>
                    <w:rPr>
                      <w:rFonts w:hint="eastAsia" w:cs="Times New Roman"/>
                      <w:color w:val="auto"/>
                      <w:sz w:val="21"/>
                      <w:szCs w:val="21"/>
                      <w:highlight w:val="none"/>
                      <w:lang w:val="en-US" w:eastAsia="zh-CN"/>
                    </w:rPr>
                    <w:t>暂存。</w:t>
                  </w:r>
                </w:p>
              </w:tc>
              <w:tc>
                <w:tcPr>
                  <w:tcW w:w="654" w:type="pct"/>
                  <w:noWrap w:val="0"/>
                  <w:vAlign w:val="center"/>
                </w:tcPr>
                <w:p w14:paraId="4D7E2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0076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359513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7A7B77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1339" w:type="dxa"/>
                  <w:noWrap w:val="0"/>
                  <w:vAlign w:val="center"/>
                </w:tcPr>
                <w:p w14:paraId="09C75CFD">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highlight w:val="none"/>
                      <w:lang w:val="en-US" w:eastAsia="zh-CN"/>
                    </w:rPr>
                    <w:t>焦油渣</w:t>
                  </w:r>
                </w:p>
              </w:tc>
              <w:tc>
                <w:tcPr>
                  <w:tcW w:w="4959" w:type="dxa"/>
                  <w:noWrap w:val="0"/>
                  <w:vAlign w:val="center"/>
                </w:tcPr>
                <w:p w14:paraId="32EF69F7">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收集后</w:t>
                  </w:r>
                  <w:r>
                    <w:rPr>
                      <w:rFonts w:hint="eastAsia" w:cs="Times New Roman"/>
                      <w:color w:val="auto"/>
                      <w:sz w:val="21"/>
                      <w:szCs w:val="21"/>
                      <w:highlight w:val="none"/>
                      <w:lang w:val="en-US" w:eastAsia="zh-CN"/>
                    </w:rPr>
                    <w:t>暂</w:t>
                  </w:r>
                  <w:r>
                    <w:rPr>
                      <w:rFonts w:hint="eastAsia" w:ascii="Times New Roman" w:hAnsi="Times New Roman" w:eastAsia="宋体" w:cs="Times New Roman"/>
                      <w:color w:val="auto"/>
                      <w:sz w:val="21"/>
                      <w:szCs w:val="21"/>
                      <w:highlight w:val="none"/>
                      <w:lang w:val="en-US" w:eastAsia="zh-CN"/>
                    </w:rPr>
                    <w:t>存于</w:t>
                  </w:r>
                  <w:r>
                    <w:rPr>
                      <w:rFonts w:hint="eastAsia" w:cs="Times New Roman"/>
                      <w:color w:val="auto"/>
                      <w:sz w:val="21"/>
                      <w:szCs w:val="21"/>
                      <w:highlight w:val="none"/>
                      <w:lang w:val="en-US" w:eastAsia="zh-CN"/>
                    </w:rPr>
                    <w:t>采石场</w:t>
                  </w:r>
                  <w:r>
                    <w:rPr>
                      <w:rFonts w:hint="eastAsia" w:ascii="Times New Roman" w:hAnsi="Times New Roman" w:eastAsia="宋体" w:cs="Times New Roman"/>
                      <w:color w:val="auto"/>
                      <w:sz w:val="21"/>
                      <w:szCs w:val="21"/>
                      <w:highlight w:val="none"/>
                      <w:lang w:val="en-US" w:eastAsia="zh-CN"/>
                    </w:rPr>
                    <w:t>危废暂存间，定期委托有资质单位清运处置。</w:t>
                  </w:r>
                </w:p>
              </w:tc>
              <w:tc>
                <w:tcPr>
                  <w:tcW w:w="654" w:type="pct"/>
                  <w:noWrap w:val="0"/>
                  <w:vAlign w:val="center"/>
                </w:tcPr>
                <w:p w14:paraId="4AC92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6D8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408B08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58AEEB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1339" w:type="dxa"/>
                  <w:noWrap w:val="0"/>
                  <w:vAlign w:val="center"/>
                </w:tcPr>
                <w:p w14:paraId="05967A2A">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highlight w:val="none"/>
                      <w:lang w:val="en-US" w:eastAsia="zh-CN"/>
                    </w:rPr>
                    <w:t>废活性炭</w:t>
                  </w:r>
                </w:p>
              </w:tc>
              <w:tc>
                <w:tcPr>
                  <w:tcW w:w="4959" w:type="dxa"/>
                  <w:noWrap w:val="0"/>
                  <w:vAlign w:val="center"/>
                </w:tcPr>
                <w:p w14:paraId="2EB91A3B">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由更换厂家带走回收处置，不在厂区暂存</w:t>
                  </w:r>
                  <w:r>
                    <w:rPr>
                      <w:rFonts w:hint="eastAsia" w:ascii="Times New Roman" w:hAnsi="Times New Roman" w:eastAsia="宋体" w:cs="Times New Roman"/>
                      <w:color w:val="auto"/>
                      <w:sz w:val="21"/>
                      <w:szCs w:val="21"/>
                      <w:highlight w:val="none"/>
                      <w:lang w:val="en-US" w:eastAsia="zh-CN"/>
                    </w:rPr>
                    <w:t>。</w:t>
                  </w:r>
                </w:p>
              </w:tc>
              <w:tc>
                <w:tcPr>
                  <w:tcW w:w="654" w:type="pct"/>
                  <w:noWrap w:val="0"/>
                  <w:vAlign w:val="center"/>
                </w:tcPr>
                <w:p w14:paraId="11150D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CE1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6D8D1B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7E9106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1339" w:type="dxa"/>
                  <w:noWrap w:val="0"/>
                  <w:vAlign w:val="center"/>
                </w:tcPr>
                <w:p w14:paraId="15F3FE15">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eastAsia" w:cs="Times New Roman"/>
                      <w:color w:val="auto"/>
                      <w:kern w:val="0"/>
                      <w:sz w:val="21"/>
                      <w:szCs w:val="21"/>
                      <w:highlight w:val="none"/>
                      <w:lang w:val="en-US" w:eastAsia="zh-CN"/>
                    </w:rPr>
                    <w:t>废机油、含机油废抹布和废手套</w:t>
                  </w:r>
                </w:p>
              </w:tc>
              <w:tc>
                <w:tcPr>
                  <w:tcW w:w="4959" w:type="dxa"/>
                  <w:noWrap w:val="0"/>
                  <w:vAlign w:val="center"/>
                </w:tcPr>
                <w:p w14:paraId="5CFB8859">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收集后</w:t>
                  </w:r>
                  <w:r>
                    <w:rPr>
                      <w:rFonts w:hint="eastAsia" w:cs="Times New Roman"/>
                      <w:color w:val="auto"/>
                      <w:sz w:val="21"/>
                      <w:szCs w:val="21"/>
                      <w:highlight w:val="none"/>
                      <w:lang w:val="en-US" w:eastAsia="zh-CN"/>
                    </w:rPr>
                    <w:t>暂</w:t>
                  </w:r>
                  <w:r>
                    <w:rPr>
                      <w:rFonts w:hint="eastAsia" w:ascii="Times New Roman" w:hAnsi="Times New Roman" w:eastAsia="宋体" w:cs="Times New Roman"/>
                      <w:color w:val="auto"/>
                      <w:sz w:val="21"/>
                      <w:szCs w:val="21"/>
                      <w:highlight w:val="none"/>
                      <w:lang w:val="en-US" w:eastAsia="zh-CN"/>
                    </w:rPr>
                    <w:t>存于</w:t>
                  </w:r>
                  <w:r>
                    <w:rPr>
                      <w:rFonts w:hint="eastAsia" w:cs="Times New Roman"/>
                      <w:color w:val="auto"/>
                      <w:sz w:val="21"/>
                      <w:szCs w:val="21"/>
                      <w:highlight w:val="none"/>
                      <w:lang w:val="en-US" w:eastAsia="zh-CN"/>
                    </w:rPr>
                    <w:t>采石场</w:t>
                  </w:r>
                  <w:r>
                    <w:rPr>
                      <w:rFonts w:hint="eastAsia" w:ascii="Times New Roman" w:hAnsi="Times New Roman" w:eastAsia="宋体" w:cs="Times New Roman"/>
                      <w:color w:val="auto"/>
                      <w:sz w:val="21"/>
                      <w:szCs w:val="21"/>
                      <w:highlight w:val="none"/>
                      <w:lang w:val="en-US" w:eastAsia="zh-CN"/>
                    </w:rPr>
                    <w:t>危废暂存间，定期委托有资质单位清运处置。</w:t>
                  </w:r>
                </w:p>
              </w:tc>
              <w:tc>
                <w:tcPr>
                  <w:tcW w:w="654" w:type="pct"/>
                  <w:noWrap w:val="0"/>
                  <w:vAlign w:val="center"/>
                </w:tcPr>
                <w:p w14:paraId="4ABD0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587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 w:type="pct"/>
                  <w:vMerge w:val="continue"/>
                  <w:noWrap w:val="0"/>
                  <w:vAlign w:val="center"/>
                </w:tcPr>
                <w:p w14:paraId="724FC1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325427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801" w:type="pct"/>
                  <w:shd w:val="clear" w:color="auto" w:fill="auto"/>
                  <w:noWrap w:val="0"/>
                  <w:vAlign w:val="center"/>
                </w:tcPr>
                <w:p w14:paraId="74C2D262">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垃圾收集设施</w:t>
                  </w:r>
                </w:p>
              </w:tc>
              <w:tc>
                <w:tcPr>
                  <w:tcW w:w="2969" w:type="pct"/>
                  <w:shd w:val="clear" w:color="auto" w:fill="auto"/>
                  <w:noWrap w:val="0"/>
                  <w:vAlign w:val="center"/>
                </w:tcPr>
                <w:p w14:paraId="1226FF63">
                  <w:pPr>
                    <w:pageBreakBefore w:val="0"/>
                    <w:kinsoku/>
                    <w:wordWrap/>
                    <w:overflowPunct/>
                    <w:topLinePunct w:val="0"/>
                    <w:autoSpaceDE/>
                    <w:autoSpaceDN/>
                    <w:bidi w:val="0"/>
                    <w:adjustRightIn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设置若干垃圾桶</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654" w:type="pct"/>
                  <w:shd w:val="clear" w:color="auto" w:fill="auto"/>
                  <w:noWrap w:val="0"/>
                  <w:vAlign w:val="center"/>
                </w:tcPr>
                <w:p w14:paraId="40C1B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0.2</w:t>
                  </w:r>
                </w:p>
              </w:tc>
            </w:tr>
            <w:tr w14:paraId="5788C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64" w:type="pct"/>
                  <w:vMerge w:val="continue"/>
                  <w:noWrap w:val="0"/>
                  <w:vAlign w:val="center"/>
                </w:tcPr>
                <w:p w14:paraId="3D1D71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p>
              </w:tc>
              <w:tc>
                <w:tcPr>
                  <w:tcW w:w="309" w:type="pct"/>
                  <w:vMerge w:val="continue"/>
                  <w:noWrap w:val="0"/>
                  <w:vAlign w:val="center"/>
                </w:tcPr>
                <w:p w14:paraId="13C1DC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firstLine="0" w:firstLineChars="0"/>
                    <w:jc w:val="center"/>
                    <w:textAlignment w:val="auto"/>
                    <w:rPr>
                      <w:rFonts w:hint="default" w:ascii="Times New Roman" w:hAnsi="Times New Roman" w:eastAsia="宋体" w:cs="Times New Roman"/>
                      <w:color w:val="auto"/>
                      <w:sz w:val="21"/>
                      <w:szCs w:val="21"/>
                      <w:lang w:eastAsia="zh-CN"/>
                    </w:rPr>
                  </w:pPr>
                </w:p>
              </w:tc>
              <w:tc>
                <w:tcPr>
                  <w:tcW w:w="801" w:type="pct"/>
                  <w:noWrap w:val="0"/>
                  <w:vAlign w:val="center"/>
                </w:tcPr>
                <w:p w14:paraId="15D4756F">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auto"/>
                      <w:kern w:val="0"/>
                      <w:sz w:val="21"/>
                      <w:szCs w:val="21"/>
                      <w:lang w:eastAsia="zh-CN"/>
                    </w:rPr>
                    <w:t>危废</w:t>
                  </w:r>
                  <w:r>
                    <w:rPr>
                      <w:rFonts w:hint="eastAsia" w:cs="Times New Roman"/>
                      <w:color w:val="auto"/>
                      <w:kern w:val="0"/>
                      <w:sz w:val="21"/>
                      <w:szCs w:val="21"/>
                      <w:lang w:val="en-US" w:eastAsia="zh-CN"/>
                    </w:rPr>
                    <w:t>暂存间</w:t>
                  </w:r>
                </w:p>
              </w:tc>
              <w:tc>
                <w:tcPr>
                  <w:tcW w:w="2969" w:type="pct"/>
                  <w:noWrap w:val="0"/>
                  <w:vAlign w:val="center"/>
                </w:tcPr>
                <w:p w14:paraId="0924247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bidi="ar"/>
                      <w14:textFill>
                        <w14:solidFill>
                          <w14:schemeClr w14:val="tx1"/>
                        </w14:solidFill>
                      </w14:textFill>
                    </w:rPr>
                    <w:t>依托采石场内1个5m</w:t>
                  </w:r>
                  <w:r>
                    <w:rPr>
                      <w:rFonts w:hint="eastAsia" w:cs="Times New Roman"/>
                      <w:color w:val="000000" w:themeColor="text1"/>
                      <w:kern w:val="0"/>
                      <w:sz w:val="21"/>
                      <w:szCs w:val="21"/>
                      <w:vertAlign w:val="superscript"/>
                      <w:lang w:val="en-US" w:eastAsia="zh-CN" w:bidi="ar"/>
                      <w14:textFill>
                        <w14:solidFill>
                          <w14:schemeClr w14:val="tx1"/>
                        </w14:solidFill>
                      </w14:textFill>
                    </w:rPr>
                    <w:t>2</w:t>
                  </w:r>
                  <w:r>
                    <w:rPr>
                      <w:rFonts w:hint="eastAsia" w:cs="Times New Roman"/>
                      <w:color w:val="000000" w:themeColor="text1"/>
                      <w:kern w:val="0"/>
                      <w:sz w:val="21"/>
                      <w:szCs w:val="21"/>
                      <w:lang w:val="en-US" w:eastAsia="zh-CN" w:bidi="ar"/>
                      <w14:textFill>
                        <w14:solidFill>
                          <w14:schemeClr w14:val="tx1"/>
                        </w14:solidFill>
                      </w14:textFill>
                    </w:rPr>
                    <w:t>的危废暂存间</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654" w:type="pct"/>
                  <w:noWrap w:val="0"/>
                  <w:vAlign w:val="center"/>
                </w:tcPr>
                <w:p w14:paraId="0E271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3762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5" w:type="pct"/>
                  <w:gridSpan w:val="4"/>
                  <w:noWrap w:val="0"/>
                  <w:vAlign w:val="center"/>
                </w:tcPr>
                <w:p w14:paraId="0777BB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合计</w:t>
                  </w:r>
                </w:p>
              </w:tc>
              <w:tc>
                <w:tcPr>
                  <w:tcW w:w="654" w:type="pct"/>
                  <w:noWrap w:val="0"/>
                  <w:vAlign w:val="center"/>
                </w:tcPr>
                <w:p w14:paraId="23B72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23.3</w:t>
                  </w:r>
                </w:p>
              </w:tc>
            </w:tr>
          </w:tbl>
          <w:p w14:paraId="32D1977F">
            <w:pPr>
              <w:ind w:left="0" w:leftChars="0" w:firstLine="0" w:firstLineChars="0"/>
              <w:rPr>
                <w:rFonts w:hint="eastAsia"/>
              </w:rPr>
            </w:pPr>
          </w:p>
        </w:tc>
      </w:tr>
      <w:tr w14:paraId="4A245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00" w:type="dxa"/>
            <w:noWrap w:val="0"/>
            <w:vAlign w:val="center"/>
          </w:tcPr>
          <w:p w14:paraId="62AFECD6">
            <w:pPr>
              <w:ind w:left="0" w:leftChars="0" w:firstLine="0" w:firstLineChars="0"/>
              <w:rPr>
                <w:rFonts w:hint="default"/>
                <w:lang w:val="en-US" w:eastAsia="zh-CN"/>
              </w:rPr>
            </w:pPr>
            <w:r>
              <w:rPr>
                <w:rFonts w:hint="eastAsia"/>
                <w:lang w:val="en-US" w:eastAsia="zh-CN"/>
              </w:rPr>
              <w:t>工艺流程和产排污环节</w:t>
            </w:r>
          </w:p>
        </w:tc>
        <w:tc>
          <w:tcPr>
            <w:tcW w:w="8583" w:type="dxa"/>
            <w:noWrap w:val="0"/>
            <w:vAlign w:val="top"/>
          </w:tcPr>
          <w:p w14:paraId="38583DF3">
            <w:pPr>
              <w:keepNext/>
              <w:spacing w:before="120" w:beforeLines="50"/>
              <w:ind w:firstLine="482"/>
              <w:rPr>
                <w:b/>
                <w:kern w:val="0"/>
              </w:rPr>
            </w:pPr>
            <w:r>
              <w:rPr>
                <w:b/>
              </w:rPr>
              <w:t>一、</w:t>
            </w:r>
            <w:r>
              <w:rPr>
                <w:b/>
                <w:kern w:val="0"/>
              </w:rPr>
              <w:t>施工期</w:t>
            </w:r>
          </w:p>
          <w:p w14:paraId="2C4D6BC5">
            <w:pPr>
              <w:keepNext/>
              <w:ind w:firstLine="480"/>
            </w:pPr>
            <w:r>
              <w:rPr>
                <w:rFonts w:hint="default" w:ascii="Times New Roman" w:hAnsi="Times New Roman" w:eastAsia="宋体" w:cs="Times New Roman"/>
                <w:color w:val="auto"/>
                <w:sz w:val="24"/>
                <w:szCs w:val="24"/>
                <w:lang w:val="en-US" w:eastAsia="zh-CN"/>
              </w:rPr>
              <w:t>本项</w:t>
            </w:r>
            <w:r>
              <w:rPr>
                <w:rFonts w:hint="eastAsia" w:ascii="Times New Roman" w:hAnsi="Times New Roman" w:eastAsia="宋体" w:cs="Times New Roman"/>
                <w:color w:val="auto"/>
                <w:sz w:val="24"/>
                <w:szCs w:val="24"/>
                <w:lang w:val="en-US" w:eastAsia="zh-CN"/>
              </w:rPr>
              <w:t>目主要建设内容包括</w:t>
            </w:r>
            <w:r>
              <w:rPr>
                <w:rFonts w:ascii="Times New Roman" w:hAnsi="Times New Roman" w:eastAsia="宋体" w:cs="Times New Roman"/>
                <w:color w:val="000000" w:themeColor="text1"/>
                <w:sz w:val="24"/>
                <w:szCs w:val="20"/>
                <w14:textFill>
                  <w14:solidFill>
                    <w14:schemeClr w14:val="tx1"/>
                  </w14:solidFill>
                </w14:textFill>
              </w:rPr>
              <w:t>沥青混凝土生产线、</w:t>
            </w:r>
            <w:r>
              <w:rPr>
                <w:rFonts w:hint="eastAsia" w:cs="Times New Roman"/>
                <w:color w:val="000000" w:themeColor="text1"/>
                <w:sz w:val="24"/>
                <w:szCs w:val="20"/>
                <w:lang w:val="en-US" w:eastAsia="zh-CN"/>
                <w14:textFill>
                  <w14:solidFill>
                    <w14:schemeClr w14:val="tx1"/>
                  </w14:solidFill>
                </w14:textFill>
              </w:rPr>
              <w:t>储运工程、环保工程</w:t>
            </w:r>
            <w:r>
              <w:rPr>
                <w:rFonts w:ascii="Times New Roman" w:hAnsi="Times New Roman" w:eastAsia="宋体" w:cs="Times New Roman"/>
                <w:color w:val="000000" w:themeColor="text1"/>
                <w:sz w:val="24"/>
                <w:szCs w:val="20"/>
                <w14:textFill>
                  <w14:solidFill>
                    <w14:schemeClr w14:val="tx1"/>
                  </w14:solidFill>
                </w14:textFill>
              </w:rPr>
              <w:t>等。</w:t>
            </w:r>
            <w:r>
              <w:rPr>
                <w:rFonts w:ascii="Times New Roman" w:hAnsi="Times New Roman" w:eastAsia="宋体" w:cs="Times New Roman"/>
                <w:color w:val="000000" w:themeColor="text1"/>
                <w:sz w:val="24"/>
                <w14:textFill>
                  <w14:solidFill>
                    <w14:schemeClr w14:val="tx1"/>
                  </w14:solidFill>
                </w14:textFill>
              </w:rPr>
              <w:t>项目为新建项目，</w:t>
            </w:r>
            <w:r>
              <w:rPr>
                <w:rFonts w:hint="eastAsia" w:ascii="Times New Roman" w:hAnsi="Times New Roman" w:eastAsia="宋体" w:cs="Times New Roman"/>
                <w:color w:val="auto"/>
                <w:sz w:val="24"/>
                <w:lang w:val="en-US" w:eastAsia="zh-CN"/>
              </w:rPr>
              <w:t>现状</w:t>
            </w:r>
            <w:r>
              <w:rPr>
                <w:rFonts w:hint="eastAsia" w:cs="Times New Roman"/>
                <w:color w:val="auto"/>
                <w:sz w:val="24"/>
                <w:lang w:val="en-US" w:eastAsia="zh-CN"/>
              </w:rPr>
              <w:t>主体工程、储运工程及部分</w:t>
            </w:r>
            <w:r>
              <w:rPr>
                <w:rFonts w:hint="eastAsia" w:cs="Times New Roman"/>
                <w:b w:val="0"/>
                <w:bCs w:val="0"/>
                <w:color w:val="auto"/>
                <w:sz w:val="24"/>
                <w:lang w:val="en-US" w:eastAsia="zh-CN"/>
              </w:rPr>
              <w:t>环保工程</w:t>
            </w:r>
            <w:r>
              <w:rPr>
                <w:rFonts w:hint="eastAsia" w:eastAsia="宋体" w:cs="Times New Roman"/>
                <w:b w:val="0"/>
                <w:bCs w:val="0"/>
                <w:color w:val="auto"/>
                <w:sz w:val="24"/>
                <w:lang w:val="en-US" w:eastAsia="zh-CN"/>
              </w:rPr>
              <w:t>已</w:t>
            </w:r>
            <w:r>
              <w:rPr>
                <w:rFonts w:hint="eastAsia" w:ascii="Times New Roman" w:hAnsi="Times New Roman" w:eastAsia="宋体" w:cs="Times New Roman"/>
                <w:color w:val="auto"/>
                <w:sz w:val="24"/>
                <w:lang w:val="en-US" w:eastAsia="zh-CN"/>
              </w:rPr>
              <w:t>建设完成，后期主要为</w:t>
            </w:r>
            <w:r>
              <w:rPr>
                <w:rFonts w:hint="default" w:ascii="Times New Roman" w:hAnsi="Times New Roman" w:eastAsia="宋体" w:cs="Times New Roman"/>
                <w:color w:val="auto"/>
                <w:sz w:val="24"/>
                <w:lang w:val="en-US" w:eastAsia="zh-CN"/>
              </w:rPr>
              <w:t>沥青罐</w:t>
            </w:r>
            <w:r>
              <w:rPr>
                <w:rFonts w:hint="eastAsia" w:ascii="Times New Roman" w:hAnsi="Times New Roman" w:eastAsia="宋体" w:cs="Times New Roman"/>
                <w:color w:val="auto"/>
                <w:sz w:val="24"/>
                <w:lang w:val="en-US" w:eastAsia="zh-CN"/>
              </w:rPr>
              <w:t>顶部呼吸口</w:t>
            </w:r>
            <w:r>
              <w:rPr>
                <w:rFonts w:hint="default" w:ascii="Times New Roman" w:hAnsi="Times New Roman" w:eastAsia="宋体" w:cs="Times New Roman"/>
                <w:color w:val="auto"/>
                <w:sz w:val="24"/>
                <w:lang w:val="en-US" w:eastAsia="zh-CN"/>
              </w:rPr>
              <w:t>、搅拌</w:t>
            </w:r>
            <w:r>
              <w:rPr>
                <w:rFonts w:hint="eastAsia" w:ascii="Times New Roman" w:hAnsi="Times New Roman" w:eastAsia="宋体" w:cs="Times New Roman"/>
                <w:color w:val="auto"/>
                <w:sz w:val="24"/>
                <w:lang w:val="en-US" w:eastAsia="zh-CN"/>
              </w:rPr>
              <w:t>设备</w:t>
            </w:r>
            <w:r>
              <w:rPr>
                <w:rFonts w:hint="default" w:ascii="Times New Roman" w:hAnsi="Times New Roman" w:eastAsia="宋体" w:cs="Times New Roman"/>
                <w:color w:val="auto"/>
                <w:sz w:val="24"/>
                <w:lang w:val="en-US" w:eastAsia="zh-CN"/>
              </w:rPr>
              <w:t>呼吸口</w:t>
            </w:r>
            <w:r>
              <w:rPr>
                <w:rFonts w:hint="eastAsia" w:ascii="Times New Roman" w:hAnsi="Times New Roman" w:eastAsia="宋体" w:cs="Times New Roman"/>
                <w:color w:val="auto"/>
                <w:sz w:val="24"/>
                <w:lang w:val="en-US" w:eastAsia="zh-CN"/>
              </w:rPr>
              <w:t>安装管道负压收集，产品出料口废气建设集气罩负压收集，安装“电捕焦油器+活性炭吸附”装置，皮带输送机廊道密封</w:t>
            </w:r>
            <w:r>
              <w:rPr>
                <w:rFonts w:hint="eastAsia" w:cs="Times New Roman"/>
                <w:color w:val="auto"/>
                <w:sz w:val="24"/>
                <w:lang w:val="en-US" w:eastAsia="zh-CN"/>
              </w:rPr>
              <w:t>，初期雨水隔油沉淀池建设。</w:t>
            </w:r>
            <w:r>
              <w:t>项目施工期工艺流程及产污节点见图2-</w:t>
            </w:r>
            <w:r>
              <w:rPr>
                <w:rFonts w:hint="eastAsia"/>
                <w:lang w:val="en-US" w:eastAsia="zh-CN"/>
              </w:rPr>
              <w:t>4</w:t>
            </w:r>
            <w:r>
              <w:t>所示。</w:t>
            </w:r>
          </w:p>
          <w:p w14:paraId="312C2BE6">
            <w:pPr>
              <w:keepNext/>
              <w:keepLines/>
              <w:ind w:firstLine="0" w:firstLineChars="0"/>
              <w:jc w:val="center"/>
            </w:pPr>
            <w:r>
              <w:rPr>
                <w:rFonts w:hint="eastAsia" w:ascii="Times New Roman" w:hAnsi="Times New Roman" w:eastAsia="宋体" w:cs="Times New Roman"/>
                <w:b/>
                <w:bCs w:val="0"/>
                <w:color w:val="000000" w:themeColor="text1"/>
                <w:sz w:val="21"/>
                <w:szCs w:val="21"/>
                <w:lang w:val="en-US" w:eastAsia="zh-CN" w:bidi="ar"/>
                <w14:textFill>
                  <w14:solidFill>
                    <w14:schemeClr w14:val="tx1"/>
                  </w14:solidFill>
                </w14:textFill>
              </w:rPr>
              <w:object>
                <v:shape id="_x0000_i1028" o:spt="75" type="#_x0000_t75" style="height:157.55pt;width:347.65pt;" o:ole="t" filled="f" o:preferrelative="t" stroked="f" coordsize="21600,21600">
                  <v:path/>
                  <v:fill on="f" focussize="0,0"/>
                  <v:stroke on="f"/>
                  <v:imagedata r:id="rId23" o:title=""/>
                  <o:lock v:ext="edit" aspectratio="f"/>
                  <w10:wrap type="none"/>
                  <w10:anchorlock/>
                </v:shape>
                <o:OLEObject Type="Embed" ProgID="Visio.Drawing.11" ShapeID="_x0000_i1028" DrawAspect="Content" ObjectID="_1468075728" r:id="rId22">
                  <o:LockedField>false</o:LockedField>
                </o:OLEObject>
              </w:object>
            </w:r>
          </w:p>
          <w:p w14:paraId="069CED67">
            <w:pPr>
              <w:keepNext/>
              <w:keepLines/>
              <w:ind w:firstLine="422"/>
              <w:jc w:val="center"/>
              <w:rPr>
                <w:b/>
                <w:bCs/>
                <w:sz w:val="21"/>
                <w:szCs w:val="21"/>
              </w:rPr>
            </w:pPr>
            <w:r>
              <w:rPr>
                <w:b/>
                <w:bCs/>
                <w:sz w:val="21"/>
                <w:szCs w:val="21"/>
              </w:rPr>
              <w:t>图2-</w:t>
            </w:r>
            <w:r>
              <w:rPr>
                <w:rFonts w:hint="eastAsia"/>
                <w:b/>
                <w:bCs/>
                <w:sz w:val="21"/>
                <w:szCs w:val="21"/>
                <w:lang w:val="en-US" w:eastAsia="zh-CN"/>
              </w:rPr>
              <w:t xml:space="preserve">4  </w:t>
            </w:r>
            <w:r>
              <w:rPr>
                <w:b/>
                <w:bCs/>
                <w:sz w:val="21"/>
                <w:szCs w:val="21"/>
              </w:rPr>
              <w:t>施工期工艺流程及产污节点图</w:t>
            </w:r>
          </w:p>
          <w:p w14:paraId="2E5E56CE">
            <w:pPr>
              <w:keepNext/>
              <w:ind w:firstLine="480"/>
              <w:rPr>
                <w:rFonts w:hint="eastAsia"/>
                <w:lang w:eastAsia="zh-CN"/>
              </w:rPr>
            </w:pPr>
            <w:r>
              <w:t>项目</w:t>
            </w:r>
            <w:r>
              <w:rPr>
                <w:rFonts w:hint="eastAsia"/>
                <w:lang w:val="en-US" w:eastAsia="zh-CN"/>
              </w:rPr>
              <w:t>设备安装过程中主要产生</w:t>
            </w:r>
            <w:r>
              <w:t>焊接废气、噪声</w:t>
            </w:r>
            <w:r>
              <w:rPr>
                <w:rFonts w:hint="eastAsia"/>
                <w:lang w:eastAsia="zh-CN"/>
              </w:rPr>
              <w:t>，</w:t>
            </w:r>
            <w:r>
              <w:rPr>
                <w:rFonts w:hint="eastAsia"/>
                <w:lang w:val="en-US" w:eastAsia="zh-CN"/>
              </w:rPr>
              <w:t>隔油沉淀池建设过程中主要产生废土石、扬尘、噪声，</w:t>
            </w:r>
            <w:r>
              <w:t>施工人员产生的生活污水及生活垃圾等污染物</w:t>
            </w:r>
            <w:r>
              <w:rPr>
                <w:rFonts w:hint="eastAsia"/>
                <w:lang w:eastAsia="zh-CN"/>
              </w:rPr>
              <w:t>。</w:t>
            </w:r>
          </w:p>
          <w:p w14:paraId="52A4AF32">
            <w:pPr>
              <w:keepNext/>
              <w:ind w:firstLine="480"/>
              <w:rPr>
                <w:rFonts w:hint="default"/>
                <w:lang w:val="en-US" w:eastAsia="zh-CN"/>
              </w:rPr>
            </w:pPr>
            <w:r>
              <w:rPr>
                <w:rFonts w:hint="eastAsia"/>
                <w:lang w:val="en-US" w:eastAsia="zh-CN"/>
              </w:rPr>
              <w:t>施工期产生的焊接废气、扬尘采取洒水降尘措施；产生的废土石用于采石场绿化覆土；产生的生活污水和生活垃圾依托现有生活区化粪池和垃圾桶收集处理；由于施工期是短暂的，产生的环境影响具有时效性，施工期结束便消失，产生的环境影响较小。</w:t>
            </w:r>
          </w:p>
          <w:p w14:paraId="7DE2518B">
            <w:pPr>
              <w:keepNext/>
              <w:ind w:firstLine="48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二、运营期</w:t>
            </w:r>
          </w:p>
          <w:p w14:paraId="6EFDA98E">
            <w:pPr>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本项目运营期工艺流程详见下图2-</w:t>
            </w:r>
            <w:r>
              <w:rPr>
                <w:rFonts w:hint="eastAsia" w:cs="Times New Roman"/>
                <w:lang w:val="en-US" w:eastAsia="zh-CN"/>
              </w:rPr>
              <w:t>5</w:t>
            </w:r>
            <w:r>
              <w:rPr>
                <w:rFonts w:hint="eastAsia" w:ascii="Times New Roman" w:hAnsi="Times New Roman" w:eastAsia="宋体" w:cs="Times New Roman"/>
                <w:lang w:val="en-US" w:eastAsia="zh-CN"/>
              </w:rPr>
              <w:t>。</w:t>
            </w:r>
          </w:p>
          <w:p w14:paraId="4A98074D">
            <w:pPr>
              <w:pStyle w:val="5"/>
              <w:rPr>
                <w:rFonts w:hint="eastAsia"/>
                <w:lang w:val="en-US" w:eastAsia="zh-CN"/>
              </w:rPr>
            </w:pPr>
            <w:r>
              <w:rPr>
                <w:rFonts w:hint="eastAsia"/>
                <w:lang w:val="en-US" w:eastAsia="zh-CN"/>
              </w:rPr>
              <w:object>
                <v:shape id="_x0000_i1029" o:spt="75" type="#_x0000_t75" style="height:563.45pt;width:417.95pt;" o:ole="t" filled="f" o:preferrelative="t" stroked="f" coordsize="21600,21600">
                  <v:path/>
                  <v:fill on="f" focussize="0,0"/>
                  <v:stroke on="f"/>
                  <v:imagedata r:id="rId25" o:title=""/>
                  <o:lock v:ext="edit" aspectratio="f"/>
                  <w10:wrap type="none"/>
                  <w10:anchorlock/>
                </v:shape>
                <o:OLEObject Type="Embed" ProgID="Visio.Drawing.11" ShapeID="_x0000_i1029" DrawAspect="Content" ObjectID="_1468075729" r:id="rId24">
                  <o:LockedField>false</o:LockedField>
                </o:OLEObject>
              </w:object>
            </w:r>
          </w:p>
          <w:p w14:paraId="6A158401">
            <w:pPr>
              <w:pStyle w:val="24"/>
              <w:ind w:left="0" w:leftChars="0" w:firstLine="0" w:firstLineChars="0"/>
              <w:jc w:val="center"/>
              <w:rPr>
                <w:rFonts w:hint="default" w:ascii="Times New Roman" w:hAnsi="Times New Roman" w:eastAsia="宋体" w:cs="Times New Roman"/>
                <w:color w:val="auto"/>
                <w:sz w:val="21"/>
                <w:szCs w:val="21"/>
                <w:highlight w:val="none"/>
              </w:rPr>
            </w:pPr>
            <w:r>
              <w:rPr>
                <w:rFonts w:ascii="Times New Roman" w:hAnsi="Times New Roman" w:eastAsia="宋体" w:cs="Times New Roman"/>
                <w:b/>
                <w:bCs/>
                <w:color w:val="auto"/>
                <w:sz w:val="21"/>
                <w:szCs w:val="21"/>
                <w:highlight w:val="none"/>
              </w:rPr>
              <w:t>图</w:t>
            </w:r>
            <w:r>
              <w:rPr>
                <w:rFonts w:hint="eastAsia" w:eastAsia="宋体" w:cs="Times New Roman"/>
                <w:b/>
                <w:bCs/>
                <w:color w:val="auto"/>
                <w:sz w:val="21"/>
                <w:szCs w:val="21"/>
                <w:highlight w:val="none"/>
                <w:lang w:val="en-US" w:eastAsia="zh-CN"/>
              </w:rPr>
              <w:t xml:space="preserve">2-5 </w:t>
            </w:r>
            <w:r>
              <w:rPr>
                <w:rFonts w:ascii="Times New Roman" w:hAnsi="Times New Roman" w:eastAsia="宋体" w:cs="Times New Roman"/>
                <w:b/>
                <w:bCs/>
                <w:color w:val="auto"/>
                <w:sz w:val="21"/>
                <w:szCs w:val="21"/>
                <w:highlight w:val="none"/>
              </w:rPr>
              <w:t xml:space="preserve"> 生产工艺流程及产污节点示意图</w:t>
            </w:r>
          </w:p>
          <w:p w14:paraId="60E017AD">
            <w:pPr>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工艺流程简述如下：</w:t>
            </w:r>
          </w:p>
          <w:p w14:paraId="250D180D">
            <w:pPr>
              <w:adjustRightIn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①原料贮存</w:t>
            </w:r>
          </w:p>
          <w:p w14:paraId="25BB0B17">
            <w:pPr>
              <w:adjustRightInd w:val="0"/>
              <w:snapToGrid w:val="0"/>
              <w:ind w:firstLine="482"/>
              <w:rPr>
                <w:rFonts w:ascii="Times New Roman" w:hAnsi="Times New Roman" w:eastAsia="宋体" w:cs="Times New Roman"/>
                <w:color w:val="auto"/>
                <w:sz w:val="24"/>
              </w:rPr>
            </w:pPr>
            <w:r>
              <w:rPr>
                <w:rFonts w:hint="eastAsia" w:ascii="Times New Roman" w:hAnsi="Times New Roman" w:eastAsia="宋体" w:cs="Times New Roman"/>
                <w:color w:val="000000" w:themeColor="text1"/>
                <w:sz w:val="24"/>
                <w14:textFill>
                  <w14:solidFill>
                    <w14:schemeClr w14:val="tx1"/>
                  </w14:solidFill>
                </w14:textFill>
              </w:rPr>
              <w:t>项</w:t>
            </w:r>
            <w:r>
              <w:rPr>
                <w:rFonts w:hint="eastAsia" w:ascii="Times New Roman" w:hAnsi="Times New Roman" w:eastAsia="宋体" w:cs="Times New Roman"/>
                <w:color w:val="auto"/>
                <w:sz w:val="24"/>
              </w:rPr>
              <w:t>目</w:t>
            </w:r>
            <w:r>
              <w:rPr>
                <w:rFonts w:hint="eastAsia" w:cs="Times New Roman"/>
                <w:color w:val="auto"/>
                <w:sz w:val="24"/>
                <w:lang w:val="en-US" w:eastAsia="zh-CN"/>
              </w:rPr>
              <w:t>物料购买后运输至厂内，沥青储存于</w:t>
            </w:r>
            <w:r>
              <w:rPr>
                <w:rFonts w:hint="eastAsia" w:ascii="Times New Roman" w:hAnsi="Times New Roman" w:eastAsia="宋体" w:cs="Times New Roman"/>
                <w:color w:val="auto"/>
                <w:sz w:val="24"/>
              </w:rPr>
              <w:t>沥青罐</w:t>
            </w:r>
            <w:r>
              <w:rPr>
                <w:rFonts w:hint="eastAsia" w:cs="Times New Roman"/>
                <w:color w:val="auto"/>
                <w:sz w:val="24"/>
                <w:lang w:eastAsia="zh-CN"/>
              </w:rPr>
              <w:t>，</w:t>
            </w:r>
            <w:r>
              <w:rPr>
                <w:rFonts w:hint="eastAsia" w:ascii="Times New Roman" w:hAnsi="Times New Roman" w:eastAsia="宋体" w:cs="Times New Roman"/>
                <w:color w:val="auto"/>
                <w:sz w:val="24"/>
              </w:rPr>
              <w:t>沥青储罐为地面密闭储罐</w:t>
            </w:r>
            <w:r>
              <w:rPr>
                <w:rFonts w:hint="eastAsia" w:cs="Times New Roman"/>
                <w:color w:val="auto"/>
                <w:sz w:val="24"/>
                <w:lang w:eastAsia="zh-CN"/>
              </w:rPr>
              <w:t>；</w:t>
            </w:r>
            <w:r>
              <w:rPr>
                <w:rFonts w:hint="eastAsia" w:ascii="Times New Roman" w:hAnsi="Times New Roman" w:eastAsia="宋体" w:cs="Times New Roman"/>
                <w:color w:val="auto"/>
                <w:sz w:val="24"/>
              </w:rPr>
              <w:t>沥青储罐配备</w:t>
            </w:r>
            <w:r>
              <w:rPr>
                <w:rFonts w:hint="eastAsia" w:cs="Times New Roman"/>
                <w:color w:val="auto"/>
                <w:sz w:val="24"/>
                <w:lang w:val="en-US" w:eastAsia="zh-CN"/>
              </w:rPr>
              <w:t>有机热载体炉</w:t>
            </w:r>
            <w:r>
              <w:rPr>
                <w:rFonts w:hint="eastAsia" w:ascii="Times New Roman" w:hAnsi="Times New Roman" w:eastAsia="宋体" w:cs="Times New Roman"/>
                <w:color w:val="auto"/>
                <w:sz w:val="24"/>
              </w:rPr>
              <w:t>，</w:t>
            </w:r>
            <w:r>
              <w:rPr>
                <w:rFonts w:hint="eastAsia" w:cs="Times New Roman"/>
                <w:color w:val="auto"/>
                <w:sz w:val="24"/>
                <w:lang w:val="en-US" w:eastAsia="zh-CN"/>
              </w:rPr>
              <w:t>以柴油为燃料，</w:t>
            </w:r>
            <w:r>
              <w:rPr>
                <w:rFonts w:hint="eastAsia" w:ascii="Times New Roman" w:hAnsi="Times New Roman" w:eastAsia="宋体" w:cs="Times New Roman"/>
                <w:color w:val="auto"/>
                <w:sz w:val="24"/>
              </w:rPr>
              <w:t>以</w:t>
            </w:r>
            <w:r>
              <w:rPr>
                <w:rFonts w:hint="eastAsia" w:cs="Times New Roman"/>
                <w:color w:val="auto"/>
                <w:sz w:val="24"/>
                <w:lang w:val="en-US" w:eastAsia="zh-CN"/>
              </w:rPr>
              <w:t>导热油</w:t>
            </w:r>
            <w:r>
              <w:rPr>
                <w:rFonts w:hint="eastAsia" w:ascii="Times New Roman" w:hAnsi="Times New Roman" w:eastAsia="宋体" w:cs="Times New Roman"/>
                <w:color w:val="auto"/>
                <w:sz w:val="24"/>
              </w:rPr>
              <w:t>为载热介质</w:t>
            </w:r>
            <w:r>
              <w:rPr>
                <w:rFonts w:hint="eastAsia" w:cs="Times New Roman"/>
                <w:color w:val="auto"/>
                <w:sz w:val="24"/>
                <w:lang w:eastAsia="zh-CN"/>
              </w:rPr>
              <w:t>，</w:t>
            </w:r>
            <w:r>
              <w:rPr>
                <w:rFonts w:hint="eastAsia" w:ascii="Times New Roman" w:hAnsi="Times New Roman" w:eastAsia="宋体" w:cs="Times New Roman"/>
                <w:color w:val="auto"/>
                <w:sz w:val="24"/>
              </w:rPr>
              <w:t>导热油通过热油泵强制循环经沥青储罐内的换热排管，把热能传给沥青，以达到对沥青加热升温的目的。</w:t>
            </w:r>
            <w:r>
              <w:rPr>
                <w:rFonts w:hint="eastAsia"/>
                <w:color w:val="auto"/>
              </w:rPr>
              <w:t>矿粉储存于矿粉筒仓，</w:t>
            </w:r>
            <w:r>
              <w:rPr>
                <w:rFonts w:hint="eastAsia" w:ascii="Times New Roman" w:hAnsi="Times New Roman" w:eastAsia="宋体" w:cs="Times New Roman"/>
                <w:color w:val="auto"/>
                <w:sz w:val="24"/>
              </w:rPr>
              <w:t>罐顶配套</w:t>
            </w:r>
            <w:r>
              <w:rPr>
                <w:rFonts w:hint="eastAsia" w:cs="Times New Roman"/>
                <w:color w:val="auto"/>
                <w:sz w:val="24"/>
                <w:lang w:val="en-US" w:eastAsia="zh-CN"/>
              </w:rPr>
              <w:t>1套袋式除尘器</w:t>
            </w:r>
            <w:r>
              <w:rPr>
                <w:rFonts w:hint="eastAsia" w:ascii="Times New Roman" w:hAnsi="Times New Roman" w:eastAsia="宋体" w:cs="Times New Roman"/>
                <w:color w:val="auto"/>
                <w:sz w:val="24"/>
              </w:rPr>
              <w:t>。</w:t>
            </w:r>
            <w:r>
              <w:rPr>
                <w:rFonts w:hint="eastAsia" w:cs="Times New Roman"/>
                <w:color w:val="auto"/>
                <w:sz w:val="24"/>
                <w:lang w:val="en-US" w:eastAsia="zh-CN"/>
              </w:rPr>
              <w:t>砂</w:t>
            </w:r>
            <w:r>
              <w:rPr>
                <w:rFonts w:hint="eastAsia" w:ascii="Times New Roman" w:hAnsi="Times New Roman" w:eastAsia="宋体" w:cs="Times New Roman"/>
                <w:color w:val="auto"/>
                <w:sz w:val="24"/>
              </w:rPr>
              <w:t>石</w:t>
            </w:r>
            <w:r>
              <w:rPr>
                <w:rFonts w:hint="eastAsia" w:eastAsia="宋体" w:cs="Times New Roman"/>
                <w:color w:val="auto"/>
                <w:sz w:val="24"/>
                <w:lang w:val="en-US" w:eastAsia="zh-CN"/>
              </w:rPr>
              <w:t>料</w:t>
            </w:r>
            <w:r>
              <w:rPr>
                <w:rFonts w:hint="eastAsia" w:cs="Times New Roman"/>
                <w:color w:val="auto"/>
                <w:sz w:val="24"/>
                <w:lang w:val="en-US" w:eastAsia="zh-CN"/>
              </w:rPr>
              <w:t>堆场砂石料</w:t>
            </w:r>
            <w:r>
              <w:rPr>
                <w:rFonts w:hint="eastAsia" w:eastAsia="宋体" w:cs="Times New Roman"/>
                <w:color w:val="auto"/>
                <w:sz w:val="24"/>
                <w:lang w:val="en-US" w:eastAsia="zh-CN"/>
              </w:rPr>
              <w:t>来源于</w:t>
            </w:r>
            <w:r>
              <w:rPr>
                <w:rFonts w:hint="eastAsia" w:cs="Times New Roman"/>
                <w:color w:val="auto"/>
                <w:sz w:val="24"/>
                <w:lang w:val="en-US" w:eastAsia="zh-CN"/>
              </w:rPr>
              <w:t>搅拌站西南侧约20m的</w:t>
            </w:r>
            <w:r>
              <w:rPr>
                <w:rFonts w:hint="eastAsia" w:eastAsia="宋体" w:cs="Times New Roman"/>
                <w:color w:val="auto"/>
                <w:sz w:val="24"/>
                <w:lang w:val="en-US" w:eastAsia="zh-CN"/>
              </w:rPr>
              <w:t>采石场</w:t>
            </w:r>
            <w:r>
              <w:rPr>
                <w:rFonts w:hint="eastAsia" w:cs="Times New Roman"/>
                <w:color w:val="auto"/>
                <w:sz w:val="24"/>
                <w:lang w:val="en-US" w:eastAsia="zh-CN"/>
              </w:rPr>
              <w:t>3#堆料场</w:t>
            </w:r>
            <w:r>
              <w:rPr>
                <w:rFonts w:hint="eastAsia" w:eastAsia="宋体" w:cs="Times New Roman"/>
                <w:color w:val="auto"/>
                <w:sz w:val="24"/>
                <w:lang w:val="en-US" w:eastAsia="zh-CN"/>
              </w:rPr>
              <w:t>，位置较近，</w:t>
            </w:r>
            <w:r>
              <w:rPr>
                <w:rFonts w:hint="eastAsia" w:cs="Times New Roman"/>
                <w:color w:val="auto"/>
                <w:sz w:val="24"/>
                <w:lang w:val="en-US" w:eastAsia="zh-CN"/>
              </w:rPr>
              <w:t>通过铲车将</w:t>
            </w:r>
            <w:r>
              <w:rPr>
                <w:rFonts w:hint="eastAsia" w:eastAsia="宋体" w:cs="Times New Roman"/>
                <w:color w:val="auto"/>
                <w:sz w:val="24"/>
                <w:lang w:val="en-US" w:eastAsia="zh-CN"/>
              </w:rPr>
              <w:t>砂石料直接从采石场</w:t>
            </w:r>
            <w:r>
              <w:rPr>
                <w:rFonts w:hint="eastAsia" w:cs="Times New Roman"/>
                <w:color w:val="auto"/>
                <w:sz w:val="24"/>
                <w:lang w:val="en-US" w:eastAsia="zh-CN"/>
              </w:rPr>
              <w:t>3#堆料场运至项目砂石料堆场</w:t>
            </w:r>
            <w:r>
              <w:rPr>
                <w:rFonts w:hint="eastAsia" w:eastAsia="宋体" w:cs="Times New Roman"/>
                <w:color w:val="auto"/>
                <w:sz w:val="24"/>
                <w:lang w:val="en-US" w:eastAsia="zh-CN"/>
              </w:rPr>
              <w:t>，采石场</w:t>
            </w:r>
            <w:r>
              <w:rPr>
                <w:rFonts w:hint="eastAsia" w:cs="Times New Roman"/>
                <w:color w:val="auto"/>
                <w:sz w:val="24"/>
                <w:lang w:val="en-US" w:eastAsia="zh-CN"/>
              </w:rPr>
              <w:t>3#堆料场设置了</w:t>
            </w:r>
            <w:r>
              <w:rPr>
                <w:rFonts w:hint="eastAsia" w:ascii="Times New Roman" w:hAnsi="Times New Roman" w:eastAsia="宋体" w:cs="Times New Roman"/>
                <w:color w:val="auto"/>
                <w:sz w:val="24"/>
              </w:rPr>
              <w:t>三面围挡封闭，顶部设顶棚</w:t>
            </w:r>
            <w:r>
              <w:rPr>
                <w:rFonts w:hint="eastAsia" w:cs="Times New Roman"/>
                <w:color w:val="auto"/>
                <w:sz w:val="24"/>
                <w:lang w:eastAsia="zh-CN"/>
              </w:rPr>
              <w:t>，</w:t>
            </w:r>
            <w:r>
              <w:rPr>
                <w:rFonts w:hint="eastAsia" w:cs="Times New Roman"/>
                <w:color w:val="auto"/>
                <w:sz w:val="24"/>
                <w:lang w:val="en-US" w:eastAsia="zh-CN"/>
              </w:rPr>
              <w:t>砂石料堆场三面围挡</w:t>
            </w:r>
            <w:r>
              <w:rPr>
                <w:rFonts w:hint="eastAsia" w:cs="Times New Roman"/>
                <w:color w:val="auto"/>
                <w:sz w:val="24"/>
                <w:lang w:eastAsia="zh-CN"/>
              </w:rPr>
              <w:t>，</w:t>
            </w:r>
            <w:r>
              <w:rPr>
                <w:rFonts w:hint="eastAsia" w:cs="Times New Roman"/>
                <w:color w:val="auto"/>
                <w:sz w:val="24"/>
                <w:lang w:val="en-US" w:eastAsia="zh-CN"/>
              </w:rPr>
              <w:t>周围定期洒水降尘</w:t>
            </w:r>
            <w:r>
              <w:rPr>
                <w:rFonts w:hint="eastAsia" w:ascii="Times New Roman" w:hAnsi="Times New Roman" w:eastAsia="宋体" w:cs="Times New Roman"/>
                <w:color w:val="auto"/>
                <w:sz w:val="24"/>
              </w:rPr>
              <w:t>。</w:t>
            </w:r>
            <w:r>
              <w:rPr>
                <w:rFonts w:hint="eastAsia"/>
                <w:color w:val="auto"/>
                <w:lang w:val="en-US" w:eastAsia="zh-CN"/>
              </w:rPr>
              <w:t>该过程主要产生装卸废气T1、运输装卸噪声N1、有机热载体炉废气G6、矿粉筒仓废气T4、物料运输</w:t>
            </w:r>
            <w:r>
              <w:rPr>
                <w:rFonts w:hint="eastAsia" w:cs="Times New Roman"/>
                <w:color w:val="auto"/>
                <w:kern w:val="0"/>
                <w:lang w:val="en-US" w:eastAsia="zh-CN"/>
              </w:rPr>
              <w:t>扬</w:t>
            </w:r>
            <w:r>
              <w:rPr>
                <w:rFonts w:hint="eastAsia"/>
                <w:color w:val="auto"/>
                <w:lang w:val="en-US" w:eastAsia="zh-CN"/>
              </w:rPr>
              <w:t>尘T3、物料运输噪声N8、焦油渣S4。</w:t>
            </w:r>
          </w:p>
          <w:p w14:paraId="19364F4C">
            <w:pPr>
              <w:adjustRightIn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②上料</w:t>
            </w:r>
          </w:p>
          <w:p w14:paraId="087D3EDA">
            <w:pPr>
              <w:adjustRightIn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砂石料</w:t>
            </w:r>
            <w:r>
              <w:rPr>
                <w:rFonts w:hint="eastAsia" w:eastAsia="宋体" w:cs="Times New Roman"/>
                <w:color w:val="auto"/>
                <w:sz w:val="24"/>
                <w:lang w:val="en-US" w:eastAsia="zh-CN"/>
              </w:rPr>
              <w:t>从</w:t>
            </w:r>
            <w:r>
              <w:rPr>
                <w:rFonts w:hint="eastAsia" w:cs="Times New Roman"/>
                <w:color w:val="auto"/>
                <w:sz w:val="24"/>
                <w:lang w:val="en-US" w:eastAsia="zh-CN"/>
              </w:rPr>
              <w:t>砂石料堆场通过铲车运入计量仓后</w:t>
            </w:r>
            <w:r>
              <w:rPr>
                <w:rFonts w:hint="eastAsia" w:eastAsia="宋体" w:cs="Times New Roman"/>
                <w:color w:val="auto"/>
                <w:sz w:val="24"/>
                <w:lang w:val="en-US" w:eastAsia="zh-CN"/>
              </w:rPr>
              <w:t>通过皮带</w:t>
            </w:r>
            <w:r>
              <w:rPr>
                <w:rFonts w:hint="eastAsia" w:cs="Times New Roman"/>
                <w:color w:val="auto"/>
                <w:sz w:val="24"/>
                <w:lang w:val="en-US" w:eastAsia="zh-CN"/>
              </w:rPr>
              <w:t>输送</w:t>
            </w:r>
            <w:r>
              <w:rPr>
                <w:rFonts w:hint="eastAsia" w:eastAsia="宋体" w:cs="Times New Roman"/>
                <w:color w:val="auto"/>
                <w:sz w:val="24"/>
                <w:lang w:val="en-US" w:eastAsia="zh-CN"/>
              </w:rPr>
              <w:t>机</w:t>
            </w:r>
            <w:r>
              <w:rPr>
                <w:rFonts w:hint="eastAsia" w:ascii="Times New Roman" w:hAnsi="Times New Roman" w:eastAsia="宋体" w:cs="Times New Roman"/>
                <w:color w:val="auto"/>
                <w:sz w:val="24"/>
              </w:rPr>
              <w:t>送至</w:t>
            </w:r>
            <w:r>
              <w:rPr>
                <w:rFonts w:hint="eastAsia" w:cs="Times New Roman"/>
                <w:color w:val="auto"/>
                <w:sz w:val="24"/>
                <w:lang w:val="en-US" w:eastAsia="zh-CN"/>
              </w:rPr>
              <w:t>烘干</w:t>
            </w:r>
            <w:r>
              <w:rPr>
                <w:rFonts w:hint="eastAsia" w:ascii="Times New Roman" w:hAnsi="Times New Roman" w:eastAsia="宋体" w:cs="Times New Roman"/>
                <w:color w:val="auto"/>
                <w:sz w:val="24"/>
              </w:rPr>
              <w:t>滚筒内进行干燥</w:t>
            </w:r>
            <w:r>
              <w:rPr>
                <w:rFonts w:hint="eastAsia" w:cs="Times New Roman"/>
                <w:color w:val="auto"/>
                <w:sz w:val="24"/>
                <w:lang w:val="en-US" w:eastAsia="zh-CN"/>
              </w:rPr>
              <w:t>处理</w:t>
            </w:r>
            <w:r>
              <w:rPr>
                <w:rFonts w:hint="eastAsia" w:ascii="Times New Roman" w:hAnsi="Times New Roman" w:eastAsia="宋体" w:cs="Times New Roman"/>
                <w:color w:val="auto"/>
                <w:sz w:val="24"/>
              </w:rPr>
              <w:t>。</w:t>
            </w:r>
            <w:r>
              <w:rPr>
                <w:rFonts w:ascii="Times New Roman" w:hAnsi="Times New Roman" w:eastAsia="宋体" w:cs="Times New Roman"/>
                <w:color w:val="auto"/>
                <w:sz w:val="24"/>
                <w:lang w:val="zh-CN"/>
              </w:rPr>
              <w:t>项目</w:t>
            </w:r>
            <w:r>
              <w:rPr>
                <w:rFonts w:hint="eastAsia" w:eastAsia="宋体" w:cs="Times New Roman"/>
                <w:color w:val="auto"/>
                <w:sz w:val="24"/>
                <w:lang w:val="en-US" w:eastAsia="zh-CN"/>
              </w:rPr>
              <w:t>皮带</w:t>
            </w:r>
            <w:r>
              <w:rPr>
                <w:rFonts w:hint="eastAsia" w:cs="Times New Roman"/>
                <w:color w:val="auto"/>
                <w:sz w:val="24"/>
                <w:lang w:val="en-US" w:eastAsia="zh-CN"/>
              </w:rPr>
              <w:t>输送</w:t>
            </w:r>
            <w:r>
              <w:rPr>
                <w:rFonts w:hint="eastAsia" w:eastAsia="宋体" w:cs="Times New Roman"/>
                <w:color w:val="auto"/>
                <w:sz w:val="24"/>
                <w:lang w:val="en-US" w:eastAsia="zh-CN"/>
              </w:rPr>
              <w:t>机</w:t>
            </w:r>
            <w:r>
              <w:rPr>
                <w:rFonts w:hint="eastAsia" w:cs="Times New Roman"/>
                <w:color w:val="auto"/>
                <w:kern w:val="0"/>
                <w:sz w:val="24"/>
                <w:szCs w:val="22"/>
                <w:lang w:val="en-US" w:eastAsia="zh-CN" w:bidi="ar-SA"/>
              </w:rPr>
              <w:t>实施廊道</w:t>
            </w:r>
            <w:r>
              <w:rPr>
                <w:rFonts w:hint="eastAsia" w:ascii="Times New Roman" w:hAnsi="Times New Roman" w:eastAsia="宋体" w:cs="Times New Roman"/>
                <w:color w:val="auto"/>
                <w:kern w:val="0"/>
                <w:sz w:val="24"/>
                <w:szCs w:val="22"/>
                <w:lang w:val="en-US" w:eastAsia="zh-CN" w:bidi="ar-SA"/>
              </w:rPr>
              <w:t>密封</w:t>
            </w:r>
            <w:r>
              <w:rPr>
                <w:rFonts w:hint="eastAsia" w:eastAsia="宋体" w:cs="Times New Roman"/>
                <w:color w:val="auto"/>
                <w:sz w:val="24"/>
                <w:lang w:val="en-US" w:eastAsia="zh-CN"/>
              </w:rPr>
              <w:t>，</w:t>
            </w:r>
            <w:r>
              <w:rPr>
                <w:rFonts w:hint="eastAsia"/>
                <w:color w:val="auto"/>
                <w:lang w:val="en-US" w:eastAsia="zh-CN"/>
              </w:rPr>
              <w:t>该过程</w:t>
            </w:r>
            <w:r>
              <w:rPr>
                <w:rFonts w:hint="eastAsia" w:eastAsia="宋体" w:cs="Times New Roman"/>
                <w:color w:val="auto"/>
                <w:sz w:val="24"/>
                <w:lang w:val="en-US" w:eastAsia="zh-CN"/>
              </w:rPr>
              <w:t>主要产生上料</w:t>
            </w:r>
            <w:r>
              <w:rPr>
                <w:rFonts w:hint="eastAsia" w:cs="Times New Roman"/>
                <w:color w:val="auto"/>
                <w:kern w:val="0"/>
                <w:lang w:val="en-US" w:eastAsia="zh-CN"/>
              </w:rPr>
              <w:t>扬</w:t>
            </w:r>
            <w:r>
              <w:rPr>
                <w:rFonts w:hint="eastAsia" w:eastAsia="宋体" w:cs="Times New Roman"/>
                <w:color w:val="auto"/>
                <w:sz w:val="24"/>
                <w:lang w:val="en-US" w:eastAsia="zh-CN"/>
              </w:rPr>
              <w:t>尘</w:t>
            </w:r>
            <w:r>
              <w:rPr>
                <w:rFonts w:hint="eastAsia" w:cs="Times New Roman"/>
                <w:color w:val="auto"/>
                <w:sz w:val="24"/>
                <w:lang w:val="en-US" w:eastAsia="zh-CN"/>
              </w:rPr>
              <w:t>G1、上料噪声N3、皮带输送扬尘T2和噪声N3</w:t>
            </w:r>
            <w:r>
              <w:rPr>
                <w:rFonts w:hint="eastAsia" w:ascii="Times New Roman" w:hAnsi="Times New Roman" w:eastAsia="宋体" w:cs="Times New Roman"/>
                <w:color w:val="auto"/>
                <w:sz w:val="24"/>
              </w:rPr>
              <w:t>。</w:t>
            </w:r>
          </w:p>
          <w:p w14:paraId="00EE7238">
            <w:pPr>
              <w:adjustRightIn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③</w:t>
            </w:r>
            <w:r>
              <w:rPr>
                <w:rFonts w:hint="eastAsia" w:ascii="Times New Roman" w:hAnsi="Times New Roman" w:eastAsia="宋体" w:cs="Times New Roman"/>
                <w:color w:val="auto"/>
                <w:sz w:val="24"/>
                <w:lang w:val="en-US" w:eastAsia="zh-CN"/>
              </w:rPr>
              <w:t>骨料烘干</w:t>
            </w:r>
          </w:p>
          <w:p w14:paraId="7A234F9B">
            <w:pPr>
              <w:adjustRightInd w:val="0"/>
              <w:spacing w:line="360" w:lineRule="auto"/>
              <w:ind w:firstLine="480" w:firstLineChars="200"/>
              <w:rPr>
                <w:rFonts w:hint="default" w:ascii="Times New Roman" w:hAnsi="Times New Roman" w:eastAsia="宋体" w:cs="Times New Roman"/>
                <w:color w:val="auto"/>
                <w:sz w:val="24"/>
                <w:lang w:val="en-US"/>
              </w:rPr>
            </w:pPr>
            <w:r>
              <w:rPr>
                <w:rFonts w:hint="eastAsia" w:ascii="Times New Roman" w:hAnsi="Times New Roman" w:eastAsia="宋体" w:cs="Times New Roman"/>
                <w:color w:val="auto"/>
                <w:sz w:val="24"/>
              </w:rPr>
              <w:t>砂石料</w:t>
            </w:r>
            <w:r>
              <w:rPr>
                <w:rFonts w:hint="eastAsia" w:ascii="Times New Roman" w:hAnsi="Times New Roman" w:eastAsia="宋体" w:cs="Times New Roman"/>
                <w:color w:val="auto"/>
                <w:sz w:val="24"/>
                <w:lang w:val="en-US" w:eastAsia="zh-CN"/>
              </w:rPr>
              <w:t>经</w:t>
            </w:r>
            <w:r>
              <w:rPr>
                <w:rFonts w:hint="eastAsia" w:eastAsia="宋体" w:cs="Times New Roman"/>
                <w:color w:val="auto"/>
                <w:sz w:val="24"/>
                <w:lang w:val="en-US" w:eastAsia="zh-CN"/>
              </w:rPr>
              <w:t>皮带</w:t>
            </w:r>
            <w:r>
              <w:rPr>
                <w:rFonts w:hint="eastAsia" w:cs="Times New Roman"/>
                <w:color w:val="auto"/>
                <w:sz w:val="24"/>
                <w:lang w:val="en-US" w:eastAsia="zh-CN"/>
              </w:rPr>
              <w:t>输送</w:t>
            </w:r>
            <w:r>
              <w:rPr>
                <w:rFonts w:hint="eastAsia" w:eastAsia="宋体" w:cs="Times New Roman"/>
                <w:color w:val="auto"/>
                <w:sz w:val="24"/>
                <w:lang w:val="en-US" w:eastAsia="zh-CN"/>
              </w:rPr>
              <w:t>机</w:t>
            </w:r>
            <w:r>
              <w:rPr>
                <w:rFonts w:hint="eastAsia" w:ascii="Times New Roman" w:hAnsi="Times New Roman" w:eastAsia="宋体" w:cs="Times New Roman"/>
                <w:color w:val="auto"/>
                <w:sz w:val="24"/>
              </w:rPr>
              <w:t>送至</w:t>
            </w:r>
            <w:r>
              <w:rPr>
                <w:rFonts w:hint="eastAsia" w:cs="Times New Roman"/>
                <w:color w:val="auto"/>
                <w:sz w:val="24"/>
                <w:lang w:val="en-US" w:eastAsia="zh-CN"/>
              </w:rPr>
              <w:t>烘干</w:t>
            </w:r>
            <w:r>
              <w:rPr>
                <w:rFonts w:hint="eastAsia" w:ascii="Times New Roman" w:hAnsi="Times New Roman" w:eastAsia="宋体" w:cs="Times New Roman"/>
                <w:color w:val="auto"/>
                <w:sz w:val="24"/>
              </w:rPr>
              <w:t>滚筒内</w:t>
            </w:r>
            <w:r>
              <w:rPr>
                <w:rFonts w:hint="eastAsia" w:ascii="Times New Roman" w:hAnsi="Times New Roman" w:eastAsia="宋体" w:cs="Times New Roman"/>
                <w:color w:val="auto"/>
                <w:sz w:val="24"/>
                <w:lang w:val="en-US" w:eastAsia="zh-CN"/>
              </w:rPr>
              <w:t>烘干处理</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干燥滚筒</w:t>
            </w:r>
            <w:r>
              <w:rPr>
                <w:rFonts w:hint="eastAsia"/>
                <w:color w:val="auto"/>
                <w:lang w:val="en-US" w:eastAsia="zh-CN"/>
              </w:rPr>
              <w:t>加热</w:t>
            </w:r>
            <w:r>
              <w:rPr>
                <w:rFonts w:hint="eastAsia"/>
                <w:color w:val="auto"/>
              </w:rPr>
              <w:t>温度</w:t>
            </w:r>
            <w:bookmarkStart w:id="13" w:name="_Hlk171696008"/>
            <w:r>
              <w:rPr>
                <w:rFonts w:hint="eastAsia"/>
                <w:color w:val="auto"/>
                <w:lang w:val="en-US" w:eastAsia="zh-CN"/>
              </w:rPr>
              <w:t>约为</w:t>
            </w:r>
            <w:r>
              <w:rPr>
                <w:rFonts w:hint="default" w:ascii="Times New Roman" w:hAnsi="Times New Roman" w:cs="Times New Roman"/>
                <w:color w:val="auto"/>
              </w:rPr>
              <w:t>160℃-240℃</w:t>
            </w:r>
            <w:bookmarkEnd w:id="13"/>
            <w:r>
              <w:rPr>
                <w:rFonts w:hint="eastAsia"/>
                <w:color w:val="auto"/>
              </w:rPr>
              <w:t>，</w:t>
            </w:r>
            <w:r>
              <w:rPr>
                <w:rFonts w:hint="eastAsia" w:ascii="Times New Roman" w:hAnsi="Times New Roman" w:eastAsia="宋体" w:cs="Times New Roman"/>
                <w:color w:val="auto"/>
                <w:sz w:val="24"/>
              </w:rPr>
              <w:t>热源来自设备</w:t>
            </w:r>
            <w:r>
              <w:rPr>
                <w:rFonts w:hint="eastAsia" w:cs="Times New Roman"/>
                <w:color w:val="auto"/>
                <w:sz w:val="24"/>
                <w:lang w:val="en-US" w:eastAsia="zh-CN"/>
              </w:rPr>
              <w:t>末端</w:t>
            </w:r>
            <w:r>
              <w:rPr>
                <w:rFonts w:hint="eastAsia" w:ascii="Times New Roman" w:hAnsi="Times New Roman" w:eastAsia="宋体" w:cs="Times New Roman"/>
                <w:color w:val="auto"/>
                <w:sz w:val="24"/>
              </w:rPr>
              <w:t>配套的燃烧</w:t>
            </w:r>
            <w:r>
              <w:rPr>
                <w:rFonts w:hint="eastAsia" w:cs="Times New Roman"/>
                <w:color w:val="auto"/>
                <w:sz w:val="24"/>
                <w:lang w:val="en-US" w:eastAsia="zh-CN"/>
              </w:rPr>
              <w:t>机</w:t>
            </w:r>
            <w:r>
              <w:rPr>
                <w:rFonts w:hint="eastAsia" w:ascii="Times New Roman" w:hAnsi="Times New Roman" w:eastAsia="宋体" w:cs="Times New Roman"/>
                <w:color w:val="auto"/>
                <w:sz w:val="24"/>
              </w:rPr>
              <w:t>，采用</w:t>
            </w:r>
            <w:r>
              <w:rPr>
                <w:rFonts w:hint="eastAsia" w:cs="Times New Roman"/>
                <w:color w:val="auto"/>
                <w:sz w:val="24"/>
                <w:lang w:val="en-US" w:eastAsia="zh-CN"/>
              </w:rPr>
              <w:t>柴</w:t>
            </w:r>
            <w:r>
              <w:rPr>
                <w:rFonts w:hint="eastAsia" w:ascii="Times New Roman" w:hAnsi="Times New Roman" w:eastAsia="宋体" w:cs="Times New Roman"/>
                <w:color w:val="auto"/>
                <w:sz w:val="24"/>
              </w:rPr>
              <w:t>油作为燃料，物料干燥采用直接干燥，即物料和燃烧后的热烟气直接接触，控制系统自动调节燃烧</w:t>
            </w:r>
            <w:r>
              <w:rPr>
                <w:rFonts w:hint="eastAsia" w:cs="Times New Roman"/>
                <w:color w:val="auto"/>
                <w:sz w:val="24"/>
                <w:lang w:val="en-US" w:eastAsia="zh-CN"/>
              </w:rPr>
              <w:t>机</w:t>
            </w:r>
            <w:r>
              <w:rPr>
                <w:rFonts w:hint="eastAsia" w:ascii="Times New Roman" w:hAnsi="Times New Roman" w:eastAsia="宋体" w:cs="Times New Roman"/>
                <w:color w:val="auto"/>
                <w:sz w:val="24"/>
              </w:rPr>
              <w:t>的火焰大小，从而控制物料干燥效果。</w:t>
            </w:r>
            <w:r>
              <w:rPr>
                <w:rFonts w:hint="eastAsia"/>
                <w:color w:val="auto"/>
                <w:lang w:val="en-US" w:eastAsia="zh-CN"/>
              </w:rPr>
              <w:t>该过程主要产生</w:t>
            </w:r>
            <w:r>
              <w:rPr>
                <w:rFonts w:hint="eastAsia" w:cs="Times New Roman"/>
                <w:color w:val="auto"/>
                <w:sz w:val="24"/>
                <w:lang w:val="en-US" w:eastAsia="zh-CN"/>
              </w:rPr>
              <w:t>烘干滚筒燃烧废气G2、烘干滚筒石料滚动扬尘G3、噪声N4、N5。</w:t>
            </w:r>
          </w:p>
          <w:p w14:paraId="66922EB7">
            <w:pPr>
              <w:adjustRightIn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④</w:t>
            </w:r>
            <w:r>
              <w:rPr>
                <w:rFonts w:hint="eastAsia" w:ascii="Times New Roman" w:hAnsi="Times New Roman" w:eastAsia="宋体" w:cs="Times New Roman"/>
                <w:color w:val="auto"/>
                <w:sz w:val="24"/>
                <w:lang w:val="en-US" w:eastAsia="zh-CN"/>
              </w:rPr>
              <w:t>热料筛分</w:t>
            </w:r>
          </w:p>
          <w:p w14:paraId="094CDF2E">
            <w:pPr>
              <w:adjustRightInd w:val="0"/>
              <w:spacing w:line="360" w:lineRule="auto"/>
              <w:ind w:firstLine="480" w:firstLineChars="200"/>
              <w:rPr>
                <w:rFonts w:hint="default" w:ascii="Times New Roman" w:hAnsi="Times New Roman" w:eastAsia="宋体" w:cs="Times New Roman"/>
                <w:color w:val="auto"/>
                <w:sz w:val="24"/>
                <w:lang w:val="en-US"/>
              </w:rPr>
            </w:pPr>
            <w:r>
              <w:rPr>
                <w:rFonts w:hint="eastAsia" w:ascii="Times New Roman" w:hAnsi="Times New Roman" w:eastAsia="宋体" w:cs="Times New Roman"/>
                <w:color w:val="auto"/>
                <w:sz w:val="24"/>
              </w:rPr>
              <w:t>干燥加热后的热料通过</w:t>
            </w:r>
            <w:r>
              <w:rPr>
                <w:rFonts w:hint="eastAsia" w:ascii="Times New Roman" w:hAnsi="Times New Roman" w:eastAsia="宋体" w:cs="Times New Roman"/>
                <w:color w:val="auto"/>
                <w:sz w:val="24"/>
                <w:lang w:val="en-US" w:eastAsia="zh-CN"/>
              </w:rPr>
              <w:t>热料提升机提升至</w:t>
            </w:r>
            <w:r>
              <w:rPr>
                <w:rFonts w:hint="eastAsia" w:ascii="Times New Roman" w:hAnsi="Times New Roman" w:eastAsia="宋体" w:cs="Times New Roman"/>
                <w:color w:val="auto"/>
                <w:sz w:val="24"/>
              </w:rPr>
              <w:t>振动筛分机将热骨料筛分成</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种规格，分别流进相对应的热料储仓中存储。生产中按照设定的配比，不同规格的骨料按先小后大的次序分批投入计量仓内累加计量，送至</w:t>
            </w:r>
            <w:r>
              <w:rPr>
                <w:rFonts w:hint="eastAsia" w:cs="Times New Roman"/>
                <w:color w:val="auto"/>
                <w:sz w:val="24"/>
                <w:lang w:val="en-US" w:eastAsia="zh-CN"/>
              </w:rPr>
              <w:t>拌合站</w:t>
            </w:r>
            <w:r>
              <w:rPr>
                <w:rFonts w:hint="eastAsia" w:ascii="Times New Roman" w:hAnsi="Times New Roman" w:eastAsia="宋体" w:cs="Times New Roman"/>
                <w:color w:val="auto"/>
                <w:sz w:val="24"/>
              </w:rPr>
              <w:t>的搅拌</w:t>
            </w:r>
            <w:r>
              <w:rPr>
                <w:rFonts w:hint="eastAsia" w:cs="Times New Roman"/>
                <w:color w:val="auto"/>
                <w:sz w:val="24"/>
                <w:lang w:val="en-US" w:eastAsia="zh-CN"/>
              </w:rPr>
              <w:t>器</w:t>
            </w:r>
            <w:r>
              <w:rPr>
                <w:rFonts w:hint="eastAsia" w:ascii="Times New Roman" w:hAnsi="Times New Roman" w:eastAsia="宋体" w:cs="Times New Roman"/>
                <w:color w:val="auto"/>
                <w:sz w:val="24"/>
              </w:rPr>
              <w:t>内。</w:t>
            </w:r>
            <w:r>
              <w:rPr>
                <w:rFonts w:hint="eastAsia"/>
                <w:color w:val="auto"/>
                <w:lang w:val="en-US" w:eastAsia="zh-CN"/>
              </w:rPr>
              <w:t>该过程主要产生</w:t>
            </w:r>
            <w:r>
              <w:rPr>
                <w:rFonts w:hint="eastAsia"/>
                <w:color w:val="auto"/>
                <w:highlight w:val="none"/>
                <w:lang w:val="en-US" w:eastAsia="zh-CN"/>
              </w:rPr>
              <w:t>筛</w:t>
            </w:r>
            <w:r>
              <w:rPr>
                <w:rFonts w:hint="eastAsia" w:ascii="Times New Roman" w:hAnsi="Times New Roman" w:eastAsia="宋体" w:cs="Times New Roman"/>
                <w:color w:val="auto"/>
                <w:highlight w:val="none"/>
                <w:lang w:val="en-US" w:eastAsia="zh-CN"/>
              </w:rPr>
              <w:t>分扬尘G</w:t>
            </w:r>
            <w:r>
              <w:rPr>
                <w:rFonts w:hint="eastAsia" w:cs="Times New Roman"/>
                <w:color w:val="auto"/>
                <w:sz w:val="24"/>
                <w:lang w:val="en-US" w:eastAsia="zh-CN"/>
              </w:rPr>
              <w:t>4、提升噪声N6、筛分噪声N7</w:t>
            </w:r>
            <w:r>
              <w:rPr>
                <w:rFonts w:hint="eastAsia"/>
                <w:color w:val="auto"/>
                <w:lang w:val="en-US" w:eastAsia="zh-CN"/>
              </w:rPr>
              <w:t>。</w:t>
            </w:r>
          </w:p>
          <w:p w14:paraId="00B93E63">
            <w:pPr>
              <w:adjustRightIn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⑤沥青</w:t>
            </w:r>
            <w:r>
              <w:rPr>
                <w:rFonts w:hint="eastAsia" w:ascii="Times New Roman" w:hAnsi="Times New Roman" w:eastAsia="宋体" w:cs="Times New Roman"/>
                <w:color w:val="auto"/>
                <w:sz w:val="24"/>
                <w:lang w:val="en-US" w:eastAsia="zh-CN"/>
              </w:rPr>
              <w:t>预处理及</w:t>
            </w:r>
            <w:r>
              <w:rPr>
                <w:rFonts w:hint="eastAsia" w:ascii="Times New Roman" w:hAnsi="Times New Roman" w:eastAsia="宋体" w:cs="Times New Roman"/>
                <w:color w:val="auto"/>
                <w:sz w:val="24"/>
              </w:rPr>
              <w:t>进料</w:t>
            </w:r>
          </w:p>
          <w:p w14:paraId="0360084A">
            <w:pPr>
              <w:adjustRightIn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沥青通过罐车卸入密闭沥青</w:t>
            </w:r>
            <w:r>
              <w:rPr>
                <w:rFonts w:hint="eastAsia" w:ascii="Times New Roman" w:hAnsi="Times New Roman" w:eastAsia="宋体" w:cs="Times New Roman"/>
                <w:color w:val="auto"/>
                <w:sz w:val="24"/>
                <w:lang w:val="en-US" w:eastAsia="zh-CN"/>
              </w:rPr>
              <w:t>储</w:t>
            </w:r>
            <w:r>
              <w:rPr>
                <w:rFonts w:hint="eastAsia" w:ascii="Times New Roman" w:hAnsi="Times New Roman" w:eastAsia="宋体" w:cs="Times New Roman"/>
                <w:color w:val="auto"/>
                <w:sz w:val="24"/>
              </w:rPr>
              <w:t>罐中，</w:t>
            </w:r>
            <w:r>
              <w:rPr>
                <w:rFonts w:hint="eastAsia" w:ascii="Times New Roman" w:hAnsi="Times New Roman" w:eastAsia="宋体" w:cs="Times New Roman"/>
                <w:color w:val="auto"/>
                <w:sz w:val="24"/>
                <w:lang w:val="en-US" w:eastAsia="zh-CN"/>
              </w:rPr>
              <w:t>有机热载体炉采用</w:t>
            </w:r>
            <w:r>
              <w:rPr>
                <w:rFonts w:hint="eastAsia" w:cs="Times New Roman"/>
                <w:color w:val="auto"/>
                <w:sz w:val="24"/>
                <w:lang w:val="en-US" w:eastAsia="zh-CN"/>
              </w:rPr>
              <w:t>柴</w:t>
            </w:r>
            <w:r>
              <w:rPr>
                <w:rFonts w:hint="eastAsia" w:ascii="Times New Roman" w:hAnsi="Times New Roman" w:eastAsia="宋体" w:cs="Times New Roman"/>
                <w:color w:val="auto"/>
                <w:sz w:val="24"/>
                <w:lang w:val="en-US" w:eastAsia="zh-CN"/>
              </w:rPr>
              <w:t>油作为燃料，加热导热油</w:t>
            </w:r>
            <w:r>
              <w:rPr>
                <w:rFonts w:hint="eastAsia" w:ascii="Times New Roman" w:hAnsi="Times New Roman" w:eastAsia="宋体" w:cs="Times New Roman"/>
                <w:color w:val="auto"/>
                <w:sz w:val="24"/>
              </w:rPr>
              <w:t>，使储存在</w:t>
            </w:r>
            <w:r>
              <w:rPr>
                <w:rFonts w:hint="eastAsia" w:ascii="Times New Roman" w:hAnsi="Times New Roman" w:eastAsia="宋体" w:cs="Times New Roman"/>
                <w:color w:val="auto"/>
                <w:sz w:val="24"/>
                <w:lang w:val="en-US" w:eastAsia="zh-CN"/>
              </w:rPr>
              <w:t>有机热载体炉中</w:t>
            </w:r>
            <w:r>
              <w:rPr>
                <w:rFonts w:hint="eastAsia" w:ascii="Times New Roman" w:hAnsi="Times New Roman" w:eastAsia="宋体" w:cs="Times New Roman"/>
                <w:color w:val="auto"/>
                <w:sz w:val="24"/>
              </w:rPr>
              <w:t>的导热油升温传热给沥青储罐，沥青储罐中的沥青接收热能后温度稳定</w:t>
            </w:r>
            <w:r>
              <w:rPr>
                <w:rFonts w:hint="default" w:ascii="Times New Roman" w:hAnsi="Times New Roman" w:eastAsia="宋体" w:cs="Times New Roman"/>
                <w:color w:val="auto"/>
                <w:sz w:val="24"/>
              </w:rPr>
              <w:t>在</w:t>
            </w:r>
            <w:r>
              <w:rPr>
                <w:rFonts w:hint="default" w:ascii="Times New Roman" w:hAnsi="Times New Roman" w:eastAsia="宋体" w:cs="Times New Roman"/>
                <w:color w:val="auto"/>
                <w:sz w:val="24"/>
                <w:lang w:val="en-US" w:eastAsia="zh-CN"/>
              </w:rPr>
              <w:t>150</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rPr>
              <w:t>0℃</w:t>
            </w:r>
            <w:r>
              <w:rPr>
                <w:rFonts w:hint="eastAsia" w:ascii="Times New Roman" w:hAnsi="Times New Roman" w:eastAsia="宋体" w:cs="Times New Roman"/>
                <w:color w:val="auto"/>
                <w:sz w:val="24"/>
              </w:rPr>
              <w:t>内时</w:t>
            </w:r>
            <w:r>
              <w:rPr>
                <w:rFonts w:hint="eastAsia" w:ascii="Times New Roman" w:hAnsi="Times New Roman" w:eastAsia="宋体" w:cs="Times New Roman"/>
                <w:color w:val="auto"/>
                <w:sz w:val="24"/>
                <w:lang w:val="en-US" w:eastAsia="zh-CN"/>
              </w:rPr>
              <w:t>由</w:t>
            </w:r>
            <w:r>
              <w:rPr>
                <w:rFonts w:hint="eastAsia" w:ascii="Times New Roman" w:hAnsi="Times New Roman" w:eastAsia="宋体" w:cs="Times New Roman"/>
                <w:color w:val="auto"/>
                <w:sz w:val="24"/>
              </w:rPr>
              <w:t>沥青泵至</w:t>
            </w:r>
            <w:r>
              <w:rPr>
                <w:rFonts w:hint="eastAsia" w:ascii="Times New Roman" w:hAnsi="Times New Roman" w:eastAsia="宋体" w:cs="Times New Roman"/>
                <w:color w:val="auto"/>
                <w:sz w:val="24"/>
                <w:lang w:val="en-US" w:eastAsia="zh-CN"/>
              </w:rPr>
              <w:t>计量仓</w:t>
            </w:r>
            <w:r>
              <w:rPr>
                <w:rFonts w:hint="eastAsia" w:ascii="Times New Roman" w:hAnsi="Times New Roman" w:eastAsia="宋体" w:cs="Times New Roman"/>
                <w:color w:val="auto"/>
                <w:sz w:val="24"/>
              </w:rPr>
              <w:t>内</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按一定的配合比分重量后通过密闭的输送管道送入</w:t>
            </w:r>
            <w:r>
              <w:rPr>
                <w:rFonts w:hint="eastAsia" w:cs="Times New Roman"/>
                <w:color w:val="auto"/>
                <w:sz w:val="24"/>
                <w:lang w:val="en-US" w:eastAsia="zh-CN"/>
              </w:rPr>
              <w:t>拌合站</w:t>
            </w:r>
            <w:r>
              <w:rPr>
                <w:rFonts w:hint="eastAsia" w:ascii="Times New Roman" w:hAnsi="Times New Roman" w:eastAsia="宋体" w:cs="Times New Roman"/>
                <w:color w:val="auto"/>
                <w:sz w:val="24"/>
              </w:rPr>
              <w:t>的搅拌</w:t>
            </w:r>
            <w:r>
              <w:rPr>
                <w:rFonts w:hint="eastAsia" w:cs="Times New Roman"/>
                <w:color w:val="auto"/>
                <w:sz w:val="24"/>
                <w:lang w:val="en-US" w:eastAsia="zh-CN"/>
              </w:rPr>
              <w:t>器</w:t>
            </w:r>
            <w:r>
              <w:rPr>
                <w:rFonts w:hint="eastAsia" w:ascii="Times New Roman" w:hAnsi="Times New Roman" w:eastAsia="宋体" w:cs="Times New Roman"/>
                <w:color w:val="auto"/>
                <w:sz w:val="24"/>
              </w:rPr>
              <w:t>内。</w:t>
            </w:r>
            <w:r>
              <w:rPr>
                <w:rFonts w:hint="eastAsia"/>
                <w:color w:val="auto"/>
                <w:lang w:val="en-US" w:eastAsia="zh-CN"/>
              </w:rPr>
              <w:t>该过程主要产生沥青罐加热废气G5。</w:t>
            </w:r>
          </w:p>
          <w:p w14:paraId="3777197A">
            <w:pPr>
              <w:adjustRightInd w:val="0"/>
              <w:spacing w:line="360" w:lineRule="auto"/>
              <w:ind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⑥搅拌</w:t>
            </w:r>
          </w:p>
          <w:p w14:paraId="4B5D5C98">
            <w:pPr>
              <w:adjustRightInd w:val="0"/>
              <w:spacing w:line="360" w:lineRule="auto"/>
              <w:ind w:firstLine="480" w:firstLineChars="200"/>
              <w:rPr>
                <w:rFonts w:ascii="Times New Roman" w:hAnsi="Times New Roman" w:eastAsia="宋体" w:cs="Times New Roman"/>
                <w:color w:val="auto"/>
                <w:sz w:val="24"/>
              </w:rPr>
            </w:pPr>
            <w:r>
              <w:rPr>
                <w:rFonts w:hint="eastAsia"/>
                <w:b w:val="0"/>
                <w:bCs w:val="0"/>
                <w:color w:val="auto"/>
                <w:lang w:val="en-US" w:eastAsia="zh-CN"/>
              </w:rPr>
              <w:t>按照配比进入搅拌器内的骨料、矿粉、沥青在搅拌器内</w:t>
            </w:r>
            <w:r>
              <w:rPr>
                <w:rFonts w:hint="eastAsia"/>
                <w:b w:val="0"/>
                <w:bCs w:val="0"/>
                <w:color w:val="auto"/>
              </w:rPr>
              <w:t>混合搅拌</w:t>
            </w:r>
            <w:r>
              <w:rPr>
                <w:rFonts w:hint="eastAsia"/>
                <w:color w:val="auto"/>
              </w:rPr>
              <w:t>，制成成品</w:t>
            </w:r>
            <w:r>
              <w:rPr>
                <w:rFonts w:hint="eastAsia"/>
                <w:color w:val="auto"/>
                <w:lang w:eastAsia="zh-CN"/>
              </w:rPr>
              <w:t>。</w:t>
            </w:r>
            <w:r>
              <w:rPr>
                <w:rFonts w:hint="eastAsia"/>
                <w:color w:val="auto"/>
                <w:lang w:val="en-US" w:eastAsia="zh-CN"/>
              </w:rPr>
              <w:t>搅拌过程密闭生产，该过程主要有沥青罐搅拌废气G5、搅拌噪声</w:t>
            </w:r>
            <w:r>
              <w:rPr>
                <w:rFonts w:hint="eastAsia" w:cs="Times New Roman"/>
                <w:color w:val="auto"/>
                <w:sz w:val="24"/>
                <w:lang w:val="en-US" w:eastAsia="zh-CN"/>
              </w:rPr>
              <w:t>N9、</w:t>
            </w:r>
            <w:r>
              <w:rPr>
                <w:rFonts w:hint="eastAsia" w:ascii="宋体" w:hAnsi="宋体"/>
                <w:color w:val="auto"/>
                <w:sz w:val="24"/>
                <w:szCs w:val="24"/>
                <w:lang w:val="zh-CN"/>
              </w:rPr>
              <w:t>滴漏沥青及拌合残</w:t>
            </w:r>
            <w:r>
              <w:rPr>
                <w:rFonts w:hint="default" w:ascii="Times New Roman" w:hAnsi="Times New Roman" w:cs="Times New Roman"/>
                <w:color w:val="auto"/>
                <w:sz w:val="24"/>
                <w:szCs w:val="24"/>
                <w:lang w:val="zh-CN"/>
              </w:rPr>
              <w:t>渣</w:t>
            </w:r>
            <w:r>
              <w:rPr>
                <w:rFonts w:hint="default" w:ascii="Times New Roman" w:hAnsi="Times New Roman" w:cs="Times New Roman"/>
                <w:color w:val="auto"/>
                <w:sz w:val="24"/>
                <w:szCs w:val="24"/>
                <w:lang w:val="en-US" w:eastAsia="zh-CN"/>
              </w:rPr>
              <w:t>S3</w:t>
            </w:r>
            <w:r>
              <w:rPr>
                <w:rFonts w:hint="eastAsia" w:ascii="Times New Roman" w:hAnsi="Times New Roman" w:eastAsia="宋体" w:cs="Times New Roman"/>
                <w:color w:val="auto"/>
                <w:sz w:val="24"/>
              </w:rPr>
              <w:t>。</w:t>
            </w:r>
          </w:p>
          <w:p w14:paraId="0B79416C">
            <w:pPr>
              <w:adjustRightIn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⑦放料</w:t>
            </w:r>
            <w:r>
              <w:rPr>
                <w:rFonts w:hint="eastAsia" w:cs="Times New Roman"/>
                <w:color w:val="auto"/>
                <w:sz w:val="24"/>
                <w:lang w:val="en-US" w:eastAsia="zh-CN"/>
              </w:rPr>
              <w:t>装车</w:t>
            </w:r>
          </w:p>
          <w:p w14:paraId="379C0E73">
            <w:pPr>
              <w:adjustRightInd w:val="0"/>
              <w:spacing w:line="360" w:lineRule="auto"/>
              <w:ind w:firstLine="480" w:firstLineChars="200"/>
              <w:rPr>
                <w:rFonts w:ascii="Times New Roman" w:hAnsi="Times New Roman" w:eastAsia="宋体" w:cs="Times New Roman"/>
                <w:color w:val="auto"/>
                <w:sz w:val="24"/>
              </w:rPr>
            </w:pPr>
            <w:r>
              <w:rPr>
                <w:rFonts w:hint="eastAsia"/>
                <w:color w:val="auto"/>
              </w:rPr>
              <w:t>项目不设置成品仓库，</w:t>
            </w:r>
            <w:r>
              <w:rPr>
                <w:rFonts w:hint="eastAsia"/>
                <w:color w:val="auto"/>
                <w:lang w:val="en-US" w:eastAsia="zh-CN"/>
              </w:rPr>
              <w:t>搅拌器搅拌完成后</w:t>
            </w:r>
            <w:r>
              <w:rPr>
                <w:rFonts w:hint="eastAsia"/>
                <w:color w:val="auto"/>
              </w:rPr>
              <w:t>，成品短暂存放在搅拌</w:t>
            </w:r>
            <w:r>
              <w:rPr>
                <w:rFonts w:hint="eastAsia"/>
                <w:color w:val="auto"/>
                <w:lang w:val="en-US" w:eastAsia="zh-CN"/>
              </w:rPr>
              <w:t>器</w:t>
            </w:r>
            <w:r>
              <w:rPr>
                <w:rFonts w:hint="eastAsia"/>
                <w:color w:val="auto"/>
              </w:rPr>
              <w:t>内，</w:t>
            </w:r>
            <w:r>
              <w:rPr>
                <w:rFonts w:hint="eastAsia"/>
                <w:color w:val="auto"/>
                <w:lang w:val="en-US" w:eastAsia="zh-CN"/>
              </w:rPr>
              <w:t>经下料口</w:t>
            </w:r>
            <w:r>
              <w:rPr>
                <w:rFonts w:hint="eastAsia"/>
                <w:color w:val="auto"/>
              </w:rPr>
              <w:t>下放至运输车辆</w:t>
            </w:r>
            <w:r>
              <w:rPr>
                <w:rFonts w:hint="eastAsia"/>
                <w:color w:val="auto"/>
                <w:lang w:eastAsia="zh-CN"/>
              </w:rPr>
              <w:t>（</w:t>
            </w:r>
            <w:r>
              <w:rPr>
                <w:rFonts w:hint="eastAsia"/>
                <w:color w:val="auto"/>
                <w:lang w:val="en-US" w:eastAsia="zh-CN"/>
              </w:rPr>
              <w:t>罐车，保温</w:t>
            </w:r>
            <w:r>
              <w:rPr>
                <w:rFonts w:hint="eastAsia"/>
                <w:color w:val="auto"/>
                <w:lang w:eastAsia="zh-CN"/>
              </w:rPr>
              <w:t>）</w:t>
            </w:r>
            <w:r>
              <w:rPr>
                <w:rFonts w:hint="eastAsia"/>
                <w:color w:val="auto"/>
              </w:rPr>
              <w:t>出厂</w:t>
            </w:r>
            <w:r>
              <w:rPr>
                <w:rFonts w:hint="eastAsia"/>
                <w:color w:val="auto"/>
                <w:lang w:val="en-US" w:eastAsia="zh-CN"/>
              </w:rPr>
              <w:t>，该过程主要产生沥青罐出料口逸散废气G5</w:t>
            </w:r>
            <w:r>
              <w:rPr>
                <w:rFonts w:hint="eastAsia" w:ascii="Times New Roman" w:hAnsi="Times New Roman" w:eastAsia="宋体" w:cs="Times New Roman"/>
                <w:color w:val="auto"/>
                <w:sz w:val="24"/>
              </w:rPr>
              <w:t>。</w:t>
            </w:r>
          </w:p>
          <w:p w14:paraId="563FF78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color w:val="auto"/>
                <w:lang w:val="en-US" w:eastAsia="zh-CN"/>
              </w:rPr>
            </w:pPr>
            <w:r>
              <w:rPr>
                <w:rFonts w:hint="default"/>
                <w:color w:val="auto"/>
                <w:lang w:val="en-US" w:eastAsia="zh-CN"/>
              </w:rPr>
              <w:t>项目产污环节及污染治理措施汇总如下：</w:t>
            </w:r>
          </w:p>
          <w:p w14:paraId="7B59C82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b/>
                <w:bCs/>
                <w:color w:val="auto"/>
                <w:sz w:val="21"/>
                <w:szCs w:val="21"/>
                <w:lang w:val="en-US" w:eastAsia="zh-CN"/>
              </w:rPr>
            </w:pPr>
            <w:r>
              <w:rPr>
                <w:rFonts w:hint="default"/>
                <w:b/>
                <w:bCs/>
                <w:color w:val="auto"/>
                <w:sz w:val="21"/>
                <w:szCs w:val="21"/>
                <w:lang w:val="en-US" w:eastAsia="zh-CN"/>
              </w:rPr>
              <w:t>表2-</w:t>
            </w:r>
            <w:r>
              <w:rPr>
                <w:rFonts w:hint="eastAsia"/>
                <w:b/>
                <w:bCs/>
                <w:color w:val="auto"/>
                <w:sz w:val="21"/>
                <w:szCs w:val="21"/>
                <w:lang w:val="en-US" w:eastAsia="zh-CN"/>
              </w:rPr>
              <w:t xml:space="preserve">8  </w:t>
            </w:r>
            <w:r>
              <w:rPr>
                <w:rFonts w:hint="default"/>
                <w:b/>
                <w:bCs/>
                <w:color w:val="auto"/>
                <w:sz w:val="21"/>
                <w:szCs w:val="21"/>
                <w:lang w:val="en-US" w:eastAsia="zh-CN"/>
              </w:rPr>
              <w:t>运营期主要污染工序一览表</w:t>
            </w:r>
          </w:p>
          <w:tbl>
            <w:tblPr>
              <w:tblStyle w:val="16"/>
              <w:tblW w:w="8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47"/>
              <w:gridCol w:w="1986"/>
              <w:gridCol w:w="2390"/>
              <w:gridCol w:w="2354"/>
            </w:tblGrid>
            <w:tr w14:paraId="7449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66" w:type="dxa"/>
                  <w:vAlign w:val="center"/>
                </w:tcPr>
                <w:p w14:paraId="2495100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污染类别</w:t>
                  </w:r>
                </w:p>
              </w:tc>
              <w:tc>
                <w:tcPr>
                  <w:tcW w:w="847" w:type="dxa"/>
                  <w:vAlign w:val="center"/>
                </w:tcPr>
                <w:p w14:paraId="518F04D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986" w:type="dxa"/>
                  <w:vAlign w:val="center"/>
                </w:tcPr>
                <w:p w14:paraId="39B463A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产污环节</w:t>
                  </w:r>
                </w:p>
              </w:tc>
              <w:tc>
                <w:tcPr>
                  <w:tcW w:w="2390" w:type="dxa"/>
                  <w:vAlign w:val="center"/>
                </w:tcPr>
                <w:p w14:paraId="58359E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主要污染物</w:t>
                  </w:r>
                </w:p>
              </w:tc>
              <w:tc>
                <w:tcPr>
                  <w:tcW w:w="2354" w:type="dxa"/>
                  <w:vAlign w:val="center"/>
                </w:tcPr>
                <w:p w14:paraId="04F7B65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治理措施</w:t>
                  </w:r>
                </w:p>
              </w:tc>
            </w:tr>
            <w:tr w14:paraId="163F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restart"/>
                  <w:vAlign w:val="center"/>
                </w:tcPr>
                <w:p w14:paraId="08321C5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w:t>
                  </w:r>
                </w:p>
              </w:tc>
              <w:tc>
                <w:tcPr>
                  <w:tcW w:w="847" w:type="dxa"/>
                  <w:vAlign w:val="center"/>
                </w:tcPr>
                <w:p w14:paraId="15872B3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cs="Times New Roman"/>
                      <w:b/>
                      <w:bCs/>
                      <w:color w:val="auto"/>
                      <w:sz w:val="21"/>
                      <w:szCs w:val="21"/>
                      <w:vertAlign w:val="baseline"/>
                      <w:lang w:val="en-US" w:eastAsia="zh-CN"/>
                    </w:rPr>
                  </w:pPr>
                  <w:r>
                    <w:rPr>
                      <w:rFonts w:hint="eastAsia" w:cs="Times New Roman"/>
                      <w:b w:val="0"/>
                      <w:bCs w:val="0"/>
                      <w:color w:val="auto"/>
                      <w:sz w:val="21"/>
                      <w:szCs w:val="21"/>
                      <w:lang w:val="en-US" w:eastAsia="zh-CN"/>
                    </w:rPr>
                    <w:t>G1</w:t>
                  </w:r>
                </w:p>
              </w:tc>
              <w:tc>
                <w:tcPr>
                  <w:tcW w:w="1986" w:type="dxa"/>
                  <w:vAlign w:val="center"/>
                </w:tcPr>
                <w:p w14:paraId="6893C5A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val="0"/>
                      <w:bCs w:val="0"/>
                      <w:color w:val="auto"/>
                      <w:sz w:val="21"/>
                      <w:szCs w:val="21"/>
                      <w:vertAlign w:val="baseline"/>
                      <w:lang w:val="en-US" w:eastAsia="zh-CN"/>
                    </w:rPr>
                    <w:t>上料扬尘</w:t>
                  </w:r>
                </w:p>
              </w:tc>
              <w:tc>
                <w:tcPr>
                  <w:tcW w:w="2390" w:type="dxa"/>
                  <w:vAlign w:val="center"/>
                </w:tcPr>
                <w:p w14:paraId="3D0AEA2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color w:val="auto"/>
                      <w:sz w:val="21"/>
                      <w:szCs w:val="21"/>
                      <w:lang w:val="en-US" w:eastAsia="zh-CN"/>
                    </w:rPr>
                    <w:t>颗粒物</w:t>
                  </w:r>
                </w:p>
              </w:tc>
              <w:tc>
                <w:tcPr>
                  <w:tcW w:w="2354" w:type="dxa"/>
                  <w:vAlign w:val="center"/>
                </w:tcPr>
                <w:p w14:paraId="51407A5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cs="Times New Roman"/>
                      <w:b w:val="0"/>
                      <w:bCs w:val="0"/>
                      <w:color w:val="auto"/>
                      <w:sz w:val="21"/>
                      <w:szCs w:val="21"/>
                      <w:lang w:val="en-US" w:eastAsia="zh-CN"/>
                    </w:rPr>
                    <w:t>投料口上方设置集气罩，投料废气经集气罩收集通过管道与烘干废气一起进入“旋风除尘器+布袋除尘器”处理</w:t>
                  </w:r>
                  <w:r>
                    <w:rPr>
                      <w:rFonts w:hint="eastAsia" w:cs="Times New Roman"/>
                      <w:color w:val="auto"/>
                      <w:sz w:val="21"/>
                      <w:szCs w:val="21"/>
                      <w:lang w:val="en-US" w:eastAsia="zh-CN"/>
                    </w:rPr>
                    <w:t>后通过1根15m高、直径约0.5m的排气筒（DA001）排放</w:t>
                  </w:r>
                  <w:r>
                    <w:rPr>
                      <w:rFonts w:hint="eastAsia" w:cs="Times New Roman"/>
                      <w:b w:val="0"/>
                      <w:bCs w:val="0"/>
                      <w:color w:val="auto"/>
                      <w:sz w:val="21"/>
                      <w:szCs w:val="21"/>
                      <w:lang w:val="en-US" w:eastAsia="zh-CN"/>
                    </w:rPr>
                    <w:t>。</w:t>
                  </w:r>
                </w:p>
              </w:tc>
            </w:tr>
            <w:tr w14:paraId="2081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continue"/>
                  <w:vAlign w:val="center"/>
                </w:tcPr>
                <w:p w14:paraId="0041A8A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847" w:type="dxa"/>
                  <w:vAlign w:val="center"/>
                </w:tcPr>
                <w:p w14:paraId="625D73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G2</w:t>
                  </w:r>
                </w:p>
              </w:tc>
              <w:tc>
                <w:tcPr>
                  <w:tcW w:w="1986" w:type="dxa"/>
                  <w:vAlign w:val="center"/>
                </w:tcPr>
                <w:p w14:paraId="52C411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烘干滚筒燃烧废气</w:t>
                  </w:r>
                </w:p>
              </w:tc>
              <w:tc>
                <w:tcPr>
                  <w:tcW w:w="2390" w:type="dxa"/>
                  <w:vAlign w:val="center"/>
                </w:tcPr>
                <w:p w14:paraId="09CF8375">
                  <w:pPr>
                    <w:keepNext/>
                    <w:spacing w:line="36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颗粒物、SO</w:t>
                  </w:r>
                  <w:r>
                    <w:rPr>
                      <w:rFonts w:hint="eastAsia"/>
                      <w:color w:val="auto"/>
                      <w:sz w:val="21"/>
                      <w:szCs w:val="21"/>
                      <w:vertAlign w:val="subscript"/>
                      <w:lang w:val="en-US" w:eastAsia="zh-CN"/>
                    </w:rPr>
                    <w:t>2</w:t>
                  </w:r>
                  <w:r>
                    <w:rPr>
                      <w:rFonts w:hint="eastAsia"/>
                      <w:color w:val="auto"/>
                      <w:sz w:val="21"/>
                      <w:szCs w:val="21"/>
                      <w:lang w:val="en-US" w:eastAsia="zh-CN"/>
                    </w:rPr>
                    <w:t>、NO</w:t>
                  </w:r>
                  <w:r>
                    <w:rPr>
                      <w:rFonts w:hint="eastAsia"/>
                      <w:color w:val="auto"/>
                      <w:sz w:val="21"/>
                      <w:szCs w:val="21"/>
                      <w:vertAlign w:val="subscript"/>
                      <w:lang w:val="en-US" w:eastAsia="zh-CN"/>
                    </w:rPr>
                    <w:t>X</w:t>
                  </w:r>
                </w:p>
              </w:tc>
              <w:tc>
                <w:tcPr>
                  <w:tcW w:w="2354" w:type="dxa"/>
                  <w:vMerge w:val="restart"/>
                  <w:vAlign w:val="center"/>
                </w:tcPr>
                <w:p w14:paraId="522A2ED8">
                  <w:pPr>
                    <w:keepNext/>
                    <w:spacing w:line="360" w:lineRule="exact"/>
                    <w:ind w:firstLine="0" w:firstLineChars="0"/>
                    <w:jc w:val="center"/>
                    <w:rPr>
                      <w:rFonts w:hint="eastAsia" w:ascii="宋体" w:hAnsi="宋体" w:eastAsia="宋体" w:cs="宋体"/>
                      <w:color w:val="auto"/>
                      <w:sz w:val="21"/>
                      <w:szCs w:val="21"/>
                      <w:vertAlign w:val="baseline"/>
                      <w:lang w:val="en-US" w:eastAsia="zh-CN"/>
                    </w:rPr>
                  </w:pPr>
                  <w:r>
                    <w:rPr>
                      <w:rFonts w:hint="eastAsia" w:cs="Times New Roman"/>
                      <w:b w:val="0"/>
                      <w:bCs w:val="0"/>
                      <w:color w:val="auto"/>
                      <w:sz w:val="21"/>
                      <w:szCs w:val="21"/>
                      <w:vertAlign w:val="baseline"/>
                      <w:lang w:val="en-US" w:eastAsia="zh-CN"/>
                    </w:rPr>
                    <w:t>经集气罩收集进入</w:t>
                  </w:r>
                  <w:r>
                    <w:rPr>
                      <w:rFonts w:hint="eastAsia" w:cs="Times New Roman"/>
                      <w:color w:val="auto"/>
                      <w:sz w:val="21"/>
                      <w:szCs w:val="21"/>
                      <w:vertAlign w:val="baseline"/>
                      <w:lang w:val="en-US" w:eastAsia="zh-CN"/>
                    </w:rPr>
                    <w:t>“旋风除尘器+布袋除尘器”</w:t>
                  </w:r>
                  <w:r>
                    <w:rPr>
                      <w:rFonts w:hint="eastAsia" w:ascii="宋体" w:hAnsi="宋体" w:eastAsia="宋体" w:cs="宋体"/>
                      <w:color w:val="auto"/>
                      <w:sz w:val="21"/>
                      <w:szCs w:val="21"/>
                      <w:vertAlign w:val="baseline"/>
                      <w:lang w:val="en-US" w:eastAsia="zh-CN"/>
                    </w:rPr>
                    <w:t>处理后经1</w:t>
                  </w:r>
                  <w:r>
                    <w:rPr>
                      <w:rFonts w:hint="default" w:ascii="Times New Roman" w:hAnsi="Times New Roman" w:eastAsia="宋体" w:cs="Times New Roman"/>
                      <w:color w:val="auto"/>
                      <w:sz w:val="21"/>
                      <w:szCs w:val="21"/>
                      <w:vertAlign w:val="baseline"/>
                      <w:lang w:val="en-US" w:eastAsia="zh-CN"/>
                    </w:rPr>
                    <w:t>根15m排气筒（DA00</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排放</w:t>
                  </w:r>
                </w:p>
              </w:tc>
            </w:tr>
            <w:tr w14:paraId="6DB4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continue"/>
                  <w:vAlign w:val="center"/>
                </w:tcPr>
                <w:p w14:paraId="3BFE8C3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847" w:type="dxa"/>
                  <w:vAlign w:val="center"/>
                </w:tcPr>
                <w:p w14:paraId="2EF0BA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vertAlign w:val="baseline"/>
                      <w:lang w:val="en-US" w:eastAsia="zh-CN"/>
                    </w:rPr>
                    <w:t>G3</w:t>
                  </w:r>
                </w:p>
              </w:tc>
              <w:tc>
                <w:tcPr>
                  <w:tcW w:w="1986" w:type="dxa"/>
                  <w:vAlign w:val="center"/>
                </w:tcPr>
                <w:p w14:paraId="29C026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烘干滚筒石料滚动扬尘</w:t>
                  </w:r>
                </w:p>
              </w:tc>
              <w:tc>
                <w:tcPr>
                  <w:tcW w:w="2390" w:type="dxa"/>
                  <w:vAlign w:val="center"/>
                </w:tcPr>
                <w:p w14:paraId="0DD7C5C9">
                  <w:pPr>
                    <w:keepNext/>
                    <w:spacing w:line="36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颗粒物</w:t>
                  </w:r>
                </w:p>
              </w:tc>
              <w:tc>
                <w:tcPr>
                  <w:tcW w:w="2354" w:type="dxa"/>
                  <w:vMerge w:val="continue"/>
                  <w:vAlign w:val="center"/>
                </w:tcPr>
                <w:p w14:paraId="71CE5B40">
                  <w:pPr>
                    <w:keepNext/>
                    <w:spacing w:line="360" w:lineRule="exact"/>
                    <w:ind w:firstLine="0" w:firstLineChars="0"/>
                    <w:jc w:val="center"/>
                    <w:rPr>
                      <w:rFonts w:hint="eastAsia" w:ascii="宋体" w:hAnsi="宋体" w:eastAsia="宋体" w:cs="宋体"/>
                      <w:color w:val="auto"/>
                      <w:sz w:val="21"/>
                      <w:szCs w:val="21"/>
                      <w:vertAlign w:val="baseline"/>
                      <w:lang w:val="en-US" w:eastAsia="zh-CN"/>
                    </w:rPr>
                  </w:pPr>
                </w:p>
              </w:tc>
            </w:tr>
            <w:tr w14:paraId="0E77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continue"/>
                  <w:vAlign w:val="center"/>
                </w:tcPr>
                <w:p w14:paraId="21EC955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847" w:type="dxa"/>
                  <w:vAlign w:val="center"/>
                </w:tcPr>
                <w:p w14:paraId="0E6A88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G4</w:t>
                  </w:r>
                </w:p>
              </w:tc>
              <w:tc>
                <w:tcPr>
                  <w:tcW w:w="1986" w:type="dxa"/>
                  <w:shd w:val="clear" w:color="auto" w:fill="auto"/>
                  <w:vAlign w:val="center"/>
                </w:tcPr>
                <w:p w14:paraId="292830B4">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筛分扬尘</w:t>
                  </w:r>
                </w:p>
              </w:tc>
              <w:tc>
                <w:tcPr>
                  <w:tcW w:w="2390" w:type="dxa"/>
                  <w:shd w:val="clear" w:color="auto" w:fill="auto"/>
                  <w:vAlign w:val="center"/>
                </w:tcPr>
                <w:p w14:paraId="087015E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颗粒物</w:t>
                  </w:r>
                </w:p>
              </w:tc>
              <w:tc>
                <w:tcPr>
                  <w:tcW w:w="2354" w:type="dxa"/>
                  <w:vAlign w:val="center"/>
                </w:tcPr>
                <w:p w14:paraId="733AEB85">
                  <w:pPr>
                    <w:keepNext/>
                    <w:spacing w:line="360" w:lineRule="exact"/>
                    <w:ind w:firstLine="0" w:firstLineChars="0"/>
                    <w:jc w:val="center"/>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经管道收集进入</w:t>
                  </w:r>
                  <w:r>
                    <w:rPr>
                      <w:rFonts w:hint="eastAsia" w:cs="Times New Roman"/>
                      <w:color w:val="auto"/>
                      <w:sz w:val="21"/>
                      <w:szCs w:val="21"/>
                      <w:vertAlign w:val="baseline"/>
                      <w:lang w:val="en-US" w:eastAsia="zh-CN"/>
                    </w:rPr>
                    <w:t>“旋风除尘器+布袋除尘器”</w:t>
                  </w:r>
                  <w:r>
                    <w:rPr>
                      <w:rFonts w:hint="eastAsia" w:ascii="宋体" w:hAnsi="宋体" w:eastAsia="宋体" w:cs="宋体"/>
                      <w:color w:val="auto"/>
                      <w:sz w:val="21"/>
                      <w:szCs w:val="21"/>
                      <w:vertAlign w:val="baseline"/>
                      <w:lang w:val="en-US" w:eastAsia="zh-CN"/>
                    </w:rPr>
                    <w:t>处理后经1</w:t>
                  </w:r>
                  <w:r>
                    <w:rPr>
                      <w:rFonts w:hint="default" w:ascii="Times New Roman" w:hAnsi="Times New Roman" w:eastAsia="宋体" w:cs="Times New Roman"/>
                      <w:color w:val="auto"/>
                      <w:sz w:val="21"/>
                      <w:szCs w:val="21"/>
                      <w:vertAlign w:val="baseline"/>
                      <w:lang w:val="en-US" w:eastAsia="zh-CN"/>
                    </w:rPr>
                    <w:t>根15m排气筒（DA00</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排放</w:t>
                  </w:r>
                </w:p>
              </w:tc>
            </w:tr>
            <w:tr w14:paraId="463D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continue"/>
                  <w:vAlign w:val="center"/>
                </w:tcPr>
                <w:p w14:paraId="49929B7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847" w:type="dxa"/>
                  <w:vAlign w:val="center"/>
                </w:tcPr>
                <w:p w14:paraId="165C61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G5</w:t>
                  </w:r>
                </w:p>
              </w:tc>
              <w:tc>
                <w:tcPr>
                  <w:tcW w:w="1986" w:type="dxa"/>
                  <w:shd w:val="clear" w:color="auto" w:fill="auto"/>
                  <w:vAlign w:val="center"/>
                </w:tcPr>
                <w:p w14:paraId="4CF0B9BE">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沥青罐加热、搅拌和</w:t>
                  </w:r>
                  <w:r>
                    <w:rPr>
                      <w:rFonts w:hint="eastAsia" w:ascii="Times New Roman" w:hAnsi="Times New Roman" w:eastAsia="宋体" w:cs="Times New Roman"/>
                      <w:color w:val="auto"/>
                      <w:sz w:val="21"/>
                      <w:szCs w:val="21"/>
                      <w:lang w:val="en-US" w:eastAsia="zh-CN"/>
                    </w:rPr>
                    <w:t>出料口逸</w:t>
                  </w:r>
                  <w:r>
                    <w:rPr>
                      <w:rFonts w:hint="eastAsia" w:cs="Times New Roman"/>
                      <w:color w:val="auto"/>
                      <w:sz w:val="21"/>
                      <w:szCs w:val="21"/>
                      <w:lang w:val="en-US" w:eastAsia="zh-CN"/>
                    </w:rPr>
                    <w:t>散废气</w:t>
                  </w:r>
                </w:p>
              </w:tc>
              <w:tc>
                <w:tcPr>
                  <w:tcW w:w="2390" w:type="dxa"/>
                  <w:shd w:val="clear" w:color="auto" w:fill="auto"/>
                  <w:vAlign w:val="center"/>
                </w:tcPr>
                <w:p w14:paraId="1796E448">
                  <w:pPr>
                    <w:keepNext/>
                    <w:spacing w:line="360" w:lineRule="exact"/>
                    <w:ind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沥青烟、苯并[a]芘、非甲烷总烃</w:t>
                  </w:r>
                </w:p>
              </w:tc>
              <w:tc>
                <w:tcPr>
                  <w:tcW w:w="2354" w:type="dxa"/>
                  <w:shd w:val="clear" w:color="auto" w:fill="auto"/>
                  <w:vAlign w:val="center"/>
                </w:tcPr>
                <w:p w14:paraId="0626AD6F">
                  <w:pPr>
                    <w:keepNext/>
                    <w:spacing w:line="360" w:lineRule="exact"/>
                    <w:ind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沥青罐</w:t>
                  </w:r>
                  <w:r>
                    <w:rPr>
                      <w:rFonts w:hint="eastAsia" w:ascii="Times New Roman" w:hAnsi="Times New Roman" w:eastAsia="宋体" w:cs="Times New Roman"/>
                      <w:color w:val="auto"/>
                      <w:sz w:val="21"/>
                      <w:szCs w:val="21"/>
                      <w:lang w:val="en-US" w:eastAsia="zh-CN"/>
                    </w:rPr>
                    <w:t>顶部呼吸口</w:t>
                  </w:r>
                  <w:r>
                    <w:rPr>
                      <w:rFonts w:hint="default" w:ascii="Times New Roman" w:hAnsi="Times New Roman" w:eastAsia="宋体" w:cs="Times New Roman"/>
                      <w:color w:val="auto"/>
                      <w:sz w:val="21"/>
                      <w:szCs w:val="21"/>
                    </w:rPr>
                    <w:t>、搅拌</w:t>
                  </w:r>
                  <w:r>
                    <w:rPr>
                      <w:rFonts w:hint="eastAsia" w:ascii="Times New Roman" w:hAnsi="Times New Roman" w:eastAsia="宋体" w:cs="Times New Roman"/>
                      <w:color w:val="auto"/>
                      <w:sz w:val="21"/>
                      <w:szCs w:val="21"/>
                      <w:lang w:val="en-US" w:eastAsia="zh-CN"/>
                    </w:rPr>
                    <w:t>设备</w:t>
                  </w:r>
                  <w:r>
                    <w:rPr>
                      <w:rFonts w:hint="default" w:ascii="Times New Roman" w:hAnsi="Times New Roman" w:eastAsia="宋体" w:cs="Times New Roman"/>
                      <w:color w:val="auto"/>
                      <w:sz w:val="21"/>
                      <w:szCs w:val="21"/>
                    </w:rPr>
                    <w:t>呼吸口</w:t>
                  </w:r>
                  <w:r>
                    <w:rPr>
                      <w:rFonts w:hint="eastAsia" w:cs="Times New Roman"/>
                      <w:color w:val="auto"/>
                      <w:sz w:val="21"/>
                      <w:szCs w:val="21"/>
                      <w:lang w:val="en-US" w:eastAsia="zh-CN"/>
                    </w:rPr>
                    <w:t>产生废气经管道负压收集</w:t>
                  </w:r>
                  <w:r>
                    <w:rPr>
                      <w:rFonts w:hint="eastAsia" w:ascii="Times New Roman" w:hAnsi="Times New Roman" w:eastAsia="宋体" w:cs="Times New Roman"/>
                      <w:color w:val="auto"/>
                      <w:sz w:val="21"/>
                      <w:szCs w:val="21"/>
                      <w:lang w:val="en-US" w:eastAsia="zh-CN"/>
                    </w:rPr>
                    <w:t>，产品出料口废气经集气罩收集均进入</w:t>
                  </w:r>
                  <w:r>
                    <w:rPr>
                      <w:rFonts w:hint="eastAsia" w:ascii="宋体" w:hAnsi="宋体" w:eastAsia="宋体" w:cs="宋体"/>
                      <w:color w:val="auto"/>
                      <w:sz w:val="21"/>
                      <w:szCs w:val="21"/>
                      <w:vertAlign w:val="baseline"/>
                      <w:lang w:val="en-US" w:eastAsia="zh-CN"/>
                    </w:rPr>
                    <w:t>“</w:t>
                  </w:r>
                  <w:r>
                    <w:rPr>
                      <w:rFonts w:hint="eastAsia" w:ascii="宋体" w:hAnsi="宋体" w:cs="宋体"/>
                      <w:color w:val="auto"/>
                      <w:sz w:val="21"/>
                      <w:szCs w:val="21"/>
                      <w:vertAlign w:val="baseline"/>
                      <w:lang w:val="en-US" w:eastAsia="zh-CN"/>
                    </w:rPr>
                    <w:t>电捕焦油器+</w:t>
                  </w:r>
                  <w:r>
                    <w:rPr>
                      <w:rFonts w:hint="eastAsia" w:ascii="宋体" w:hAnsi="宋体" w:eastAsia="宋体" w:cs="宋体"/>
                      <w:color w:val="auto"/>
                      <w:sz w:val="21"/>
                      <w:szCs w:val="21"/>
                      <w:vertAlign w:val="baseline"/>
                      <w:lang w:val="en-US" w:eastAsia="zh-CN"/>
                    </w:rPr>
                    <w:t>活性炭吸附”</w:t>
                  </w:r>
                  <w:r>
                    <w:rPr>
                      <w:rFonts w:hint="eastAsia" w:ascii="宋体" w:hAnsi="宋体" w:cs="宋体"/>
                      <w:color w:val="auto"/>
                      <w:sz w:val="21"/>
                      <w:szCs w:val="21"/>
                      <w:vertAlign w:val="baseline"/>
                      <w:lang w:val="en-US" w:eastAsia="zh-CN"/>
                    </w:rPr>
                    <w:t>装置</w:t>
                  </w:r>
                  <w:r>
                    <w:rPr>
                      <w:rFonts w:hint="eastAsia" w:ascii="宋体" w:hAnsi="宋体" w:eastAsia="宋体" w:cs="宋体"/>
                      <w:color w:val="auto"/>
                      <w:sz w:val="21"/>
                      <w:szCs w:val="21"/>
                      <w:vertAlign w:val="baseline"/>
                      <w:lang w:val="en-US" w:eastAsia="zh-CN"/>
                    </w:rPr>
                    <w:t>处理后经1</w:t>
                  </w:r>
                  <w:r>
                    <w:rPr>
                      <w:rFonts w:hint="default" w:ascii="Times New Roman" w:hAnsi="Times New Roman" w:eastAsia="宋体" w:cs="Times New Roman"/>
                      <w:color w:val="auto"/>
                      <w:sz w:val="21"/>
                      <w:szCs w:val="21"/>
                      <w:vertAlign w:val="baseline"/>
                      <w:lang w:val="en-US" w:eastAsia="zh-CN"/>
                    </w:rPr>
                    <w:t>根15m排气筒（DA003）</w:t>
                  </w:r>
                  <w:r>
                    <w:rPr>
                      <w:rFonts w:hint="eastAsia" w:ascii="宋体" w:hAnsi="宋体" w:eastAsia="宋体" w:cs="宋体"/>
                      <w:color w:val="auto"/>
                      <w:sz w:val="21"/>
                      <w:szCs w:val="21"/>
                      <w:vertAlign w:val="baseline"/>
                      <w:lang w:val="en-US" w:eastAsia="zh-CN"/>
                    </w:rPr>
                    <w:t>排放</w:t>
                  </w:r>
                </w:p>
              </w:tc>
            </w:tr>
            <w:tr w14:paraId="2502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continue"/>
                  <w:vAlign w:val="center"/>
                </w:tcPr>
                <w:p w14:paraId="7DD3CDE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c>
                <w:tcPr>
                  <w:tcW w:w="847" w:type="dxa"/>
                  <w:vAlign w:val="center"/>
                </w:tcPr>
                <w:p w14:paraId="02A19F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G6</w:t>
                  </w:r>
                </w:p>
              </w:tc>
              <w:tc>
                <w:tcPr>
                  <w:tcW w:w="1986" w:type="dxa"/>
                  <w:shd w:val="clear" w:color="auto" w:fill="auto"/>
                  <w:vAlign w:val="center"/>
                </w:tcPr>
                <w:p w14:paraId="157361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有机热载体炉废气</w:t>
                  </w:r>
                </w:p>
              </w:tc>
              <w:tc>
                <w:tcPr>
                  <w:tcW w:w="2390" w:type="dxa"/>
                  <w:shd w:val="clear" w:color="auto" w:fill="auto"/>
                  <w:vAlign w:val="center"/>
                </w:tcPr>
                <w:p w14:paraId="3DA18213">
                  <w:pPr>
                    <w:keepNext/>
                    <w:spacing w:line="360" w:lineRule="exact"/>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lang w:val="en-US" w:eastAsia="zh-CN"/>
                    </w:rPr>
                    <w:t>颗粒物、SO</w:t>
                  </w:r>
                  <w:r>
                    <w:rPr>
                      <w:rFonts w:hint="eastAsia"/>
                      <w:color w:val="auto"/>
                      <w:sz w:val="21"/>
                      <w:szCs w:val="21"/>
                      <w:vertAlign w:val="subscript"/>
                      <w:lang w:val="en-US" w:eastAsia="zh-CN"/>
                    </w:rPr>
                    <w:t>2</w:t>
                  </w:r>
                  <w:r>
                    <w:rPr>
                      <w:rFonts w:hint="eastAsia"/>
                      <w:color w:val="auto"/>
                      <w:sz w:val="21"/>
                      <w:szCs w:val="21"/>
                      <w:lang w:val="en-US" w:eastAsia="zh-CN"/>
                    </w:rPr>
                    <w:t>、NO</w:t>
                  </w:r>
                  <w:r>
                    <w:rPr>
                      <w:rFonts w:hint="eastAsia"/>
                      <w:color w:val="auto"/>
                      <w:sz w:val="21"/>
                      <w:szCs w:val="21"/>
                      <w:vertAlign w:val="subscript"/>
                      <w:lang w:val="en-US" w:eastAsia="zh-CN"/>
                    </w:rPr>
                    <w:t>X</w:t>
                  </w:r>
                </w:p>
              </w:tc>
              <w:tc>
                <w:tcPr>
                  <w:tcW w:w="2354" w:type="dxa"/>
                  <w:shd w:val="clear" w:color="auto" w:fill="auto"/>
                  <w:vAlign w:val="center"/>
                </w:tcPr>
                <w:p w14:paraId="09C664C7">
                  <w:pPr>
                    <w:keepNext/>
                    <w:spacing w:line="360" w:lineRule="exact"/>
                    <w:ind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宋体" w:hAnsi="宋体" w:eastAsia="宋体" w:cs="宋体"/>
                      <w:color w:val="auto"/>
                      <w:sz w:val="21"/>
                      <w:szCs w:val="21"/>
                      <w:vertAlign w:val="baseline"/>
                      <w:lang w:val="en-US" w:eastAsia="zh-CN"/>
                    </w:rPr>
                    <w:t>经1</w:t>
                  </w:r>
                  <w:r>
                    <w:rPr>
                      <w:rFonts w:hint="default" w:ascii="Times New Roman" w:hAnsi="Times New Roman" w:eastAsia="宋体" w:cs="Times New Roman"/>
                      <w:color w:val="auto"/>
                      <w:sz w:val="21"/>
                      <w:szCs w:val="21"/>
                      <w:vertAlign w:val="baseline"/>
                      <w:lang w:val="en-US" w:eastAsia="zh-CN"/>
                    </w:rPr>
                    <w:t>根</w:t>
                  </w:r>
                  <w:r>
                    <w:rPr>
                      <w:rFonts w:hint="eastAsia" w:ascii="Times New Roman" w:hAnsi="Times New Roman" w:eastAsia="宋体" w:cs="Times New Roman"/>
                      <w:color w:val="auto"/>
                      <w:sz w:val="21"/>
                      <w:szCs w:val="21"/>
                      <w:vertAlign w:val="baseline"/>
                      <w:lang w:val="en-US" w:eastAsia="zh-CN"/>
                    </w:rPr>
                    <w:t>8</w:t>
                  </w:r>
                  <w:r>
                    <w:rPr>
                      <w:rFonts w:hint="default" w:ascii="Times New Roman" w:hAnsi="Times New Roman" w:eastAsia="宋体" w:cs="Times New Roman"/>
                      <w:color w:val="auto"/>
                      <w:sz w:val="21"/>
                      <w:szCs w:val="21"/>
                      <w:vertAlign w:val="baseline"/>
                      <w:lang w:val="en-US" w:eastAsia="zh-CN"/>
                    </w:rPr>
                    <w:t>m排气筒（DA00</w:t>
                  </w:r>
                  <w:r>
                    <w:rPr>
                      <w:rFonts w:hint="eastAsia" w:ascii="Times New Roman" w:hAnsi="Times New Roman" w:eastAsia="宋体"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w:t>
                  </w:r>
                  <w:r>
                    <w:rPr>
                      <w:rFonts w:hint="eastAsia" w:ascii="宋体" w:hAnsi="宋体" w:eastAsia="宋体" w:cs="宋体"/>
                      <w:color w:val="auto"/>
                      <w:sz w:val="21"/>
                      <w:szCs w:val="21"/>
                      <w:vertAlign w:val="baseline"/>
                      <w:lang w:val="en-US" w:eastAsia="zh-CN"/>
                    </w:rPr>
                    <w:t>排放</w:t>
                  </w:r>
                </w:p>
              </w:tc>
            </w:tr>
            <w:tr w14:paraId="11CC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continue"/>
                  <w:vAlign w:val="center"/>
                </w:tcPr>
                <w:p w14:paraId="49F8546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c>
                <w:tcPr>
                  <w:tcW w:w="847" w:type="dxa"/>
                  <w:vAlign w:val="center"/>
                </w:tcPr>
                <w:p w14:paraId="292C82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vertAlign w:val="baseline"/>
                      <w:lang w:val="en-US" w:eastAsia="zh-CN"/>
                    </w:rPr>
                    <w:t>T1</w:t>
                  </w:r>
                </w:p>
              </w:tc>
              <w:tc>
                <w:tcPr>
                  <w:tcW w:w="1986" w:type="dxa"/>
                  <w:shd w:val="clear" w:color="auto" w:fill="auto"/>
                  <w:vAlign w:val="center"/>
                </w:tcPr>
                <w:p w14:paraId="6519AA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装卸废气</w:t>
                  </w:r>
                </w:p>
              </w:tc>
              <w:tc>
                <w:tcPr>
                  <w:tcW w:w="2390" w:type="dxa"/>
                  <w:shd w:val="clear" w:color="auto" w:fill="auto"/>
                  <w:vAlign w:val="center"/>
                </w:tcPr>
                <w:p w14:paraId="3417AD65">
                  <w:pPr>
                    <w:keepNext/>
                    <w:spacing w:line="360" w:lineRule="exact"/>
                    <w:ind w:firstLine="0" w:firstLineChars="0"/>
                    <w:jc w:val="center"/>
                    <w:rPr>
                      <w:rFonts w:hint="eastAsia"/>
                      <w:color w:val="auto"/>
                      <w:sz w:val="21"/>
                      <w:szCs w:val="21"/>
                      <w:lang w:val="en-US" w:eastAsia="zh-CN"/>
                    </w:rPr>
                  </w:pPr>
                  <w:r>
                    <w:rPr>
                      <w:rFonts w:hint="eastAsia" w:cs="Times New Roman"/>
                      <w:color w:val="auto"/>
                      <w:sz w:val="21"/>
                      <w:szCs w:val="21"/>
                      <w:vertAlign w:val="baseline"/>
                      <w:lang w:val="en-US" w:eastAsia="zh-CN"/>
                    </w:rPr>
                    <w:t>颗粒物</w:t>
                  </w:r>
                </w:p>
              </w:tc>
              <w:tc>
                <w:tcPr>
                  <w:tcW w:w="2354" w:type="dxa"/>
                  <w:shd w:val="clear" w:color="auto" w:fill="auto"/>
                  <w:vAlign w:val="center"/>
                </w:tcPr>
                <w:p w14:paraId="26A8BDE4">
                  <w:pPr>
                    <w:keepNext/>
                    <w:spacing w:line="360" w:lineRule="exact"/>
                    <w:ind w:firstLine="0" w:firstLineChars="0"/>
                    <w:jc w:val="center"/>
                    <w:rPr>
                      <w:rFonts w:hint="eastAsia" w:ascii="宋体" w:hAnsi="宋体" w:eastAsia="宋体" w:cs="宋体"/>
                      <w:color w:val="auto"/>
                      <w:sz w:val="21"/>
                      <w:szCs w:val="21"/>
                      <w:vertAlign w:val="baseline"/>
                      <w:lang w:val="en-US" w:eastAsia="zh-CN"/>
                    </w:rPr>
                  </w:pPr>
                  <w:r>
                    <w:rPr>
                      <w:rFonts w:hint="eastAsia" w:cs="Times New Roman"/>
                      <w:color w:val="auto"/>
                      <w:sz w:val="21"/>
                      <w:szCs w:val="21"/>
                      <w:vertAlign w:val="baseline"/>
                      <w:lang w:val="en-US" w:eastAsia="zh-CN"/>
                    </w:rPr>
                    <w:t>通过人工使用软管洒水降尘</w:t>
                  </w:r>
                </w:p>
              </w:tc>
            </w:tr>
            <w:tr w14:paraId="247A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continue"/>
                  <w:vAlign w:val="center"/>
                </w:tcPr>
                <w:p w14:paraId="0811AA9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c>
                <w:tcPr>
                  <w:tcW w:w="847" w:type="dxa"/>
                  <w:vAlign w:val="center"/>
                </w:tcPr>
                <w:p w14:paraId="2A6B55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T2</w:t>
                  </w:r>
                </w:p>
              </w:tc>
              <w:tc>
                <w:tcPr>
                  <w:tcW w:w="1986" w:type="dxa"/>
                  <w:vAlign w:val="center"/>
                </w:tcPr>
                <w:p w14:paraId="647F92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vertAlign w:val="baseline"/>
                      <w:lang w:val="en-US" w:eastAsia="zh-CN"/>
                    </w:rPr>
                    <w:t>皮带输送扬尘</w:t>
                  </w:r>
                </w:p>
              </w:tc>
              <w:tc>
                <w:tcPr>
                  <w:tcW w:w="2390" w:type="dxa"/>
                  <w:vAlign w:val="center"/>
                </w:tcPr>
                <w:p w14:paraId="0DD9195E">
                  <w:pPr>
                    <w:keepNext/>
                    <w:spacing w:line="36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2354" w:type="dxa"/>
                  <w:vAlign w:val="center"/>
                </w:tcPr>
                <w:p w14:paraId="0820FA95">
                  <w:pPr>
                    <w:keepNext/>
                    <w:spacing w:line="36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通过人工使用软管洒水降尘</w:t>
                  </w:r>
                </w:p>
              </w:tc>
            </w:tr>
            <w:tr w14:paraId="0501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continue"/>
                  <w:vAlign w:val="center"/>
                </w:tcPr>
                <w:p w14:paraId="4F4B995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c>
                <w:tcPr>
                  <w:tcW w:w="847" w:type="dxa"/>
                  <w:vAlign w:val="center"/>
                </w:tcPr>
                <w:p w14:paraId="5E8ADC92">
                  <w:pPr>
                    <w:pageBreakBefore w:val="0"/>
                    <w:kinsoku/>
                    <w:wordWrap/>
                    <w:overflowPunct/>
                    <w:topLinePunct w:val="0"/>
                    <w:autoSpaceDE/>
                    <w:autoSpaceDN/>
                    <w:bidi w:val="0"/>
                    <w:adjustRightInd/>
                    <w:spacing w:line="360" w:lineRule="exact"/>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T3</w:t>
                  </w:r>
                </w:p>
              </w:tc>
              <w:tc>
                <w:tcPr>
                  <w:tcW w:w="1986" w:type="dxa"/>
                  <w:vAlign w:val="center"/>
                </w:tcPr>
                <w:p w14:paraId="4B1347E5">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物料运输扬尘</w:t>
                  </w:r>
                </w:p>
              </w:tc>
              <w:tc>
                <w:tcPr>
                  <w:tcW w:w="2390" w:type="dxa"/>
                  <w:vAlign w:val="center"/>
                </w:tcPr>
                <w:p w14:paraId="11088DA8">
                  <w:pPr>
                    <w:keepNext/>
                    <w:spacing w:line="36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2354" w:type="dxa"/>
                  <w:vAlign w:val="center"/>
                </w:tcPr>
                <w:p w14:paraId="6DC7F687">
                  <w:pPr>
                    <w:keepNext/>
                    <w:spacing w:line="36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依托采石场洒水车洒水降尘</w:t>
                  </w:r>
                </w:p>
              </w:tc>
            </w:tr>
            <w:tr w14:paraId="66F0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dxa"/>
                  <w:vMerge w:val="continue"/>
                  <w:vAlign w:val="center"/>
                </w:tcPr>
                <w:p w14:paraId="772A6FA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c>
                <w:tcPr>
                  <w:tcW w:w="847" w:type="dxa"/>
                  <w:vAlign w:val="center"/>
                </w:tcPr>
                <w:p w14:paraId="15DB31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T4</w:t>
                  </w:r>
                </w:p>
              </w:tc>
              <w:tc>
                <w:tcPr>
                  <w:tcW w:w="1986" w:type="dxa"/>
                  <w:vAlign w:val="center"/>
                </w:tcPr>
                <w:p w14:paraId="092112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矿粉筒仓废气</w:t>
                  </w:r>
                </w:p>
              </w:tc>
              <w:tc>
                <w:tcPr>
                  <w:tcW w:w="2390" w:type="dxa"/>
                  <w:vAlign w:val="center"/>
                </w:tcPr>
                <w:p w14:paraId="3EA2B9DA">
                  <w:pPr>
                    <w:keepNext/>
                    <w:spacing w:line="36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2354" w:type="dxa"/>
                  <w:vAlign w:val="center"/>
                </w:tcPr>
                <w:p w14:paraId="103DDA89">
                  <w:pPr>
                    <w:keepNext/>
                    <w:spacing w:line="360" w:lineRule="exact"/>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由筒仓配套的袋式除尘器处理后无组织排放、洒水降尘</w:t>
                  </w:r>
                </w:p>
              </w:tc>
            </w:tr>
            <w:tr w14:paraId="3CC7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66" w:type="dxa"/>
                  <w:vMerge w:val="restart"/>
                  <w:vAlign w:val="center"/>
                </w:tcPr>
                <w:p w14:paraId="3B1EF28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2833" w:type="dxa"/>
                  <w:gridSpan w:val="2"/>
                  <w:vAlign w:val="center"/>
                </w:tcPr>
                <w:p w14:paraId="23DE0063">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运输车辆清洗水</w:t>
                  </w:r>
                </w:p>
              </w:tc>
              <w:tc>
                <w:tcPr>
                  <w:tcW w:w="2390" w:type="dxa"/>
                  <w:vAlign w:val="center"/>
                </w:tcPr>
                <w:p w14:paraId="179FAAB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SS</w:t>
                  </w:r>
                </w:p>
              </w:tc>
              <w:tc>
                <w:tcPr>
                  <w:tcW w:w="2354" w:type="dxa"/>
                  <w:vAlign w:val="center"/>
                </w:tcPr>
                <w:p w14:paraId="51A94A2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经洗车池收集后循环使用，当不能满足洗车条件后用于厂区洒水降尘，不外排。</w:t>
                  </w:r>
                </w:p>
              </w:tc>
            </w:tr>
            <w:tr w14:paraId="6E4E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6" w:type="dxa"/>
                  <w:vMerge w:val="continue"/>
                  <w:vAlign w:val="center"/>
                </w:tcPr>
                <w:p w14:paraId="585D1B2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c>
                <w:tcPr>
                  <w:tcW w:w="2833" w:type="dxa"/>
                  <w:gridSpan w:val="2"/>
                  <w:vAlign w:val="center"/>
                </w:tcPr>
                <w:p w14:paraId="280CCC13">
                  <w:pPr>
                    <w:pageBreakBefore w:val="0"/>
                    <w:kinsoku/>
                    <w:wordWrap/>
                    <w:overflowPunct/>
                    <w:topLinePunct w:val="0"/>
                    <w:autoSpaceDE/>
                    <w:autoSpaceDN/>
                    <w:bidi w:val="0"/>
                    <w:adjustRightInd/>
                    <w:spacing w:line="360" w:lineRule="exac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办公废水</w:t>
                  </w:r>
                </w:p>
              </w:tc>
              <w:tc>
                <w:tcPr>
                  <w:tcW w:w="2390" w:type="dxa"/>
                  <w:vAlign w:val="center"/>
                </w:tcPr>
                <w:p w14:paraId="4878136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COD、BOD、 NH</w:t>
                  </w:r>
                  <w:r>
                    <w:rPr>
                      <w:rFonts w:hint="eastAsia"/>
                      <w:color w:val="auto"/>
                      <w:sz w:val="21"/>
                      <w:szCs w:val="21"/>
                      <w:vertAlign w:val="subscript"/>
                    </w:rPr>
                    <w:t>3</w:t>
                  </w:r>
                  <w:r>
                    <w:rPr>
                      <w:rFonts w:hint="eastAsia"/>
                      <w:color w:val="auto"/>
                      <w:sz w:val="21"/>
                      <w:szCs w:val="21"/>
                    </w:rPr>
                    <w:t>-N、SS等</w:t>
                  </w:r>
                </w:p>
              </w:tc>
              <w:tc>
                <w:tcPr>
                  <w:tcW w:w="2354" w:type="dxa"/>
                  <w:vAlign w:val="center"/>
                </w:tcPr>
                <w:p w14:paraId="7E1B654C">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依托云南龙泉矿业开发有限公司办公生活区化粪池处理后</w:t>
                  </w:r>
                  <w:r>
                    <w:rPr>
                      <w:rFonts w:hint="eastAsia" w:ascii="Times New Roman" w:hAnsi="Times New Roman" w:eastAsia="宋体" w:cs="Times New Roman"/>
                      <w:color w:val="auto"/>
                      <w:sz w:val="21"/>
                      <w:szCs w:val="21"/>
                      <w:lang w:val="en-US" w:eastAsia="zh-CN"/>
                    </w:rPr>
                    <w:t>定期清掏用作周围农作物施肥。</w:t>
                  </w:r>
                </w:p>
              </w:tc>
            </w:tr>
            <w:tr w14:paraId="7C88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66" w:type="dxa"/>
                  <w:vMerge w:val="continue"/>
                  <w:vAlign w:val="center"/>
                </w:tcPr>
                <w:p w14:paraId="35F69A0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c>
                <w:tcPr>
                  <w:tcW w:w="2833" w:type="dxa"/>
                  <w:gridSpan w:val="2"/>
                  <w:vAlign w:val="center"/>
                </w:tcPr>
                <w:p w14:paraId="1CBC11EA">
                  <w:pPr>
                    <w:pageBreakBefore w:val="0"/>
                    <w:kinsoku/>
                    <w:wordWrap/>
                    <w:overflowPunct/>
                    <w:topLinePunct w:val="0"/>
                    <w:autoSpaceDE/>
                    <w:autoSpaceDN/>
                    <w:bidi w:val="0"/>
                    <w:adjustRightInd/>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初期雨水</w:t>
                  </w:r>
                </w:p>
              </w:tc>
              <w:tc>
                <w:tcPr>
                  <w:tcW w:w="2390" w:type="dxa"/>
                  <w:vAlign w:val="center"/>
                </w:tcPr>
                <w:p w14:paraId="4C497AE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SS</w:t>
                  </w:r>
                </w:p>
              </w:tc>
              <w:tc>
                <w:tcPr>
                  <w:tcW w:w="2354" w:type="dxa"/>
                  <w:vAlign w:val="center"/>
                </w:tcPr>
                <w:p w14:paraId="4B425B84">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新建1个20m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初期雨水隔油沉淀池</w:t>
                  </w:r>
                  <w:r>
                    <w:rPr>
                      <w:rFonts w:hint="eastAsia" w:cs="Times New Roman"/>
                      <w:color w:val="auto"/>
                      <w:sz w:val="21"/>
                      <w:szCs w:val="21"/>
                      <w:vertAlign w:val="baseline"/>
                      <w:lang w:val="en-US" w:eastAsia="zh-CN"/>
                    </w:rPr>
                    <w:t>收集处理后回用于厂区洒水降尘。</w:t>
                  </w:r>
                </w:p>
              </w:tc>
            </w:tr>
            <w:tr w14:paraId="5741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66" w:type="dxa"/>
                  <w:vMerge w:val="restart"/>
                  <w:vAlign w:val="center"/>
                </w:tcPr>
                <w:p w14:paraId="4657DA1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固体废物</w:t>
                  </w:r>
                </w:p>
              </w:tc>
              <w:tc>
                <w:tcPr>
                  <w:tcW w:w="847" w:type="dxa"/>
                  <w:vAlign w:val="center"/>
                </w:tcPr>
                <w:p w14:paraId="3EACB38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S1</w:t>
                  </w:r>
                </w:p>
              </w:tc>
              <w:tc>
                <w:tcPr>
                  <w:tcW w:w="1986" w:type="dxa"/>
                  <w:vAlign w:val="center"/>
                </w:tcPr>
                <w:p w14:paraId="0A0156E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布袋除尘器、旋风除尘器</w:t>
                  </w:r>
                </w:p>
              </w:tc>
              <w:tc>
                <w:tcPr>
                  <w:tcW w:w="2390" w:type="dxa"/>
                  <w:vAlign w:val="center"/>
                </w:tcPr>
                <w:p w14:paraId="4DA190F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收集</w:t>
                  </w:r>
                  <w:r>
                    <w:rPr>
                      <w:rFonts w:hint="eastAsia" w:ascii="Times New Roman" w:hAnsi="Times New Roman" w:eastAsia="宋体" w:cs="Times New Roman"/>
                      <w:color w:val="auto"/>
                      <w:sz w:val="21"/>
                      <w:szCs w:val="21"/>
                      <w:vertAlign w:val="baseline"/>
                      <w:lang w:val="en-US" w:eastAsia="zh-CN"/>
                    </w:rPr>
                    <w:t>粉尘</w:t>
                  </w:r>
                </w:p>
              </w:tc>
              <w:tc>
                <w:tcPr>
                  <w:tcW w:w="2354" w:type="dxa"/>
                  <w:vAlign w:val="center"/>
                </w:tcPr>
                <w:p w14:paraId="24FA1A5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收集后作为矿粉填料回用</w:t>
                  </w:r>
                  <w:r>
                    <w:rPr>
                      <w:rFonts w:hint="eastAsia" w:cs="Times New Roman"/>
                      <w:color w:val="auto"/>
                      <w:sz w:val="21"/>
                      <w:szCs w:val="21"/>
                      <w:vertAlign w:val="baseline"/>
                      <w:lang w:val="en-US" w:eastAsia="zh-CN"/>
                    </w:rPr>
                    <w:t>与生产。</w:t>
                  </w:r>
                </w:p>
              </w:tc>
            </w:tr>
            <w:tr w14:paraId="2E04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666" w:type="dxa"/>
                  <w:vMerge w:val="continue"/>
                  <w:vAlign w:val="center"/>
                </w:tcPr>
                <w:p w14:paraId="78805B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cs="Times New Roman"/>
                      <w:color w:val="auto"/>
                      <w:sz w:val="21"/>
                      <w:szCs w:val="21"/>
                      <w:vertAlign w:val="baseline"/>
                      <w:lang w:val="en-US" w:eastAsia="zh-CN"/>
                    </w:rPr>
                  </w:pPr>
                </w:p>
              </w:tc>
              <w:tc>
                <w:tcPr>
                  <w:tcW w:w="847" w:type="dxa"/>
                  <w:shd w:val="clear" w:color="auto" w:fill="auto"/>
                  <w:vAlign w:val="center"/>
                </w:tcPr>
                <w:p w14:paraId="79303DD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S2</w:t>
                  </w:r>
                </w:p>
              </w:tc>
              <w:tc>
                <w:tcPr>
                  <w:tcW w:w="1986" w:type="dxa"/>
                  <w:shd w:val="clear" w:color="auto" w:fill="auto"/>
                  <w:vAlign w:val="center"/>
                </w:tcPr>
                <w:p w14:paraId="1D0660C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布袋除尘器</w:t>
                  </w:r>
                </w:p>
              </w:tc>
              <w:tc>
                <w:tcPr>
                  <w:tcW w:w="2390" w:type="dxa"/>
                  <w:vAlign w:val="center"/>
                </w:tcPr>
                <w:p w14:paraId="11DD58C0">
                  <w:pPr>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废布袋</w:t>
                  </w:r>
                </w:p>
              </w:tc>
              <w:tc>
                <w:tcPr>
                  <w:tcW w:w="2354" w:type="dxa"/>
                  <w:vAlign w:val="center"/>
                </w:tcPr>
                <w:p w14:paraId="3916DE57">
                  <w:pPr>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更换厂家回收处置。</w:t>
                  </w:r>
                </w:p>
              </w:tc>
            </w:tr>
            <w:tr w14:paraId="1324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666" w:type="dxa"/>
                  <w:vMerge w:val="continue"/>
                  <w:vAlign w:val="center"/>
                </w:tcPr>
                <w:p w14:paraId="3A3939F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c>
                <w:tcPr>
                  <w:tcW w:w="847" w:type="dxa"/>
                  <w:shd w:val="clear" w:color="auto" w:fill="auto"/>
                  <w:vAlign w:val="center"/>
                </w:tcPr>
                <w:p w14:paraId="21D8EA3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S3</w:t>
                  </w:r>
                </w:p>
              </w:tc>
              <w:tc>
                <w:tcPr>
                  <w:tcW w:w="1986" w:type="dxa"/>
                  <w:vAlign w:val="center"/>
                </w:tcPr>
                <w:p w14:paraId="4CF5FFB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搅拌器</w:t>
                  </w:r>
                </w:p>
              </w:tc>
              <w:tc>
                <w:tcPr>
                  <w:tcW w:w="2390" w:type="dxa"/>
                  <w:vAlign w:val="center"/>
                </w:tcPr>
                <w:p w14:paraId="4513316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滴漏沥青及拌合残渣</w:t>
                  </w:r>
                </w:p>
              </w:tc>
              <w:tc>
                <w:tcPr>
                  <w:tcW w:w="2354" w:type="dxa"/>
                  <w:vAlign w:val="center"/>
                </w:tcPr>
                <w:p w14:paraId="1A3D08E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暂存于密闭的塑料桶内，外售作为建筑材料</w:t>
                  </w:r>
                </w:p>
              </w:tc>
            </w:tr>
            <w:tr w14:paraId="6493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66" w:type="dxa"/>
                  <w:vMerge w:val="continue"/>
                  <w:vAlign w:val="center"/>
                </w:tcPr>
                <w:p w14:paraId="19D427B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847" w:type="dxa"/>
                  <w:vAlign w:val="center"/>
                </w:tcPr>
                <w:p w14:paraId="409C22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S4</w:t>
                  </w:r>
                </w:p>
              </w:tc>
              <w:tc>
                <w:tcPr>
                  <w:tcW w:w="1986" w:type="dxa"/>
                  <w:vAlign w:val="center"/>
                </w:tcPr>
                <w:p w14:paraId="356177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有机热载体炉</w:t>
                  </w:r>
                </w:p>
              </w:tc>
              <w:tc>
                <w:tcPr>
                  <w:tcW w:w="2390" w:type="dxa"/>
                  <w:vAlign w:val="center"/>
                </w:tcPr>
                <w:p w14:paraId="2998F0F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废导热油</w:t>
                  </w:r>
                </w:p>
              </w:tc>
              <w:tc>
                <w:tcPr>
                  <w:tcW w:w="2354" w:type="dxa"/>
                  <w:vAlign w:val="center"/>
                </w:tcPr>
                <w:p w14:paraId="089161D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由更换厂家带走回收处置，不在厂区暂存。</w:t>
                  </w:r>
                </w:p>
              </w:tc>
            </w:tr>
            <w:tr w14:paraId="6F5E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66" w:type="dxa"/>
                  <w:vMerge w:val="continue"/>
                  <w:vAlign w:val="center"/>
                </w:tcPr>
                <w:p w14:paraId="08B7EBA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847" w:type="dxa"/>
                  <w:vAlign w:val="center"/>
                </w:tcPr>
                <w:p w14:paraId="3D3731B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S5</w:t>
                  </w:r>
                </w:p>
              </w:tc>
              <w:tc>
                <w:tcPr>
                  <w:tcW w:w="1986" w:type="dxa"/>
                  <w:vAlign w:val="center"/>
                </w:tcPr>
                <w:p w14:paraId="574568C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电捕焦油器</w:t>
                  </w:r>
                </w:p>
              </w:tc>
              <w:tc>
                <w:tcPr>
                  <w:tcW w:w="2390" w:type="dxa"/>
                  <w:vAlign w:val="center"/>
                </w:tcPr>
                <w:p w14:paraId="65CEA85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焦油渣</w:t>
                  </w:r>
                </w:p>
              </w:tc>
              <w:tc>
                <w:tcPr>
                  <w:tcW w:w="2354" w:type="dxa"/>
                  <w:vAlign w:val="center"/>
                </w:tcPr>
                <w:p w14:paraId="3238002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收集后暂存于危废暂存间，定期</w:t>
                  </w:r>
                  <w:r>
                    <w:rPr>
                      <w:rFonts w:hint="eastAsia" w:cs="Times New Roman"/>
                      <w:color w:val="auto"/>
                      <w:sz w:val="21"/>
                      <w:szCs w:val="21"/>
                      <w:vertAlign w:val="baseline"/>
                      <w:lang w:val="en-US" w:eastAsia="zh-CN"/>
                    </w:rPr>
                    <w:t>委托有</w:t>
                  </w:r>
                  <w:r>
                    <w:rPr>
                      <w:rFonts w:hint="default" w:ascii="Times New Roman" w:hAnsi="Times New Roman" w:eastAsia="宋体" w:cs="Times New Roman"/>
                      <w:color w:val="auto"/>
                      <w:sz w:val="21"/>
                      <w:szCs w:val="21"/>
                      <w:vertAlign w:val="baseline"/>
                      <w:lang w:val="en-US" w:eastAsia="zh-CN"/>
                    </w:rPr>
                    <w:t>资质单位清运处置</w:t>
                  </w:r>
                  <w:r>
                    <w:rPr>
                      <w:rFonts w:hint="eastAsia" w:ascii="Times New Roman" w:hAnsi="Times New Roman" w:eastAsia="宋体" w:cs="Times New Roman"/>
                      <w:color w:val="auto"/>
                      <w:sz w:val="21"/>
                      <w:szCs w:val="21"/>
                      <w:vertAlign w:val="baseline"/>
                      <w:lang w:val="en-US" w:eastAsia="zh-CN"/>
                    </w:rPr>
                    <w:t>。</w:t>
                  </w:r>
                </w:p>
              </w:tc>
            </w:tr>
            <w:tr w14:paraId="0E88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66" w:type="dxa"/>
                  <w:vMerge w:val="continue"/>
                  <w:vAlign w:val="center"/>
                </w:tcPr>
                <w:p w14:paraId="0F2FA3C7">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847" w:type="dxa"/>
                  <w:vAlign w:val="center"/>
                </w:tcPr>
                <w:p w14:paraId="21B5A33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S6</w:t>
                  </w:r>
                </w:p>
              </w:tc>
              <w:tc>
                <w:tcPr>
                  <w:tcW w:w="1986" w:type="dxa"/>
                  <w:vAlign w:val="center"/>
                </w:tcPr>
                <w:p w14:paraId="490F83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活性炭吸附装置</w:t>
                  </w:r>
                </w:p>
              </w:tc>
              <w:tc>
                <w:tcPr>
                  <w:tcW w:w="2390" w:type="dxa"/>
                  <w:vAlign w:val="center"/>
                </w:tcPr>
                <w:p w14:paraId="7DEC497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废活性炭</w:t>
                  </w:r>
                </w:p>
              </w:tc>
              <w:tc>
                <w:tcPr>
                  <w:tcW w:w="2354" w:type="dxa"/>
                  <w:vAlign w:val="center"/>
                </w:tcPr>
                <w:p w14:paraId="7EA3629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highlight w:val="none"/>
                      <w:lang w:val="en-US" w:eastAsia="zh-CN"/>
                    </w:rPr>
                    <w:t>由更换厂家带走回收处置，不在厂区暂存</w:t>
                  </w:r>
                  <w:r>
                    <w:rPr>
                      <w:rFonts w:hint="eastAsia" w:ascii="Times New Roman" w:hAnsi="Times New Roman" w:eastAsia="宋体" w:cs="Times New Roman"/>
                      <w:color w:val="auto"/>
                      <w:sz w:val="21"/>
                      <w:szCs w:val="21"/>
                      <w:highlight w:val="none"/>
                      <w:lang w:val="en-US" w:eastAsia="zh-CN"/>
                    </w:rPr>
                    <w:t>。</w:t>
                  </w:r>
                </w:p>
              </w:tc>
            </w:tr>
            <w:tr w14:paraId="5BF7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66" w:type="dxa"/>
                  <w:vMerge w:val="continue"/>
                  <w:vAlign w:val="center"/>
                </w:tcPr>
                <w:p w14:paraId="0AA631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c>
                <w:tcPr>
                  <w:tcW w:w="2833" w:type="dxa"/>
                  <w:gridSpan w:val="2"/>
                  <w:vMerge w:val="restart"/>
                  <w:vAlign w:val="center"/>
                </w:tcPr>
                <w:p w14:paraId="23212A4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设备维护</w:t>
                  </w:r>
                </w:p>
              </w:tc>
              <w:tc>
                <w:tcPr>
                  <w:tcW w:w="2390" w:type="dxa"/>
                  <w:vAlign w:val="center"/>
                </w:tcPr>
                <w:p w14:paraId="361DF4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废机油</w:t>
                  </w:r>
                </w:p>
              </w:tc>
              <w:tc>
                <w:tcPr>
                  <w:tcW w:w="2354" w:type="dxa"/>
                  <w:vMerge w:val="restart"/>
                  <w:vAlign w:val="center"/>
                </w:tcPr>
                <w:p w14:paraId="526F5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收集后暂存于危废暂存间，定期</w:t>
                  </w:r>
                  <w:r>
                    <w:rPr>
                      <w:rFonts w:hint="eastAsia" w:cs="Times New Roman"/>
                      <w:color w:val="auto"/>
                      <w:sz w:val="21"/>
                      <w:szCs w:val="21"/>
                      <w:vertAlign w:val="baseline"/>
                      <w:lang w:val="en-US" w:eastAsia="zh-CN"/>
                    </w:rPr>
                    <w:t>委托有</w:t>
                  </w:r>
                  <w:r>
                    <w:rPr>
                      <w:rFonts w:hint="default" w:ascii="Times New Roman" w:hAnsi="Times New Roman" w:eastAsia="宋体" w:cs="Times New Roman"/>
                      <w:color w:val="auto"/>
                      <w:sz w:val="21"/>
                      <w:szCs w:val="21"/>
                      <w:vertAlign w:val="baseline"/>
                      <w:lang w:val="en-US" w:eastAsia="zh-CN"/>
                    </w:rPr>
                    <w:t>资质单位清运处置</w:t>
                  </w:r>
                  <w:r>
                    <w:rPr>
                      <w:rFonts w:hint="eastAsia" w:ascii="Times New Roman" w:hAnsi="Times New Roman" w:eastAsia="宋体" w:cs="Times New Roman"/>
                      <w:color w:val="auto"/>
                      <w:sz w:val="21"/>
                      <w:szCs w:val="21"/>
                      <w:vertAlign w:val="baseline"/>
                      <w:lang w:val="en-US" w:eastAsia="zh-CN"/>
                    </w:rPr>
                    <w:t>。</w:t>
                  </w:r>
                </w:p>
              </w:tc>
            </w:tr>
            <w:tr w14:paraId="3ADD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66" w:type="dxa"/>
                  <w:vMerge w:val="continue"/>
                  <w:vAlign w:val="center"/>
                </w:tcPr>
                <w:p w14:paraId="36073B9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2833" w:type="dxa"/>
                  <w:gridSpan w:val="2"/>
                  <w:vMerge w:val="continue"/>
                  <w:vAlign w:val="center"/>
                </w:tcPr>
                <w:p w14:paraId="004875C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21"/>
                      <w:szCs w:val="21"/>
                      <w:vertAlign w:val="baseline"/>
                      <w:lang w:val="en-US" w:eastAsia="zh-CN"/>
                    </w:rPr>
                  </w:pPr>
                </w:p>
              </w:tc>
              <w:tc>
                <w:tcPr>
                  <w:tcW w:w="2390" w:type="dxa"/>
                  <w:vAlign w:val="center"/>
                </w:tcPr>
                <w:p w14:paraId="131D68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rPr>
                    <w:t>含机油废抹布和废手套</w:t>
                  </w:r>
                </w:p>
              </w:tc>
              <w:tc>
                <w:tcPr>
                  <w:tcW w:w="2354" w:type="dxa"/>
                  <w:vMerge w:val="continue"/>
                  <w:vAlign w:val="center"/>
                </w:tcPr>
                <w:p w14:paraId="1D551E1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vertAlign w:val="baseline"/>
                      <w:lang w:val="en-US" w:eastAsia="zh-CN"/>
                    </w:rPr>
                  </w:pPr>
                </w:p>
              </w:tc>
            </w:tr>
            <w:tr w14:paraId="5C14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6" w:type="dxa"/>
                  <w:vAlign w:val="center"/>
                </w:tcPr>
                <w:p w14:paraId="64F4FEF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噪声</w:t>
                  </w:r>
                </w:p>
              </w:tc>
              <w:tc>
                <w:tcPr>
                  <w:tcW w:w="847" w:type="dxa"/>
                  <w:vAlign w:val="center"/>
                </w:tcPr>
                <w:p w14:paraId="25DD3A5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N1~N9</w:t>
                  </w:r>
                </w:p>
              </w:tc>
              <w:tc>
                <w:tcPr>
                  <w:tcW w:w="1986" w:type="dxa"/>
                  <w:vAlign w:val="center"/>
                </w:tcPr>
                <w:p w14:paraId="5B5BD87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生产工序</w:t>
                  </w:r>
                </w:p>
              </w:tc>
              <w:tc>
                <w:tcPr>
                  <w:tcW w:w="2390" w:type="dxa"/>
                  <w:vAlign w:val="center"/>
                </w:tcPr>
                <w:p w14:paraId="561E5C7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设备噪声</w:t>
                  </w:r>
                </w:p>
              </w:tc>
              <w:tc>
                <w:tcPr>
                  <w:tcW w:w="2354" w:type="dxa"/>
                  <w:vAlign w:val="center"/>
                </w:tcPr>
                <w:p w14:paraId="1C2E776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基础减震、距离衰减</w:t>
                  </w:r>
                  <w:r>
                    <w:rPr>
                      <w:rFonts w:hint="eastAsia" w:ascii="Times New Roman" w:hAnsi="Times New Roman" w:eastAsia="宋体" w:cs="Times New Roman"/>
                      <w:sz w:val="21"/>
                      <w:szCs w:val="21"/>
                      <w:vertAlign w:val="baseline"/>
                      <w:lang w:val="en-US" w:eastAsia="zh-CN"/>
                    </w:rPr>
                    <w:t>。</w:t>
                  </w:r>
                </w:p>
              </w:tc>
            </w:tr>
          </w:tbl>
          <w:p w14:paraId="50F1B1D8">
            <w:pPr>
              <w:ind w:left="0" w:leftChars="0" w:firstLine="0" w:firstLineChars="0"/>
              <w:rPr>
                <w:rFonts w:hint="eastAsia"/>
              </w:rPr>
            </w:pPr>
          </w:p>
        </w:tc>
      </w:tr>
      <w:tr w14:paraId="089B3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0" w:type="dxa"/>
            <w:noWrap w:val="0"/>
            <w:vAlign w:val="center"/>
          </w:tcPr>
          <w:p w14:paraId="24D662CC">
            <w:pPr>
              <w:ind w:left="0" w:leftChars="0" w:firstLine="0" w:firstLineChars="0"/>
              <w:rPr>
                <w:rFonts w:hint="eastAsia"/>
                <w:lang w:val="en-US" w:eastAsia="zh-CN"/>
              </w:rPr>
            </w:pPr>
            <w:r>
              <w:rPr>
                <w:rFonts w:hint="eastAsia"/>
                <w:lang w:eastAsia="zh-CN"/>
              </w:rPr>
              <w:t>与项目有关的原有环境污染和生态破坏问题</w:t>
            </w:r>
          </w:p>
        </w:tc>
        <w:tc>
          <w:tcPr>
            <w:tcW w:w="8583" w:type="dxa"/>
            <w:noWrap w:val="0"/>
            <w:vAlign w:val="center"/>
          </w:tcPr>
          <w:p w14:paraId="74F2F94E">
            <w:pPr>
              <w:keepNext w:val="0"/>
              <w:keepLines w:val="0"/>
              <w:pageBreakBefore w:val="0"/>
              <w:widowControl w:val="0"/>
              <w:kinsoku/>
              <w:wordWrap/>
              <w:overflowPunct/>
              <w:topLinePunct w:val="0"/>
              <w:autoSpaceDE/>
              <w:autoSpaceDN/>
              <w:bidi w:val="0"/>
              <w:adjustRightInd/>
              <w:snapToGrid/>
              <w:ind w:firstLine="480"/>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Cs/>
                <w:snapToGrid w:val="0"/>
                <w:color w:val="auto"/>
                <w:kern w:val="0"/>
                <w:sz w:val="24"/>
                <w:szCs w:val="24"/>
              </w:rPr>
              <w:t>本项目</w:t>
            </w:r>
            <w:r>
              <w:rPr>
                <w:rFonts w:hint="default" w:ascii="Times New Roman" w:hAnsi="Times New Roman" w:eastAsia="宋体" w:cs="Times New Roman"/>
                <w:i w:val="0"/>
                <w:iCs w:val="0"/>
                <w:caps w:val="0"/>
                <w:color w:val="auto"/>
                <w:spacing w:val="0"/>
                <w:sz w:val="24"/>
                <w:szCs w:val="24"/>
              </w:rPr>
              <w:t>属于新建项目，</w:t>
            </w:r>
            <w:r>
              <w:rPr>
                <w:rFonts w:hint="eastAsia" w:cs="Times New Roman"/>
                <w:b w:val="0"/>
                <w:bCs w:val="0"/>
                <w:color w:val="000000" w:themeColor="text1"/>
                <w:sz w:val="24"/>
                <w:szCs w:val="24"/>
                <w:lang w:val="en-US" w:eastAsia="zh-CN"/>
                <w14:textFill>
                  <w14:solidFill>
                    <w14:schemeClr w14:val="tx1"/>
                  </w14:solidFill>
                </w14:textFill>
              </w:rPr>
              <w:t>云南龙泉矿业开发有限公司“45万吨/年普通建筑材料用石灰岩露天开采技术改造项目”用地范围内的空地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建设。根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据现场踏勘调查，</w:t>
            </w:r>
            <w:r>
              <w:rPr>
                <w:rFonts w:hint="eastAsia" w:cs="Times New Roman"/>
                <w:color w:val="000000" w:themeColor="text1"/>
                <w:sz w:val="24"/>
                <w:szCs w:val="24"/>
                <w:lang w:val="en-US" w:eastAsia="zh-CN"/>
                <w14:textFill>
                  <w14:solidFill>
                    <w14:schemeClr w14:val="tx1"/>
                  </w14:solidFill>
                </w14:textFill>
              </w:rPr>
              <w:t>项目现</w:t>
            </w:r>
            <w:r>
              <w:rPr>
                <w:rFonts w:hint="eastAsia" w:cs="Times New Roman"/>
                <w:color w:val="auto"/>
                <w:sz w:val="24"/>
                <w:szCs w:val="24"/>
                <w:lang w:val="en-US" w:eastAsia="zh-CN"/>
              </w:rPr>
              <w:t>场</w:t>
            </w:r>
            <w:r>
              <w:rPr>
                <w:rFonts w:hint="eastAsia" w:ascii="Times New Roman" w:hAnsi="Times New Roman" w:eastAsia="宋体" w:cs="Times New Roman"/>
                <w:color w:val="auto"/>
                <w:sz w:val="24"/>
                <w:lang w:val="en-US" w:eastAsia="zh-CN"/>
              </w:rPr>
              <w:t>现状</w:t>
            </w:r>
            <w:r>
              <w:rPr>
                <w:rFonts w:hint="eastAsia" w:cs="Times New Roman"/>
                <w:color w:val="auto"/>
                <w:sz w:val="24"/>
                <w:lang w:val="en-US" w:eastAsia="zh-CN"/>
              </w:rPr>
              <w:t>主体工程、储运工程及部分环保工程</w:t>
            </w:r>
            <w:r>
              <w:rPr>
                <w:rFonts w:hint="eastAsia" w:eastAsia="宋体" w:cs="Times New Roman"/>
                <w:color w:val="auto"/>
                <w:sz w:val="24"/>
                <w:lang w:val="en-US" w:eastAsia="zh-CN"/>
              </w:rPr>
              <w:t>已</w:t>
            </w:r>
            <w:r>
              <w:rPr>
                <w:rFonts w:hint="eastAsia" w:ascii="Times New Roman" w:hAnsi="Times New Roman" w:eastAsia="宋体" w:cs="Times New Roman"/>
                <w:color w:val="auto"/>
                <w:sz w:val="24"/>
                <w:lang w:val="en-US" w:eastAsia="zh-CN"/>
              </w:rPr>
              <w:t>建设</w:t>
            </w:r>
            <w:r>
              <w:rPr>
                <w:rFonts w:hint="eastAsia"/>
                <w:color w:val="auto"/>
                <w:lang w:val="en-US" w:eastAsia="zh-CN"/>
              </w:rPr>
              <w:t>完成，后期主要整改完善环保工程</w:t>
            </w:r>
            <w:r>
              <w:rPr>
                <w:rFonts w:hint="eastAsia" w:ascii="Times New Roman" w:hAnsi="Times New Roman" w:eastAsia="宋体" w:cs="Times New Roman"/>
                <w:color w:val="auto"/>
                <w:sz w:val="24"/>
                <w:lang w:val="en-US" w:eastAsia="zh-CN"/>
              </w:rPr>
              <w:t>，现场遗留部分建筑垃圾，待现场整改完成，能回收利用部分外售给废品回收站，不能回收部分交由政府指点单位处置，无其他相关环境问题。</w:t>
            </w:r>
          </w:p>
          <w:p w14:paraId="5F1465C8">
            <w:pPr>
              <w:keepNext w:val="0"/>
              <w:keepLines w:val="0"/>
              <w:pageBreakBefore w:val="0"/>
              <w:widowControl w:val="0"/>
              <w:kinsoku/>
              <w:wordWrap/>
              <w:overflowPunct/>
              <w:topLinePunct w:val="0"/>
              <w:autoSpaceDE/>
              <w:autoSpaceDN/>
              <w:bidi w:val="0"/>
              <w:adjustRightInd/>
              <w:snapToGrid/>
              <w:ind w:firstLine="480"/>
              <w:textAlignment w:val="auto"/>
              <w:rPr>
                <w:rFonts w:hint="eastAsia" w:eastAsia="宋体"/>
                <w:lang w:val="en-US" w:eastAsia="zh-CN"/>
              </w:rPr>
            </w:pPr>
            <w:r>
              <w:rPr>
                <w:rFonts w:hint="eastAsia" w:cs="Times New Roman"/>
                <w:b w:val="0"/>
                <w:bCs w:val="0"/>
                <w:color w:val="auto"/>
                <w:sz w:val="24"/>
                <w:szCs w:val="24"/>
                <w:lang w:val="en-US" w:eastAsia="zh-CN"/>
              </w:rPr>
              <w:t>云南龙泉矿业开发有限公司“45万吨/年普通建筑材料用石灰岩露天开</w:t>
            </w:r>
            <w:r>
              <w:rPr>
                <w:rFonts w:hint="eastAsia" w:cs="Times New Roman"/>
                <w:b w:val="0"/>
                <w:bCs w:val="0"/>
                <w:color w:val="000000" w:themeColor="text1"/>
                <w:sz w:val="24"/>
                <w:szCs w:val="24"/>
                <w:lang w:val="en-US" w:eastAsia="zh-CN"/>
                <w14:textFill>
                  <w14:solidFill>
                    <w14:schemeClr w14:val="tx1"/>
                  </w14:solidFill>
                </w14:textFill>
              </w:rPr>
              <w:t>采技术改造项目”于2020年12月31日取得《45万吨/年普通建筑材料用石灰岩露天开采技术改造项目环境影响报告书的批复》（昆生环寻</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〔2020〕232号</w:t>
            </w:r>
            <w:r>
              <w:rPr>
                <w:rFonts w:hint="eastAsia"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highlight w:val="none"/>
                <w:lang w:val="en-US" w:eastAsia="zh-CN"/>
                <w14:textFill>
                  <w14:solidFill>
                    <w14:schemeClr w14:val="tx1"/>
                  </w14:solidFill>
                </w14:textFill>
              </w:rPr>
              <w:t>见附件6</w:t>
            </w:r>
            <w:r>
              <w:rPr>
                <w:rFonts w:hint="eastAsia" w:cs="Times New Roman"/>
                <w:b w:val="0"/>
                <w:bCs w:val="0"/>
                <w:color w:val="000000" w:themeColor="text1"/>
                <w:sz w:val="24"/>
                <w:szCs w:val="24"/>
                <w:lang w:val="en-US" w:eastAsia="zh-CN"/>
                <w14:textFill>
                  <w14:solidFill>
                    <w14:schemeClr w14:val="tx1"/>
                  </w14:solidFill>
                </w14:textFill>
              </w:rPr>
              <w:t>），2021年4月12日取得固定污染源登记回执（</w:t>
            </w:r>
            <w:r>
              <w:rPr>
                <w:rFonts w:hint="eastAsia" w:cs="Times New Roman"/>
                <w:b w:val="0"/>
                <w:bCs w:val="0"/>
                <w:color w:val="000000" w:themeColor="text1"/>
                <w:sz w:val="24"/>
                <w:szCs w:val="24"/>
                <w:highlight w:val="none"/>
                <w:lang w:val="en-US" w:eastAsia="zh-CN"/>
                <w14:textFill>
                  <w14:solidFill>
                    <w14:schemeClr w14:val="tx1"/>
                  </w14:solidFill>
                </w14:textFill>
              </w:rPr>
              <w:t>见</w:t>
            </w:r>
            <w:r>
              <w:rPr>
                <w:rFonts w:hint="eastAsia" w:cs="Times New Roman"/>
                <w:b w:val="0"/>
                <w:bCs w:val="0"/>
                <w:color w:val="auto"/>
                <w:sz w:val="24"/>
                <w:szCs w:val="24"/>
                <w:highlight w:val="none"/>
                <w:lang w:val="en-US" w:eastAsia="zh-CN"/>
              </w:rPr>
              <w:t>附件8</w:t>
            </w:r>
            <w:r>
              <w:rPr>
                <w:rFonts w:hint="eastAsia" w:cs="Times New Roman"/>
                <w:b w:val="0"/>
                <w:bCs w:val="0"/>
                <w:color w:val="auto"/>
                <w:sz w:val="24"/>
                <w:szCs w:val="24"/>
                <w:lang w:val="en-US" w:eastAsia="zh-CN"/>
              </w:rPr>
              <w:t>），并</w:t>
            </w:r>
            <w:r>
              <w:rPr>
                <w:rFonts w:hint="eastAsia"/>
                <w:color w:val="auto"/>
                <w:sz w:val="24"/>
                <w:szCs w:val="24"/>
                <w:highlight w:val="none"/>
              </w:rPr>
              <w:t>于20</w:t>
            </w:r>
            <w:r>
              <w:rPr>
                <w:rFonts w:hint="eastAsia"/>
                <w:color w:val="auto"/>
                <w:sz w:val="24"/>
                <w:szCs w:val="24"/>
                <w:highlight w:val="none"/>
                <w:lang w:val="en-US" w:eastAsia="zh-CN"/>
              </w:rPr>
              <w:t>22</w:t>
            </w:r>
            <w:r>
              <w:rPr>
                <w:rFonts w:hint="eastAsia"/>
                <w:color w:val="auto"/>
                <w:sz w:val="24"/>
                <w:szCs w:val="24"/>
                <w:highlight w:val="none"/>
              </w:rPr>
              <w:t>年</w:t>
            </w:r>
            <w:r>
              <w:rPr>
                <w:rFonts w:hint="eastAsia"/>
                <w:color w:val="auto"/>
                <w:sz w:val="24"/>
                <w:szCs w:val="24"/>
                <w:highlight w:val="none"/>
                <w:lang w:val="en-US" w:eastAsia="zh-CN"/>
              </w:rPr>
              <w:t>5</w:t>
            </w:r>
            <w:r>
              <w:rPr>
                <w:rFonts w:hint="eastAsia"/>
                <w:color w:val="auto"/>
                <w:sz w:val="24"/>
                <w:szCs w:val="24"/>
                <w:highlight w:val="none"/>
              </w:rPr>
              <w:t>月</w:t>
            </w:r>
            <w:r>
              <w:rPr>
                <w:rFonts w:hint="eastAsia"/>
                <w:color w:val="auto"/>
                <w:sz w:val="24"/>
                <w:szCs w:val="24"/>
                <w:highlight w:val="none"/>
                <w:lang w:val="en-US" w:eastAsia="zh-CN"/>
              </w:rPr>
              <w:t>8日内</w:t>
            </w:r>
            <w:r>
              <w:rPr>
                <w:rFonts w:hint="eastAsia"/>
                <w:color w:val="auto"/>
                <w:sz w:val="24"/>
                <w:szCs w:val="24"/>
                <w:highlight w:val="none"/>
              </w:rPr>
              <w:t>通过竣工环境保护验收</w:t>
            </w:r>
            <w:r>
              <w:rPr>
                <w:rFonts w:hint="eastAsia"/>
                <w:color w:val="auto"/>
                <w:sz w:val="24"/>
                <w:szCs w:val="24"/>
                <w:highlight w:val="none"/>
                <w:lang w:val="en-US" w:eastAsia="zh-CN"/>
              </w:rPr>
              <w:t>意见（附件7）</w:t>
            </w:r>
            <w:r>
              <w:rPr>
                <w:rFonts w:hint="eastAsia"/>
                <w:color w:val="auto"/>
                <w:sz w:val="24"/>
                <w:szCs w:val="24"/>
                <w:highlight w:val="none"/>
                <w:lang w:eastAsia="zh-CN"/>
              </w:rPr>
              <w:t>。</w:t>
            </w:r>
            <w:r>
              <w:rPr>
                <w:rFonts w:hint="eastAsia"/>
                <w:color w:val="auto"/>
                <w:sz w:val="24"/>
                <w:szCs w:val="24"/>
                <w:highlight w:val="none"/>
                <w:lang w:val="en-US" w:eastAsia="zh-CN"/>
              </w:rPr>
              <w:t>本项目区无</w:t>
            </w:r>
            <w:r>
              <w:rPr>
                <w:rFonts w:hint="eastAsia"/>
                <w:color w:val="auto"/>
                <w:highlight w:val="none"/>
              </w:rPr>
              <w:t>与项目有关的原有环境污染和生态破坏问题</w:t>
            </w:r>
            <w:r>
              <w:rPr>
                <w:rFonts w:hint="eastAsia"/>
                <w:color w:val="auto"/>
                <w:highlight w:val="none"/>
                <w:lang w:eastAsia="zh-CN"/>
              </w:rPr>
              <w:t>。</w:t>
            </w:r>
          </w:p>
        </w:tc>
      </w:tr>
    </w:tbl>
    <w:p w14:paraId="676D2CEB">
      <w:pPr>
        <w:pStyle w:val="2"/>
        <w:jc w:val="center"/>
        <w:rPr>
          <w:rFonts w:hint="eastAsia" w:eastAsia="宋体"/>
          <w:lang w:eastAsia="zh-CN"/>
        </w:rPr>
      </w:pPr>
      <w:r>
        <w:rPr>
          <w:rFonts w:hint="eastAsia"/>
        </w:rPr>
        <w:br w:type="page"/>
      </w:r>
      <w:bookmarkStart w:id="14" w:name="_Toc31593"/>
      <w:r>
        <w:rPr>
          <w:rFonts w:hint="eastAsia"/>
        </w:rPr>
        <w:t>三、</w:t>
      </w:r>
      <w:r>
        <w:rPr>
          <w:rFonts w:hint="eastAsia"/>
          <w:lang w:eastAsia="zh-CN"/>
        </w:rPr>
        <w:t>区域环境质量现状、保护目标及评价标准</w:t>
      </w:r>
      <w:bookmarkEnd w:id="14"/>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1"/>
        <w:gridCol w:w="7511"/>
      </w:tblGrid>
      <w:tr w14:paraId="4D47C9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9" w:hRule="atLeast"/>
        </w:trPr>
        <w:tc>
          <w:tcPr>
            <w:tcW w:w="1011" w:type="dxa"/>
            <w:noWrap w:val="0"/>
            <w:vAlign w:val="center"/>
          </w:tcPr>
          <w:p w14:paraId="7FEC28A7">
            <w:pPr>
              <w:ind w:left="0" w:leftChars="0" w:firstLine="0" w:firstLineChars="0"/>
              <w:rPr>
                <w:rFonts w:hint="eastAsia" w:eastAsia="宋体"/>
                <w:lang w:eastAsia="zh-CN"/>
              </w:rPr>
            </w:pPr>
            <w:r>
              <w:rPr>
                <w:rFonts w:hint="eastAsia"/>
                <w:lang w:eastAsia="zh-CN"/>
              </w:rPr>
              <w:t>区域环境质量现状</w:t>
            </w:r>
          </w:p>
        </w:tc>
        <w:tc>
          <w:tcPr>
            <w:tcW w:w="7511" w:type="dxa"/>
            <w:noWrap w:val="0"/>
            <w:vAlign w:val="center"/>
          </w:tcPr>
          <w:p w14:paraId="325E8C1C">
            <w:pPr>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default" w:ascii="Times New Roman" w:hAnsi="Times New Roman" w:eastAsia="宋体" w:cs="Times New Roman"/>
                <w:b/>
                <w:color w:val="auto"/>
                <w:highlight w:val="yellow"/>
              </w:rPr>
            </w:pPr>
            <w:r>
              <w:rPr>
                <w:rFonts w:hint="eastAsia"/>
                <w:color w:val="FF0000"/>
                <w:lang w:val="en-US" w:eastAsia="zh-CN"/>
              </w:rPr>
              <w:t xml:space="preserve"> </w:t>
            </w:r>
            <w:r>
              <w:rPr>
                <w:rFonts w:hint="default" w:ascii="Times New Roman" w:hAnsi="Times New Roman" w:eastAsia="宋体" w:cs="Times New Roman"/>
                <w:b/>
                <w:color w:val="auto"/>
                <w:highlight w:val="none"/>
                <w:lang w:val="en-US" w:eastAsia="zh-CN"/>
              </w:rPr>
              <w:t>一</w:t>
            </w:r>
            <w:r>
              <w:rPr>
                <w:rFonts w:hint="default" w:ascii="Times New Roman" w:hAnsi="Times New Roman" w:eastAsia="宋体" w:cs="Times New Roman"/>
                <w:b/>
                <w:color w:val="auto"/>
                <w:highlight w:val="none"/>
              </w:rPr>
              <w:t>、大气环境</w:t>
            </w:r>
          </w:p>
          <w:p w14:paraId="00A4672B">
            <w:pPr>
              <w:adjustRightInd w:val="0"/>
              <w:snapToGrid w:val="0"/>
              <w:ind w:firstLine="480"/>
              <w:rPr>
                <w:rFonts w:hint="default" w:ascii="Times New Roman" w:hAnsi="Times New Roman" w:eastAsia="宋体" w:cs="Times New Roman"/>
                <w:color w:val="auto"/>
                <w:szCs w:val="22"/>
                <w:lang w:val="en-US"/>
              </w:rPr>
            </w:pPr>
            <w:r>
              <w:rPr>
                <w:rFonts w:hint="default" w:ascii="Times New Roman" w:hAnsi="Times New Roman" w:eastAsia="宋体" w:cs="Times New Roman"/>
                <w:b/>
                <w:bCs/>
                <w:color w:val="auto"/>
                <w:sz w:val="24"/>
                <w:szCs w:val="24"/>
                <w:lang w:val="en-US" w:eastAsia="zh-CN"/>
              </w:rPr>
              <w:t>（一）所在区域达标判定</w:t>
            </w:r>
          </w:p>
          <w:p w14:paraId="1DB1D22A">
            <w:pPr>
              <w:adjustRightInd w:val="0"/>
              <w:snapToGrid w:val="0"/>
              <w:ind w:firstLine="480"/>
              <w:rPr>
                <w:rFonts w:hint="default" w:ascii="Times New Roman" w:hAnsi="Times New Roman" w:eastAsia="宋体" w:cs="Times New Roman"/>
                <w:color w:val="auto"/>
                <w:kern w:val="0"/>
              </w:rPr>
            </w:pPr>
            <w:r>
              <w:rPr>
                <w:rFonts w:hint="default" w:ascii="Times New Roman" w:hAnsi="Times New Roman" w:eastAsia="宋体" w:cs="Times New Roman"/>
                <w:color w:val="auto"/>
                <w:szCs w:val="22"/>
              </w:rPr>
              <w:t>本项目位于</w:t>
            </w:r>
            <w:r>
              <w:rPr>
                <w:rFonts w:hint="eastAsia"/>
                <w:u w:val="none"/>
                <w:lang w:val="en-US" w:eastAsia="zh-CN"/>
              </w:rPr>
              <w:t>云南省昆明市寻甸县仁德街道到院社区大发古村石头山采石场</w:t>
            </w:r>
            <w:r>
              <w:rPr>
                <w:rFonts w:hint="default" w:ascii="Times New Roman" w:hAnsi="Times New Roman" w:eastAsia="宋体" w:cs="Times New Roman"/>
                <w:color w:val="auto"/>
                <w:szCs w:val="22"/>
              </w:rPr>
              <w:t>，</w:t>
            </w:r>
            <w:r>
              <w:rPr>
                <w:rFonts w:hint="default" w:ascii="Times New Roman" w:hAnsi="Times New Roman" w:eastAsia="宋体" w:cs="Times New Roman"/>
                <w:color w:val="auto"/>
                <w:kern w:val="0"/>
              </w:rPr>
              <w:t>区域环境空气质量功能区划为二类区，执行《环境空气质量标准》（GB3095－2012）二级标准。</w:t>
            </w:r>
          </w:p>
          <w:p w14:paraId="3014CA7E">
            <w:pPr>
              <w:keepNext w:val="0"/>
              <w:keepLines w:val="0"/>
              <w:widowControl/>
              <w:suppressLineNumbers w:val="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根据《环境影响评价技术导则 大气环境》（HJ2.2-2018）</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5.5 评价基准年筛选依据评价所需环境空气质量现状、气象资料等数据的可获得性、数据质量、代表性等因素，选择近3年中数据相对完整的1个日历年作为评价基准年</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6.2 数据来源，采用评价范围内国家或地方环境空气质量监测网中评价基准年连续1年的监测数据，或采用生态环境主管部门公开发布的环境空气质量现状数据；评价范围内没有环境空气质量监测网数据或公开发布的环境空气质量数据的，可选择符合HJ664规定，并且与评价范围地理位置邻近，地形、气候条件相近的环境空气质量城市点或区域背景点监测数据</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w:t>
            </w:r>
          </w:p>
          <w:p w14:paraId="3EFF988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根据《202</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年度昆明市生态环境状况公报》，2024年昆明市主城区外所辖的8个县</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市</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、区环境空气质量总体保持良好，各项污染物平均浓度均达到《环境空气质量标准》</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GB3095-2012</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二级标准</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空气优良天数比例范围为97.50%</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100%，与2023年相比，石林县、富民县、宜良县、东川区、</w:t>
            </w:r>
            <w:r>
              <w:rPr>
                <w:rFonts w:hint="eastAsia" w:cs="Times New Roman"/>
                <w:color w:val="auto"/>
                <w:kern w:val="0"/>
                <w:sz w:val="24"/>
                <w:szCs w:val="24"/>
                <w:lang w:val="en-US" w:eastAsia="zh-CN" w:bidi="ar"/>
              </w:rPr>
              <w:t>寻甸</w:t>
            </w:r>
            <w:r>
              <w:rPr>
                <w:rFonts w:hint="default" w:ascii="Times New Roman" w:hAnsi="Times New Roman" w:eastAsia="宋体" w:cs="Times New Roman"/>
                <w:color w:val="auto"/>
                <w:kern w:val="0"/>
                <w:sz w:val="24"/>
                <w:szCs w:val="24"/>
                <w:lang w:val="en-US" w:eastAsia="zh-CN" w:bidi="ar"/>
              </w:rPr>
              <w:t>县、</w:t>
            </w:r>
            <w:r>
              <w:rPr>
                <w:rFonts w:hint="eastAsia" w:cs="Times New Roman"/>
                <w:color w:val="auto"/>
                <w:kern w:val="0"/>
                <w:sz w:val="24"/>
                <w:szCs w:val="24"/>
                <w:lang w:val="en-US" w:eastAsia="zh-CN" w:bidi="ar"/>
              </w:rPr>
              <w:t>嵩</w:t>
            </w:r>
            <w:r>
              <w:rPr>
                <w:rFonts w:hint="default" w:ascii="Times New Roman" w:hAnsi="Times New Roman" w:eastAsia="宋体" w:cs="Times New Roman"/>
                <w:color w:val="auto"/>
                <w:kern w:val="0"/>
                <w:sz w:val="24"/>
                <w:szCs w:val="24"/>
                <w:lang w:val="en-US" w:eastAsia="zh-CN" w:bidi="ar"/>
              </w:rPr>
              <w:t>明县、</w:t>
            </w:r>
            <w:r>
              <w:rPr>
                <w:rFonts w:hint="eastAsia" w:cs="Times New Roman"/>
                <w:color w:val="auto"/>
                <w:kern w:val="0"/>
                <w:sz w:val="24"/>
                <w:szCs w:val="24"/>
                <w:lang w:val="en-US" w:eastAsia="zh-CN" w:bidi="ar"/>
              </w:rPr>
              <w:t>禄</w:t>
            </w:r>
            <w:r>
              <w:rPr>
                <w:rFonts w:hint="default" w:ascii="Times New Roman" w:hAnsi="Times New Roman" w:eastAsia="宋体" w:cs="Times New Roman"/>
                <w:color w:val="auto"/>
                <w:kern w:val="0"/>
                <w:sz w:val="24"/>
                <w:szCs w:val="24"/>
                <w:lang w:val="en-US" w:eastAsia="zh-CN" w:bidi="ar"/>
              </w:rPr>
              <w:t>劝县空气优良天数比例均有提高。</w:t>
            </w:r>
          </w:p>
          <w:p w14:paraId="64DB19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因此，项目所在区域属环境空气质量达标区。</w:t>
            </w:r>
          </w:p>
          <w:p w14:paraId="7E8E4CA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二</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sz w:val="24"/>
                <w:szCs w:val="24"/>
                <w:lang w:val="en-US" w:eastAsia="zh-CN"/>
              </w:rPr>
              <w:t>特征因子环境质量现状</w:t>
            </w:r>
          </w:p>
          <w:p w14:paraId="31BA5E59">
            <w:pPr>
              <w:keepNext w:val="0"/>
              <w:keepLines w:val="0"/>
              <w:widowControl/>
              <w:suppressLineNumbers w:val="0"/>
              <w:spacing w:line="360" w:lineRule="auto"/>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为了解</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本项目涉及的特征因子TSP、</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非甲烷总烃、氮氧化物、苯并[a]芘，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环境空气质量现状</w:t>
            </w:r>
            <w:r>
              <w:rPr>
                <w:rFonts w:hint="eastAsia" w:cs="Times New Roman"/>
                <w:color w:val="000000" w:themeColor="text1"/>
                <w:kern w:val="0"/>
                <w:sz w:val="24"/>
                <w:szCs w:val="24"/>
                <w:lang w:val="en-US" w:eastAsia="zh-CN" w:bidi="ar"/>
                <w14:textFill>
                  <w14:solidFill>
                    <w14:schemeClr w14:val="tx1"/>
                  </w14:solidFill>
                </w14:textFill>
              </w:rPr>
              <w:t>，建设单</w:t>
            </w:r>
            <w:r>
              <w:rPr>
                <w:rFonts w:hint="eastAsia" w:cs="Times New Roman"/>
                <w:color w:val="000000" w:themeColor="text1"/>
                <w:kern w:val="0"/>
                <w:sz w:val="24"/>
                <w:szCs w:val="24"/>
                <w:highlight w:val="none"/>
                <w:lang w:val="en-US" w:eastAsia="zh-CN" w:bidi="ar"/>
                <w14:textFill>
                  <w14:solidFill>
                    <w14:schemeClr w14:val="tx1"/>
                  </w14:solidFill>
                </w14:textFill>
              </w:rPr>
              <w:t>位</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委托云南</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鼎祺</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检测有限公司对</w:t>
            </w:r>
            <w:r>
              <w:rPr>
                <w:rFonts w:hint="eastAsia" w:cs="Times New Roman"/>
                <w:color w:val="000000" w:themeColor="text1"/>
                <w:kern w:val="0"/>
                <w:sz w:val="24"/>
                <w:szCs w:val="24"/>
                <w:highlight w:val="none"/>
                <w:lang w:val="en-US" w:eastAsia="zh-CN" w:bidi="ar"/>
                <w14:textFill>
                  <w14:solidFill>
                    <w14:schemeClr w14:val="tx1"/>
                  </w14:solidFill>
                </w14:textFill>
              </w:rPr>
              <w:t>项目区下风向进行</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大气环境质量现状监测，监测时间为202</w:t>
            </w:r>
            <w:r>
              <w:rPr>
                <w:rFonts w:hint="eastAsia" w:cs="Times New Roman"/>
                <w:color w:val="000000" w:themeColor="text1"/>
                <w:kern w:val="0"/>
                <w:sz w:val="24"/>
                <w:szCs w:val="24"/>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06</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w:t>
            </w:r>
            <w:r>
              <w:rPr>
                <w:rFonts w:hint="eastAsia" w:cs="Times New Roman"/>
                <w:color w:val="000000" w:themeColor="text1"/>
                <w:kern w:val="0"/>
                <w:sz w:val="24"/>
                <w:szCs w:val="24"/>
                <w:highlight w:val="none"/>
                <w:lang w:val="en-US" w:eastAsia="zh-CN" w:bidi="ar"/>
                <w14:textFill>
                  <w14:solidFill>
                    <w14:schemeClr w14:val="tx1"/>
                  </w14:solidFill>
                </w14:textFill>
              </w:rPr>
              <w:t>21</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日-202</w:t>
            </w:r>
            <w:r>
              <w:rPr>
                <w:rFonts w:hint="eastAsia" w:cs="Times New Roman"/>
                <w:color w:val="000000" w:themeColor="text1"/>
                <w:kern w:val="0"/>
                <w:sz w:val="24"/>
                <w:szCs w:val="24"/>
                <w:highlight w:val="none"/>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w:t>
            </w:r>
            <w:r>
              <w:rPr>
                <w:rFonts w:hint="eastAsia" w:cs="Times New Roman"/>
                <w:color w:val="000000" w:themeColor="text1"/>
                <w:kern w:val="0"/>
                <w:sz w:val="24"/>
                <w:szCs w:val="24"/>
                <w:highlight w:val="none"/>
                <w:lang w:val="en-US" w:eastAsia="zh-CN" w:bidi="ar"/>
                <w14:textFill>
                  <w14:solidFill>
                    <w14:schemeClr w14:val="tx1"/>
                  </w14:solidFill>
                </w14:textFill>
              </w:rPr>
              <w:t>06</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月</w:t>
            </w:r>
            <w:r>
              <w:rPr>
                <w:rFonts w:hint="eastAsia" w:cs="Times New Roman"/>
                <w:color w:val="000000" w:themeColor="text1"/>
                <w:kern w:val="0"/>
                <w:sz w:val="24"/>
                <w:szCs w:val="24"/>
                <w:highlight w:val="none"/>
                <w:lang w:val="en-US" w:eastAsia="zh-CN" w:bidi="ar"/>
                <w14:textFill>
                  <w14:solidFill>
                    <w14:schemeClr w14:val="tx1"/>
                  </w14:solidFill>
                </w14:textFill>
              </w:rPr>
              <w:t>23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日，</w:t>
            </w:r>
            <w:r>
              <w:rPr>
                <w:rFonts w:hint="eastAsia" w:cs="Times New Roman"/>
                <w:color w:val="000000" w:themeColor="text1"/>
                <w:kern w:val="0"/>
                <w:sz w:val="24"/>
                <w:szCs w:val="24"/>
                <w:highlight w:val="none"/>
                <w:lang w:val="en-US" w:eastAsia="zh-CN" w:bidi="ar"/>
                <w14:textFill>
                  <w14:solidFill>
                    <w14:schemeClr w14:val="tx1"/>
                  </w14:solidFill>
                </w14:textFill>
              </w:rPr>
              <w:t>监测</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据及达标分析见表3-1。</w:t>
            </w:r>
          </w:p>
          <w:p w14:paraId="54330B6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bCs/>
                <w:color w:val="000000"/>
                <w:kern w:val="0"/>
                <w:sz w:val="21"/>
                <w:szCs w:val="21"/>
                <w:highlight w:val="none"/>
                <w:lang w:val="en-US" w:eastAsia="zh-CN" w:bidi="ar"/>
              </w:rPr>
              <w:t>表3-1</w:t>
            </w:r>
            <w:r>
              <w:rPr>
                <w:rFonts w:hint="eastAsia" w:cs="Times New Roman"/>
                <w:b/>
                <w:bCs/>
                <w:color w:val="000000"/>
                <w:kern w:val="0"/>
                <w:sz w:val="21"/>
                <w:szCs w:val="21"/>
                <w:highlight w:val="none"/>
                <w:lang w:val="en-US" w:eastAsia="zh-CN" w:bidi="ar"/>
              </w:rPr>
              <w:t xml:space="preserve">  </w:t>
            </w:r>
            <w:r>
              <w:rPr>
                <w:rFonts w:hint="default" w:ascii="Times New Roman" w:hAnsi="Times New Roman" w:eastAsia="宋体" w:cs="Times New Roman"/>
                <w:b/>
                <w:bCs/>
                <w:color w:val="000000"/>
                <w:kern w:val="0"/>
                <w:sz w:val="21"/>
                <w:szCs w:val="21"/>
                <w:highlight w:val="none"/>
                <w:lang w:val="en-US" w:eastAsia="zh-CN" w:bidi="ar"/>
              </w:rPr>
              <w:t>项目环境空气质量现状监测结果</w:t>
            </w:r>
          </w:p>
          <w:tbl>
            <w:tblPr>
              <w:tblStyle w:val="16"/>
              <w:tblW w:w="7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694"/>
              <w:gridCol w:w="637"/>
              <w:gridCol w:w="863"/>
              <w:gridCol w:w="994"/>
              <w:gridCol w:w="1702"/>
              <w:gridCol w:w="810"/>
              <w:gridCol w:w="723"/>
            </w:tblGrid>
            <w:tr w14:paraId="304F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noWrap w:val="0"/>
                  <w:vAlign w:val="center"/>
                </w:tcPr>
                <w:p w14:paraId="72DA16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检测</w:t>
                  </w:r>
                </w:p>
                <w:p w14:paraId="235ED7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项目</w:t>
                  </w:r>
                </w:p>
              </w:tc>
              <w:tc>
                <w:tcPr>
                  <w:tcW w:w="469" w:type="pct"/>
                  <w:noWrap w:val="0"/>
                  <w:vAlign w:val="center"/>
                </w:tcPr>
                <w:p w14:paraId="1703D0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监测</w:t>
                  </w:r>
                </w:p>
                <w:p w14:paraId="21AD0E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点位</w:t>
                  </w:r>
                </w:p>
              </w:tc>
              <w:tc>
                <w:tcPr>
                  <w:tcW w:w="1013" w:type="pct"/>
                  <w:gridSpan w:val="2"/>
                  <w:noWrap w:val="0"/>
                  <w:vAlign w:val="center"/>
                </w:tcPr>
                <w:p w14:paraId="6006C6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采样时间</w:t>
                  </w:r>
                </w:p>
              </w:tc>
              <w:tc>
                <w:tcPr>
                  <w:tcW w:w="671" w:type="pct"/>
                  <w:noWrap w:val="0"/>
                  <w:vAlign w:val="center"/>
                </w:tcPr>
                <w:p w14:paraId="6D6672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t>检测结果</w:t>
                  </w:r>
                </w:p>
              </w:tc>
              <w:tc>
                <w:tcPr>
                  <w:tcW w:w="1150" w:type="pct"/>
                  <w:noWrap w:val="0"/>
                  <w:vAlign w:val="center"/>
                </w:tcPr>
                <w:p w14:paraId="55CD81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b/>
                      <w:bCs/>
                      <w:i w:val="0"/>
                      <w:iCs w:val="0"/>
                      <w:caps w:val="0"/>
                      <w:color w:val="auto"/>
                      <w:spacing w:val="0"/>
                      <w:sz w:val="21"/>
                      <w:szCs w:val="21"/>
                      <w:shd w:val="clear" w:color="auto" w:fill="FFFFFF"/>
                      <w:vertAlign w:val="baseline"/>
                      <w:lang w:val="en-US" w:eastAsia="zh-CN"/>
                    </w:rPr>
                    <w:t>《环境空气质量标准》（GB3095-2012）二级标准要求标准值</w:t>
                  </w:r>
                </w:p>
              </w:tc>
              <w:tc>
                <w:tcPr>
                  <w:tcW w:w="547" w:type="pct"/>
                  <w:noWrap w:val="0"/>
                  <w:vAlign w:val="center"/>
                </w:tcPr>
                <w:p w14:paraId="77BDF5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单位</w:t>
                  </w:r>
                </w:p>
              </w:tc>
              <w:tc>
                <w:tcPr>
                  <w:tcW w:w="488" w:type="pct"/>
                  <w:noWrap w:val="0"/>
                  <w:vAlign w:val="center"/>
                </w:tcPr>
                <w:p w14:paraId="404030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p w14:paraId="3C7D50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b/>
                      <w:bCs/>
                      <w:i w:val="0"/>
                      <w:iCs w:val="0"/>
                      <w:caps w:val="0"/>
                      <w:color w:val="000000" w:themeColor="text1"/>
                      <w:spacing w:val="0"/>
                      <w:sz w:val="21"/>
                      <w:szCs w:val="21"/>
                      <w:shd w:val="clear" w:color="auto" w:fill="FFFFFF"/>
                      <w:vertAlign w:val="baseline"/>
                      <w:lang w:val="en-US" w:eastAsia="zh-CN"/>
                      <w14:textFill>
                        <w14:solidFill>
                          <w14:schemeClr w14:val="tx1"/>
                        </w14:solidFill>
                      </w14:textFill>
                    </w:rPr>
                    <w:t>情况</w:t>
                  </w:r>
                </w:p>
              </w:tc>
            </w:tr>
            <w:tr w14:paraId="0F3E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restart"/>
                  <w:noWrap w:val="0"/>
                  <w:vAlign w:val="center"/>
                </w:tcPr>
                <w:p w14:paraId="30B251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t>总悬浮颗粒物</w:t>
                  </w:r>
                  <w:r>
                    <w:rPr>
                      <w:rFonts w:hint="eastAsia" w:cs="Times New Roman"/>
                      <w:i w:val="0"/>
                      <w:iCs w:val="0"/>
                      <w:caps w:val="0"/>
                      <w:color w:val="auto"/>
                      <w:spacing w:val="0"/>
                      <w:sz w:val="21"/>
                      <w:szCs w:val="21"/>
                      <w:shd w:val="clear" w:color="auto" w:fill="FFFFFF"/>
                      <w:vertAlign w:val="baseline"/>
                      <w:lang w:val="en-US" w:eastAsia="zh-CN"/>
                    </w:rPr>
                    <w:t>（日均值）</w:t>
                  </w:r>
                </w:p>
              </w:tc>
              <w:tc>
                <w:tcPr>
                  <w:tcW w:w="469" w:type="pct"/>
                  <w:vMerge w:val="restart"/>
                  <w:noWrap w:val="0"/>
                  <w:vAlign w:val="center"/>
                </w:tcPr>
                <w:p w14:paraId="5A0F96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rPr>
                  </w:pPr>
                  <w:r>
                    <w:rPr>
                      <w:rFonts w:hint="eastAsia" w:cs="Times New Roman"/>
                      <w:color w:val="auto"/>
                      <w:kern w:val="0"/>
                      <w:sz w:val="21"/>
                      <w:szCs w:val="21"/>
                      <w:lang w:val="en-US" w:eastAsia="zh-CN" w:bidi="ar"/>
                    </w:rPr>
                    <w:t>项目区下风向厂界G1</w:t>
                  </w:r>
                </w:p>
              </w:tc>
              <w:tc>
                <w:tcPr>
                  <w:tcW w:w="1013" w:type="pct"/>
                  <w:gridSpan w:val="2"/>
                  <w:noWrap w:val="0"/>
                  <w:vAlign w:val="center"/>
                </w:tcPr>
                <w:p w14:paraId="32BC42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rPr>
                  </w:pPr>
                  <w:r>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t>202</w:t>
                  </w:r>
                  <w:r>
                    <w:rPr>
                      <w:rFonts w:hint="eastAsia" w:cs="Times New Roman"/>
                      <w:i w:val="0"/>
                      <w:iCs w:val="0"/>
                      <w:caps w:val="0"/>
                      <w:color w:val="auto"/>
                      <w:spacing w:val="0"/>
                      <w:sz w:val="21"/>
                      <w:szCs w:val="21"/>
                      <w:shd w:val="clear" w:color="auto" w:fill="FFFFFF"/>
                      <w:vertAlign w:val="baseline"/>
                      <w:lang w:val="en-US" w:eastAsia="zh-CN"/>
                    </w:rPr>
                    <w:t>5.06.21</w:t>
                  </w:r>
                </w:p>
              </w:tc>
              <w:tc>
                <w:tcPr>
                  <w:tcW w:w="671" w:type="pct"/>
                  <w:noWrap w:val="0"/>
                  <w:vAlign w:val="center"/>
                </w:tcPr>
                <w:p w14:paraId="198891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154</w:t>
                  </w:r>
                </w:p>
              </w:tc>
              <w:tc>
                <w:tcPr>
                  <w:tcW w:w="1150" w:type="pct"/>
                  <w:vMerge w:val="restart"/>
                  <w:shd w:val="clear" w:color="auto" w:fill="auto"/>
                  <w:noWrap w:val="0"/>
                  <w:vAlign w:val="center"/>
                </w:tcPr>
                <w:p w14:paraId="5178C4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kern w:val="2"/>
                      <w:sz w:val="21"/>
                      <w:szCs w:val="21"/>
                      <w:shd w:val="clear" w:color="auto" w:fill="FFFFFF"/>
                      <w:vertAlign w:val="baseline"/>
                      <w:lang w:val="en-US" w:eastAsia="zh-CN" w:bidi="ar-SA"/>
                    </w:rPr>
                    <w:t>300</w:t>
                  </w:r>
                </w:p>
              </w:tc>
              <w:tc>
                <w:tcPr>
                  <w:tcW w:w="547" w:type="pct"/>
                  <w:shd w:val="clear" w:color="auto" w:fill="auto"/>
                  <w:noWrap w:val="0"/>
                  <w:vAlign w:val="center"/>
                </w:tcPr>
                <w:p w14:paraId="6AA20C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i w:val="0"/>
                      <w:iCs w:val="0"/>
                      <w:caps w:val="0"/>
                      <w:color w:val="auto"/>
                      <w:spacing w:val="0"/>
                      <w:kern w:val="2"/>
                      <w:sz w:val="21"/>
                      <w:szCs w:val="21"/>
                      <w:shd w:val="clear" w:color="auto" w:fill="FFFFFF"/>
                      <w:vertAlign w:val="baseline"/>
                      <w:lang w:val="en-US" w:eastAsia="zh-CN" w:bidi="ar-SA"/>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7D2E36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4216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017E45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311E0C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13" w:type="pct"/>
                  <w:gridSpan w:val="2"/>
                  <w:noWrap w:val="0"/>
                  <w:vAlign w:val="center"/>
                </w:tcPr>
                <w:p w14:paraId="2A06F6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2025.06.22</w:t>
                  </w:r>
                </w:p>
              </w:tc>
              <w:tc>
                <w:tcPr>
                  <w:tcW w:w="671" w:type="pct"/>
                  <w:noWrap w:val="0"/>
                  <w:vAlign w:val="center"/>
                </w:tcPr>
                <w:p w14:paraId="3BB749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153</w:t>
                  </w:r>
                </w:p>
              </w:tc>
              <w:tc>
                <w:tcPr>
                  <w:tcW w:w="1150" w:type="pct"/>
                  <w:vMerge w:val="continue"/>
                  <w:shd w:val="clear" w:color="auto" w:fill="auto"/>
                  <w:noWrap w:val="0"/>
                  <w:vAlign w:val="center"/>
                </w:tcPr>
                <w:p w14:paraId="67938D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p>
              </w:tc>
              <w:tc>
                <w:tcPr>
                  <w:tcW w:w="547" w:type="pct"/>
                  <w:shd w:val="clear" w:color="auto" w:fill="auto"/>
                  <w:noWrap w:val="0"/>
                  <w:vAlign w:val="center"/>
                </w:tcPr>
                <w:p w14:paraId="7973D4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i w:val="0"/>
                      <w:iCs w:val="0"/>
                      <w:caps w:val="0"/>
                      <w:color w:val="auto"/>
                      <w:spacing w:val="0"/>
                      <w:kern w:val="2"/>
                      <w:sz w:val="21"/>
                      <w:szCs w:val="21"/>
                      <w:shd w:val="clear" w:color="auto" w:fill="FFFFFF"/>
                      <w:vertAlign w:val="baseline"/>
                      <w:lang w:val="en-US" w:eastAsia="zh-CN" w:bidi="ar-SA"/>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7423BB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01DE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pct"/>
                  <w:vMerge w:val="continue"/>
                  <w:noWrap w:val="0"/>
                  <w:vAlign w:val="center"/>
                </w:tcPr>
                <w:p w14:paraId="39DBE5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7AF82C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13" w:type="pct"/>
                  <w:gridSpan w:val="2"/>
                  <w:noWrap w:val="0"/>
                  <w:vAlign w:val="center"/>
                </w:tcPr>
                <w:p w14:paraId="732349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2025.06.23</w:t>
                  </w:r>
                </w:p>
              </w:tc>
              <w:tc>
                <w:tcPr>
                  <w:tcW w:w="671" w:type="pct"/>
                  <w:noWrap w:val="0"/>
                  <w:vAlign w:val="center"/>
                </w:tcPr>
                <w:p w14:paraId="0D8B07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156</w:t>
                  </w:r>
                </w:p>
              </w:tc>
              <w:tc>
                <w:tcPr>
                  <w:tcW w:w="1150" w:type="pct"/>
                  <w:vMerge w:val="continue"/>
                  <w:noWrap w:val="0"/>
                  <w:vAlign w:val="center"/>
                </w:tcPr>
                <w:p w14:paraId="0A5003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shd w:val="clear" w:color="auto" w:fill="auto"/>
                  <w:noWrap w:val="0"/>
                  <w:vAlign w:val="center"/>
                </w:tcPr>
                <w:p w14:paraId="00FAC9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i w:val="0"/>
                      <w:iCs w:val="0"/>
                      <w:caps w:val="0"/>
                      <w:color w:val="auto"/>
                      <w:spacing w:val="0"/>
                      <w:kern w:val="2"/>
                      <w:sz w:val="21"/>
                      <w:szCs w:val="21"/>
                      <w:shd w:val="clear" w:color="auto" w:fill="FFFFFF"/>
                      <w:vertAlign w:val="baseline"/>
                      <w:lang w:val="en-US" w:eastAsia="zh-CN" w:bidi="ar-SA"/>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4B41BC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11C1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restart"/>
                  <w:noWrap w:val="0"/>
                  <w:vAlign w:val="center"/>
                </w:tcPr>
                <w:p w14:paraId="0B03A7E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氮氧化物（日均值）</w:t>
                  </w:r>
                </w:p>
              </w:tc>
              <w:tc>
                <w:tcPr>
                  <w:tcW w:w="469" w:type="pct"/>
                  <w:vMerge w:val="continue"/>
                  <w:noWrap w:val="0"/>
                  <w:vAlign w:val="center"/>
                </w:tcPr>
                <w:p w14:paraId="189338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1013" w:type="pct"/>
                  <w:gridSpan w:val="2"/>
                  <w:noWrap w:val="0"/>
                  <w:vAlign w:val="center"/>
                </w:tcPr>
                <w:p w14:paraId="1346C4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shd w:val="clear" w:color="auto" w:fill="FFFFFF"/>
                      <w:vertAlign w:val="baseline"/>
                      <w:lang w:val="en-US" w:eastAsia="zh-CN"/>
                    </w:rPr>
                  </w:pPr>
                  <w:r>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t>202</w:t>
                  </w:r>
                  <w:r>
                    <w:rPr>
                      <w:rFonts w:hint="eastAsia" w:cs="Times New Roman"/>
                      <w:i w:val="0"/>
                      <w:iCs w:val="0"/>
                      <w:caps w:val="0"/>
                      <w:color w:val="auto"/>
                      <w:spacing w:val="0"/>
                      <w:sz w:val="21"/>
                      <w:szCs w:val="21"/>
                      <w:shd w:val="clear" w:color="auto" w:fill="FFFFFF"/>
                      <w:vertAlign w:val="baseline"/>
                      <w:lang w:val="en-US" w:eastAsia="zh-CN"/>
                    </w:rPr>
                    <w:t>5.06.21</w:t>
                  </w:r>
                </w:p>
              </w:tc>
              <w:tc>
                <w:tcPr>
                  <w:tcW w:w="671" w:type="pct"/>
                  <w:noWrap w:val="0"/>
                  <w:vAlign w:val="center"/>
                </w:tcPr>
                <w:p w14:paraId="065B69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16</w:t>
                  </w:r>
                </w:p>
              </w:tc>
              <w:tc>
                <w:tcPr>
                  <w:tcW w:w="1150" w:type="pct"/>
                  <w:vMerge w:val="restart"/>
                  <w:noWrap w:val="0"/>
                  <w:vAlign w:val="center"/>
                </w:tcPr>
                <w:p w14:paraId="7D4D22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100</w:t>
                  </w:r>
                </w:p>
              </w:tc>
              <w:tc>
                <w:tcPr>
                  <w:tcW w:w="547" w:type="pct"/>
                  <w:noWrap w:val="0"/>
                  <w:vAlign w:val="center"/>
                </w:tcPr>
                <w:p w14:paraId="1C1D7D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492876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2B43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413162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43E63B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13" w:type="pct"/>
                  <w:gridSpan w:val="2"/>
                  <w:noWrap w:val="0"/>
                  <w:vAlign w:val="center"/>
                </w:tcPr>
                <w:p w14:paraId="0F776A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shd w:val="clear" w:color="auto" w:fill="FFFFFF"/>
                      <w:vertAlign w:val="baseline"/>
                      <w:lang w:val="en-US"/>
                    </w:rPr>
                  </w:pPr>
                  <w:r>
                    <w:rPr>
                      <w:rFonts w:hint="eastAsia" w:cs="Times New Roman"/>
                      <w:i w:val="0"/>
                      <w:iCs w:val="0"/>
                      <w:caps w:val="0"/>
                      <w:color w:val="auto"/>
                      <w:spacing w:val="0"/>
                      <w:sz w:val="21"/>
                      <w:szCs w:val="21"/>
                      <w:shd w:val="clear" w:color="auto" w:fill="FFFFFF"/>
                      <w:vertAlign w:val="baseline"/>
                      <w:lang w:val="en-US" w:eastAsia="zh-CN"/>
                    </w:rPr>
                    <w:t>2025.06.22</w:t>
                  </w:r>
                </w:p>
              </w:tc>
              <w:tc>
                <w:tcPr>
                  <w:tcW w:w="671" w:type="pct"/>
                  <w:noWrap w:val="0"/>
                  <w:vAlign w:val="center"/>
                </w:tcPr>
                <w:p w14:paraId="0F301A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17</w:t>
                  </w:r>
                </w:p>
              </w:tc>
              <w:tc>
                <w:tcPr>
                  <w:tcW w:w="1150" w:type="pct"/>
                  <w:vMerge w:val="continue"/>
                  <w:noWrap w:val="0"/>
                  <w:vAlign w:val="center"/>
                </w:tcPr>
                <w:p w14:paraId="24E477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67A3D8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shd w:val="clear" w:color="auto" w:fill="FFFFFF"/>
                      <w:vertAlign w:val="baseline"/>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5A50C8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7524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7BF389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6940B5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13" w:type="pct"/>
                  <w:gridSpan w:val="2"/>
                  <w:noWrap w:val="0"/>
                  <w:vAlign w:val="center"/>
                </w:tcPr>
                <w:p w14:paraId="218ECE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highlight w:val="none"/>
                      <w:shd w:val="clear" w:color="auto" w:fill="FFFFFF"/>
                      <w:vertAlign w:val="baseline"/>
                      <w:lang w:val="en-US"/>
                    </w:rPr>
                  </w:pPr>
                  <w:r>
                    <w:rPr>
                      <w:rFonts w:hint="eastAsia" w:cs="Times New Roman"/>
                      <w:i w:val="0"/>
                      <w:iCs w:val="0"/>
                      <w:caps w:val="0"/>
                      <w:color w:val="auto"/>
                      <w:spacing w:val="0"/>
                      <w:sz w:val="21"/>
                      <w:szCs w:val="21"/>
                      <w:shd w:val="clear" w:color="auto" w:fill="FFFFFF"/>
                      <w:vertAlign w:val="baseline"/>
                      <w:lang w:val="en-US" w:eastAsia="zh-CN"/>
                    </w:rPr>
                    <w:t>2025.06.23</w:t>
                  </w:r>
                </w:p>
              </w:tc>
              <w:tc>
                <w:tcPr>
                  <w:tcW w:w="671" w:type="pct"/>
                  <w:noWrap w:val="0"/>
                  <w:vAlign w:val="center"/>
                </w:tcPr>
                <w:p w14:paraId="6880D8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17</w:t>
                  </w:r>
                </w:p>
              </w:tc>
              <w:tc>
                <w:tcPr>
                  <w:tcW w:w="1150" w:type="pct"/>
                  <w:vMerge w:val="continue"/>
                  <w:noWrap w:val="0"/>
                  <w:vAlign w:val="center"/>
                </w:tcPr>
                <w:p w14:paraId="4F6A0A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7CE5FE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i w:val="0"/>
                      <w:iCs w:val="0"/>
                      <w:caps w:val="0"/>
                      <w:color w:val="auto"/>
                      <w:spacing w:val="0"/>
                      <w:sz w:val="21"/>
                      <w:szCs w:val="21"/>
                      <w:shd w:val="clear" w:color="auto" w:fill="FFFFFF"/>
                      <w:vertAlign w:val="baseline"/>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1BFED1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4047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restart"/>
                  <w:noWrap w:val="0"/>
                  <w:vAlign w:val="center"/>
                </w:tcPr>
                <w:p w14:paraId="44A23F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r>
                    <w:rPr>
                      <w:rFonts w:hint="default" w:ascii="Times New Roman" w:hAnsi="Times New Roman" w:eastAsia="宋体" w:cs="Times New Roman"/>
                      <w:i w:val="0"/>
                      <w:iCs w:val="0"/>
                      <w:caps w:val="0"/>
                      <w:color w:val="auto"/>
                      <w:spacing w:val="0"/>
                      <w:sz w:val="21"/>
                      <w:szCs w:val="21"/>
                      <w:shd w:val="clear" w:color="auto" w:fill="FFFFFF"/>
                      <w:vertAlign w:val="baseline"/>
                    </w:rPr>
                    <w:t>苯并[a]芘</w:t>
                  </w:r>
                  <w:r>
                    <w:rPr>
                      <w:rFonts w:hint="eastAsia" w:cs="Times New Roman"/>
                      <w:i w:val="0"/>
                      <w:iCs w:val="0"/>
                      <w:caps w:val="0"/>
                      <w:color w:val="auto"/>
                      <w:spacing w:val="0"/>
                      <w:sz w:val="21"/>
                      <w:szCs w:val="21"/>
                      <w:shd w:val="clear" w:color="auto" w:fill="FFFFFF"/>
                      <w:vertAlign w:val="baseline"/>
                      <w:lang w:val="en-US" w:eastAsia="zh-CN"/>
                    </w:rPr>
                    <w:t>（日均值）</w:t>
                  </w:r>
                </w:p>
              </w:tc>
              <w:tc>
                <w:tcPr>
                  <w:tcW w:w="469" w:type="pct"/>
                  <w:vMerge w:val="continue"/>
                  <w:noWrap w:val="0"/>
                  <w:vAlign w:val="center"/>
                </w:tcPr>
                <w:p w14:paraId="256827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13" w:type="pct"/>
                  <w:gridSpan w:val="2"/>
                  <w:noWrap w:val="0"/>
                  <w:vAlign w:val="center"/>
                </w:tcPr>
                <w:p w14:paraId="21ED18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r>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t>202</w:t>
                  </w:r>
                  <w:r>
                    <w:rPr>
                      <w:rFonts w:hint="eastAsia" w:cs="Times New Roman"/>
                      <w:i w:val="0"/>
                      <w:iCs w:val="0"/>
                      <w:caps w:val="0"/>
                      <w:color w:val="auto"/>
                      <w:spacing w:val="0"/>
                      <w:sz w:val="21"/>
                      <w:szCs w:val="21"/>
                      <w:shd w:val="clear" w:color="auto" w:fill="FFFFFF"/>
                      <w:vertAlign w:val="baseline"/>
                      <w:lang w:val="en-US" w:eastAsia="zh-CN"/>
                    </w:rPr>
                    <w:t>5.06.21</w:t>
                  </w:r>
                </w:p>
              </w:tc>
              <w:tc>
                <w:tcPr>
                  <w:tcW w:w="671" w:type="pct"/>
                  <w:noWrap w:val="0"/>
                  <w:vAlign w:val="center"/>
                </w:tcPr>
                <w:p w14:paraId="1A6B0F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w:t>
                  </w:r>
                  <w:r>
                    <w:rPr>
                      <w:rFonts w:hint="default" w:ascii="Arial" w:hAnsi="Arial" w:cs="Arial"/>
                      <w:i w:val="0"/>
                      <w:iCs w:val="0"/>
                      <w:caps w:val="0"/>
                      <w:color w:val="auto"/>
                      <w:spacing w:val="0"/>
                      <w:sz w:val="21"/>
                      <w:szCs w:val="21"/>
                      <w:shd w:val="clear" w:color="auto" w:fill="FFFFFF"/>
                      <w:vertAlign w:val="baseline"/>
                      <w:lang w:val="en-US" w:eastAsia="zh-CN"/>
                    </w:rPr>
                    <w:t>×</w:t>
                  </w:r>
                  <w:r>
                    <w:rPr>
                      <w:rFonts w:hint="eastAsia" w:cs="Times New Roman"/>
                      <w:i w:val="0"/>
                      <w:iCs w:val="0"/>
                      <w:caps w:val="0"/>
                      <w:color w:val="auto"/>
                      <w:spacing w:val="0"/>
                      <w:sz w:val="21"/>
                      <w:szCs w:val="21"/>
                      <w:shd w:val="clear" w:color="auto" w:fill="FFFFFF"/>
                      <w:vertAlign w:val="baseline"/>
                      <w:lang w:val="en-US" w:eastAsia="zh-CN"/>
                    </w:rPr>
                    <w:t>10</w:t>
                  </w:r>
                  <w:r>
                    <w:rPr>
                      <w:rFonts w:hint="eastAsia" w:cs="Times New Roman"/>
                      <w:i w:val="0"/>
                      <w:iCs w:val="0"/>
                      <w:caps w:val="0"/>
                      <w:color w:val="auto"/>
                      <w:spacing w:val="0"/>
                      <w:sz w:val="21"/>
                      <w:szCs w:val="21"/>
                      <w:shd w:val="clear" w:color="auto" w:fill="FFFFFF"/>
                      <w:vertAlign w:val="superscript"/>
                      <w:lang w:val="en-US" w:eastAsia="zh-CN"/>
                    </w:rPr>
                    <w:t>-4</w:t>
                  </w:r>
                </w:p>
              </w:tc>
              <w:tc>
                <w:tcPr>
                  <w:tcW w:w="1150" w:type="pct"/>
                  <w:vMerge w:val="restart"/>
                  <w:noWrap w:val="0"/>
                  <w:vAlign w:val="center"/>
                </w:tcPr>
                <w:p w14:paraId="51D18A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0.0025</w:t>
                  </w:r>
                </w:p>
              </w:tc>
              <w:tc>
                <w:tcPr>
                  <w:tcW w:w="547" w:type="pct"/>
                  <w:noWrap w:val="0"/>
                  <w:vAlign w:val="center"/>
                </w:tcPr>
                <w:p w14:paraId="68AEA2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6A76D9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2954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763825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3C9182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13" w:type="pct"/>
                  <w:gridSpan w:val="2"/>
                  <w:noWrap w:val="0"/>
                  <w:vAlign w:val="center"/>
                </w:tcPr>
                <w:p w14:paraId="1D33F8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2025.06.22</w:t>
                  </w:r>
                </w:p>
              </w:tc>
              <w:tc>
                <w:tcPr>
                  <w:tcW w:w="671" w:type="pct"/>
                  <w:noWrap w:val="0"/>
                  <w:vAlign w:val="center"/>
                </w:tcPr>
                <w:p w14:paraId="48D06F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w:t>
                  </w:r>
                  <w:r>
                    <w:rPr>
                      <w:rFonts w:hint="default" w:ascii="Arial" w:hAnsi="Arial" w:cs="Arial"/>
                      <w:i w:val="0"/>
                      <w:iCs w:val="0"/>
                      <w:caps w:val="0"/>
                      <w:color w:val="auto"/>
                      <w:spacing w:val="0"/>
                      <w:sz w:val="21"/>
                      <w:szCs w:val="21"/>
                      <w:shd w:val="clear" w:color="auto" w:fill="FFFFFF"/>
                      <w:vertAlign w:val="baseline"/>
                      <w:lang w:val="en-US" w:eastAsia="zh-CN"/>
                    </w:rPr>
                    <w:t>×</w:t>
                  </w:r>
                  <w:r>
                    <w:rPr>
                      <w:rFonts w:hint="eastAsia" w:cs="Times New Roman"/>
                      <w:i w:val="0"/>
                      <w:iCs w:val="0"/>
                      <w:caps w:val="0"/>
                      <w:color w:val="auto"/>
                      <w:spacing w:val="0"/>
                      <w:sz w:val="21"/>
                      <w:szCs w:val="21"/>
                      <w:shd w:val="clear" w:color="auto" w:fill="FFFFFF"/>
                      <w:vertAlign w:val="baseline"/>
                      <w:lang w:val="en-US" w:eastAsia="zh-CN"/>
                    </w:rPr>
                    <w:t>10</w:t>
                  </w:r>
                  <w:r>
                    <w:rPr>
                      <w:rFonts w:hint="eastAsia" w:cs="Times New Roman"/>
                      <w:i w:val="0"/>
                      <w:iCs w:val="0"/>
                      <w:caps w:val="0"/>
                      <w:color w:val="auto"/>
                      <w:spacing w:val="0"/>
                      <w:sz w:val="21"/>
                      <w:szCs w:val="21"/>
                      <w:shd w:val="clear" w:color="auto" w:fill="FFFFFF"/>
                      <w:vertAlign w:val="superscript"/>
                      <w:lang w:val="en-US" w:eastAsia="zh-CN"/>
                    </w:rPr>
                    <w:t>-4</w:t>
                  </w:r>
                </w:p>
              </w:tc>
              <w:tc>
                <w:tcPr>
                  <w:tcW w:w="1150" w:type="pct"/>
                  <w:vMerge w:val="continue"/>
                  <w:noWrap w:val="0"/>
                  <w:vAlign w:val="center"/>
                </w:tcPr>
                <w:p w14:paraId="31E529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4CE7CD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67B48B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4ADC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163A09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098B20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1013" w:type="pct"/>
                  <w:gridSpan w:val="2"/>
                  <w:noWrap w:val="0"/>
                  <w:vAlign w:val="center"/>
                </w:tcPr>
                <w:p w14:paraId="1A0BAB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2025.06.23</w:t>
                  </w:r>
                </w:p>
              </w:tc>
              <w:tc>
                <w:tcPr>
                  <w:tcW w:w="671" w:type="pct"/>
                  <w:noWrap w:val="0"/>
                  <w:vAlign w:val="center"/>
                </w:tcPr>
                <w:p w14:paraId="5BC66B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w:t>
                  </w:r>
                  <w:r>
                    <w:rPr>
                      <w:rFonts w:hint="default" w:ascii="Arial" w:hAnsi="Arial" w:cs="Arial"/>
                      <w:i w:val="0"/>
                      <w:iCs w:val="0"/>
                      <w:caps w:val="0"/>
                      <w:color w:val="auto"/>
                      <w:spacing w:val="0"/>
                      <w:sz w:val="21"/>
                      <w:szCs w:val="21"/>
                      <w:shd w:val="clear" w:color="auto" w:fill="FFFFFF"/>
                      <w:vertAlign w:val="baseline"/>
                      <w:lang w:val="en-US" w:eastAsia="zh-CN"/>
                    </w:rPr>
                    <w:t>×</w:t>
                  </w:r>
                  <w:r>
                    <w:rPr>
                      <w:rFonts w:hint="eastAsia" w:cs="Times New Roman"/>
                      <w:i w:val="0"/>
                      <w:iCs w:val="0"/>
                      <w:caps w:val="0"/>
                      <w:color w:val="auto"/>
                      <w:spacing w:val="0"/>
                      <w:sz w:val="21"/>
                      <w:szCs w:val="21"/>
                      <w:shd w:val="clear" w:color="auto" w:fill="FFFFFF"/>
                      <w:vertAlign w:val="baseline"/>
                      <w:lang w:val="en-US" w:eastAsia="zh-CN"/>
                    </w:rPr>
                    <w:t>10</w:t>
                  </w:r>
                  <w:r>
                    <w:rPr>
                      <w:rFonts w:hint="eastAsia" w:cs="Times New Roman"/>
                      <w:i w:val="0"/>
                      <w:iCs w:val="0"/>
                      <w:caps w:val="0"/>
                      <w:color w:val="auto"/>
                      <w:spacing w:val="0"/>
                      <w:sz w:val="21"/>
                      <w:szCs w:val="21"/>
                      <w:shd w:val="clear" w:color="auto" w:fill="FFFFFF"/>
                      <w:vertAlign w:val="superscript"/>
                      <w:lang w:val="en-US" w:eastAsia="zh-CN"/>
                    </w:rPr>
                    <w:t>-4</w:t>
                  </w:r>
                </w:p>
              </w:tc>
              <w:tc>
                <w:tcPr>
                  <w:tcW w:w="1150" w:type="pct"/>
                  <w:vMerge w:val="continue"/>
                  <w:noWrap w:val="0"/>
                  <w:vAlign w:val="center"/>
                </w:tcPr>
                <w:p w14:paraId="020B8E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5DC146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54B7AF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2412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8" w:type="pct"/>
                  <w:vMerge w:val="restart"/>
                  <w:noWrap w:val="0"/>
                  <w:vAlign w:val="center"/>
                </w:tcPr>
                <w:p w14:paraId="5B1450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i w:val="0"/>
                      <w:iCs w:val="0"/>
                      <w:caps w:val="0"/>
                      <w:color w:val="auto"/>
                      <w:spacing w:val="0"/>
                      <w:sz w:val="21"/>
                      <w:szCs w:val="21"/>
                      <w:shd w:val="clear" w:color="auto" w:fill="FFFFFF"/>
                      <w:vertAlign w:val="baseline"/>
                      <w:lang w:eastAsia="zh-CN"/>
                    </w:rPr>
                  </w:pPr>
                  <w:r>
                    <w:rPr>
                      <w:rFonts w:hint="default" w:ascii="Times New Roman" w:hAnsi="Times New Roman" w:eastAsia="宋体" w:cs="Times New Roman"/>
                      <w:i w:val="0"/>
                      <w:iCs w:val="0"/>
                      <w:caps w:val="0"/>
                      <w:color w:val="auto"/>
                      <w:spacing w:val="0"/>
                      <w:sz w:val="21"/>
                      <w:szCs w:val="21"/>
                      <w:shd w:val="clear" w:color="auto" w:fill="FFFFFF"/>
                      <w:vertAlign w:val="baseline"/>
                    </w:rPr>
                    <w:t>非甲烷总烃</w:t>
                  </w:r>
                  <w:r>
                    <w:rPr>
                      <w:rFonts w:hint="eastAsia" w:cs="Times New Roman"/>
                      <w:i w:val="0"/>
                      <w:iCs w:val="0"/>
                      <w:caps w:val="0"/>
                      <w:color w:val="auto"/>
                      <w:spacing w:val="0"/>
                      <w:sz w:val="21"/>
                      <w:szCs w:val="21"/>
                      <w:shd w:val="clear" w:color="auto" w:fill="FFFFFF"/>
                      <w:vertAlign w:val="baseline"/>
                      <w:lang w:val="en-US" w:eastAsia="zh-CN"/>
                    </w:rPr>
                    <w:t>（小时值）</w:t>
                  </w:r>
                </w:p>
              </w:tc>
              <w:tc>
                <w:tcPr>
                  <w:tcW w:w="469" w:type="pct"/>
                  <w:vMerge w:val="restart"/>
                  <w:noWrap w:val="0"/>
                  <w:vAlign w:val="center"/>
                </w:tcPr>
                <w:p w14:paraId="6DF7B9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color w:val="auto"/>
                      <w:kern w:val="0"/>
                      <w:sz w:val="21"/>
                      <w:szCs w:val="21"/>
                      <w:lang w:val="en-US" w:eastAsia="zh-CN" w:bidi="ar"/>
                    </w:rPr>
                    <w:t>项目区下风向厂界G1</w:t>
                  </w:r>
                </w:p>
              </w:tc>
              <w:tc>
                <w:tcPr>
                  <w:tcW w:w="430" w:type="pct"/>
                  <w:vMerge w:val="restart"/>
                  <w:noWrap w:val="0"/>
                  <w:vAlign w:val="center"/>
                </w:tcPr>
                <w:p w14:paraId="397BAF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2025.06.21</w:t>
                  </w:r>
                </w:p>
              </w:tc>
              <w:tc>
                <w:tcPr>
                  <w:tcW w:w="583" w:type="pct"/>
                  <w:shd w:val="clear" w:color="auto" w:fill="auto"/>
                  <w:noWrap w:val="0"/>
                  <w:vAlign w:val="center"/>
                </w:tcPr>
                <w:p w14:paraId="327F2E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02:06</w:t>
                  </w:r>
                </w:p>
              </w:tc>
              <w:tc>
                <w:tcPr>
                  <w:tcW w:w="671" w:type="pct"/>
                  <w:noWrap w:val="0"/>
                  <w:vAlign w:val="center"/>
                </w:tcPr>
                <w:p w14:paraId="0DC133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0.33</w:t>
                  </w:r>
                </w:p>
              </w:tc>
              <w:tc>
                <w:tcPr>
                  <w:tcW w:w="1150" w:type="pct"/>
                  <w:vMerge w:val="restart"/>
                  <w:noWrap w:val="0"/>
                  <w:vAlign w:val="center"/>
                </w:tcPr>
                <w:p w14:paraId="7F9146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w:t>
                  </w:r>
                  <w:r>
                    <w:rPr>
                      <w:rFonts w:hint="eastAsia" w:ascii="Times New Roman" w:hAnsi="Times New Roman" w:eastAsia="宋体" w:cs="Times New Roman"/>
                      <w:i w:val="0"/>
                      <w:iCs w:val="0"/>
                      <w:caps w:val="0"/>
                      <w:color w:val="auto"/>
                      <w:spacing w:val="0"/>
                      <w:sz w:val="21"/>
                      <w:szCs w:val="21"/>
                      <w:shd w:val="clear" w:color="auto" w:fill="FFFFFF"/>
                      <w:vertAlign w:val="baseline"/>
                      <w:lang w:val="en-US" w:eastAsia="zh-CN"/>
                    </w:rPr>
                    <w:t>《大气污染物综合排放标准详解》（国家环境保护局科技标准司）</w:t>
                  </w:r>
                </w:p>
              </w:tc>
              <w:tc>
                <w:tcPr>
                  <w:tcW w:w="547" w:type="pct"/>
                  <w:noWrap w:val="0"/>
                  <w:vAlign w:val="center"/>
                </w:tcPr>
                <w:p w14:paraId="3FB85E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6252CA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0AC3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8" w:type="pct"/>
                  <w:vMerge w:val="continue"/>
                  <w:noWrap w:val="0"/>
                  <w:vAlign w:val="center"/>
                </w:tcPr>
                <w:p w14:paraId="43D40B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7E3565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506D8A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shd w:val="clear" w:color="auto" w:fill="auto"/>
                  <w:noWrap w:val="0"/>
                  <w:vAlign w:val="center"/>
                </w:tcPr>
                <w:p w14:paraId="3E28B0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08:08</w:t>
                  </w:r>
                </w:p>
              </w:tc>
              <w:tc>
                <w:tcPr>
                  <w:tcW w:w="671" w:type="pct"/>
                  <w:noWrap w:val="0"/>
                  <w:vAlign w:val="center"/>
                </w:tcPr>
                <w:p w14:paraId="46685B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0.28</w:t>
                  </w:r>
                </w:p>
              </w:tc>
              <w:tc>
                <w:tcPr>
                  <w:tcW w:w="1150" w:type="pct"/>
                  <w:vMerge w:val="continue"/>
                  <w:noWrap w:val="0"/>
                  <w:vAlign w:val="center"/>
                </w:tcPr>
                <w:p w14:paraId="02338D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4843F8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40A892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39FA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1446A1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1C9D79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41C441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shd w:val="clear" w:color="auto" w:fill="auto"/>
                  <w:noWrap w:val="0"/>
                  <w:vAlign w:val="center"/>
                </w:tcPr>
                <w:p w14:paraId="78C7C4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14:10</w:t>
                  </w:r>
                </w:p>
              </w:tc>
              <w:tc>
                <w:tcPr>
                  <w:tcW w:w="671" w:type="pct"/>
                  <w:noWrap w:val="0"/>
                  <w:vAlign w:val="center"/>
                </w:tcPr>
                <w:p w14:paraId="2AE155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0.36</w:t>
                  </w:r>
                </w:p>
              </w:tc>
              <w:tc>
                <w:tcPr>
                  <w:tcW w:w="1150" w:type="pct"/>
                  <w:vMerge w:val="continue"/>
                  <w:noWrap w:val="0"/>
                  <w:vAlign w:val="center"/>
                </w:tcPr>
                <w:p w14:paraId="1AFEAA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53AC81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1A0A29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18BD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58" w:type="pct"/>
                  <w:vMerge w:val="continue"/>
                  <w:noWrap w:val="0"/>
                  <w:vAlign w:val="center"/>
                </w:tcPr>
                <w:p w14:paraId="09C217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217136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5785AB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shd w:val="clear" w:color="auto" w:fill="auto"/>
                  <w:noWrap w:val="0"/>
                  <w:vAlign w:val="center"/>
                </w:tcPr>
                <w:p w14:paraId="4D1BCA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20:08</w:t>
                  </w:r>
                </w:p>
              </w:tc>
              <w:tc>
                <w:tcPr>
                  <w:tcW w:w="671" w:type="pct"/>
                  <w:noWrap w:val="0"/>
                  <w:vAlign w:val="center"/>
                </w:tcPr>
                <w:p w14:paraId="09CA3B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0.30</w:t>
                  </w:r>
                </w:p>
              </w:tc>
              <w:tc>
                <w:tcPr>
                  <w:tcW w:w="1150" w:type="pct"/>
                  <w:vMerge w:val="continue"/>
                  <w:noWrap w:val="0"/>
                  <w:vAlign w:val="center"/>
                </w:tcPr>
                <w:p w14:paraId="1F78E4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20032E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45D22E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62CB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577811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7D44BF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restart"/>
                  <w:noWrap w:val="0"/>
                  <w:vAlign w:val="center"/>
                </w:tcPr>
                <w:p w14:paraId="37047E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2025.06.22</w:t>
                  </w:r>
                </w:p>
              </w:tc>
              <w:tc>
                <w:tcPr>
                  <w:tcW w:w="583" w:type="pct"/>
                  <w:shd w:val="clear" w:color="auto" w:fill="auto"/>
                  <w:noWrap w:val="0"/>
                  <w:vAlign w:val="center"/>
                </w:tcPr>
                <w:p w14:paraId="5E473C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02:06</w:t>
                  </w:r>
                </w:p>
              </w:tc>
              <w:tc>
                <w:tcPr>
                  <w:tcW w:w="671" w:type="pct"/>
                  <w:noWrap w:val="0"/>
                  <w:vAlign w:val="center"/>
                </w:tcPr>
                <w:p w14:paraId="30E619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0.35</w:t>
                  </w:r>
                </w:p>
              </w:tc>
              <w:tc>
                <w:tcPr>
                  <w:tcW w:w="1150" w:type="pct"/>
                  <w:vMerge w:val="continue"/>
                  <w:noWrap w:val="0"/>
                  <w:vAlign w:val="center"/>
                </w:tcPr>
                <w:p w14:paraId="1A9A01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4A235A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7DE571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3499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70846C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767D71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196042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shd w:val="clear" w:color="auto" w:fill="auto"/>
                  <w:noWrap w:val="0"/>
                  <w:vAlign w:val="center"/>
                </w:tcPr>
                <w:p w14:paraId="0DCB7B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08:07</w:t>
                  </w:r>
                </w:p>
              </w:tc>
              <w:tc>
                <w:tcPr>
                  <w:tcW w:w="671" w:type="pct"/>
                  <w:noWrap w:val="0"/>
                  <w:vAlign w:val="center"/>
                </w:tcPr>
                <w:p w14:paraId="0FED7A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0.50</w:t>
                  </w:r>
                </w:p>
              </w:tc>
              <w:tc>
                <w:tcPr>
                  <w:tcW w:w="1150" w:type="pct"/>
                  <w:vMerge w:val="continue"/>
                  <w:noWrap w:val="0"/>
                  <w:vAlign w:val="center"/>
                </w:tcPr>
                <w:p w14:paraId="51FC21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0D1BB5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733BBF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1AAD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8" w:type="pct"/>
                  <w:vMerge w:val="continue"/>
                  <w:noWrap w:val="0"/>
                  <w:vAlign w:val="center"/>
                </w:tcPr>
                <w:p w14:paraId="2C362E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5F37CE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5A7AAB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shd w:val="clear" w:color="auto" w:fill="auto"/>
                  <w:noWrap w:val="0"/>
                  <w:vAlign w:val="center"/>
                </w:tcPr>
                <w:p w14:paraId="5FAD05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14:08</w:t>
                  </w:r>
                </w:p>
              </w:tc>
              <w:tc>
                <w:tcPr>
                  <w:tcW w:w="671" w:type="pct"/>
                  <w:noWrap w:val="0"/>
                  <w:vAlign w:val="center"/>
                </w:tcPr>
                <w:p w14:paraId="3368B2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0.40</w:t>
                  </w:r>
                </w:p>
              </w:tc>
              <w:tc>
                <w:tcPr>
                  <w:tcW w:w="1150" w:type="pct"/>
                  <w:vMerge w:val="continue"/>
                  <w:noWrap w:val="0"/>
                  <w:vAlign w:val="center"/>
                </w:tcPr>
                <w:p w14:paraId="723776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7414FD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410C24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6E52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58" w:type="pct"/>
                  <w:vMerge w:val="continue"/>
                  <w:noWrap w:val="0"/>
                  <w:vAlign w:val="center"/>
                </w:tcPr>
                <w:p w14:paraId="79C133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40C405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1F4247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shd w:val="clear" w:color="auto" w:fill="auto"/>
                  <w:noWrap w:val="0"/>
                  <w:vAlign w:val="center"/>
                </w:tcPr>
                <w:p w14:paraId="46F874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20:08</w:t>
                  </w:r>
                </w:p>
              </w:tc>
              <w:tc>
                <w:tcPr>
                  <w:tcW w:w="671" w:type="pct"/>
                  <w:noWrap w:val="0"/>
                  <w:vAlign w:val="center"/>
                </w:tcPr>
                <w:p w14:paraId="1B6797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0.38</w:t>
                  </w:r>
                </w:p>
              </w:tc>
              <w:tc>
                <w:tcPr>
                  <w:tcW w:w="1150" w:type="pct"/>
                  <w:vMerge w:val="continue"/>
                  <w:noWrap w:val="0"/>
                  <w:vAlign w:val="center"/>
                </w:tcPr>
                <w:p w14:paraId="678B0F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122B83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4B22E5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4F91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2F4023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614798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restart"/>
                  <w:noWrap w:val="0"/>
                  <w:vAlign w:val="center"/>
                </w:tcPr>
                <w:p w14:paraId="4CB56E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2025.06.23</w:t>
                  </w:r>
                </w:p>
              </w:tc>
              <w:tc>
                <w:tcPr>
                  <w:tcW w:w="583" w:type="pct"/>
                  <w:shd w:val="clear" w:color="auto" w:fill="auto"/>
                  <w:noWrap w:val="0"/>
                  <w:vAlign w:val="center"/>
                </w:tcPr>
                <w:p w14:paraId="569965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02:09</w:t>
                  </w:r>
                </w:p>
              </w:tc>
              <w:tc>
                <w:tcPr>
                  <w:tcW w:w="671" w:type="pct"/>
                  <w:noWrap w:val="0"/>
                  <w:vAlign w:val="center"/>
                </w:tcPr>
                <w:p w14:paraId="2A35D6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0.31</w:t>
                  </w:r>
                </w:p>
              </w:tc>
              <w:tc>
                <w:tcPr>
                  <w:tcW w:w="1150" w:type="pct"/>
                  <w:vMerge w:val="continue"/>
                  <w:noWrap w:val="0"/>
                  <w:vAlign w:val="center"/>
                </w:tcPr>
                <w:p w14:paraId="528432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3DB4B4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049664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659C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18C9A1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057A49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52AF45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shd w:val="clear" w:color="auto" w:fill="auto"/>
                  <w:noWrap w:val="0"/>
                  <w:vAlign w:val="center"/>
                </w:tcPr>
                <w:p w14:paraId="735A9E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08:06</w:t>
                  </w:r>
                </w:p>
              </w:tc>
              <w:tc>
                <w:tcPr>
                  <w:tcW w:w="671" w:type="pct"/>
                  <w:noWrap w:val="0"/>
                  <w:vAlign w:val="center"/>
                </w:tcPr>
                <w:p w14:paraId="266C2F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0.34</w:t>
                  </w:r>
                </w:p>
              </w:tc>
              <w:tc>
                <w:tcPr>
                  <w:tcW w:w="1150" w:type="pct"/>
                  <w:vMerge w:val="continue"/>
                  <w:noWrap w:val="0"/>
                  <w:vAlign w:val="center"/>
                </w:tcPr>
                <w:p w14:paraId="3EAD4C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7AFD67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7DEF80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79F4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0F6648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7E26E9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214E68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shd w:val="clear" w:color="auto" w:fill="auto"/>
                  <w:noWrap w:val="0"/>
                  <w:vAlign w:val="center"/>
                </w:tcPr>
                <w:p w14:paraId="0E4E70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14:10</w:t>
                  </w:r>
                </w:p>
              </w:tc>
              <w:tc>
                <w:tcPr>
                  <w:tcW w:w="671" w:type="pct"/>
                  <w:noWrap w:val="0"/>
                  <w:vAlign w:val="center"/>
                </w:tcPr>
                <w:p w14:paraId="21CE36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0.41</w:t>
                  </w:r>
                </w:p>
              </w:tc>
              <w:tc>
                <w:tcPr>
                  <w:tcW w:w="1150" w:type="pct"/>
                  <w:vMerge w:val="continue"/>
                  <w:noWrap w:val="0"/>
                  <w:vAlign w:val="center"/>
                </w:tcPr>
                <w:p w14:paraId="2A21CC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7B9BDB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10012A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3E3B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8" w:type="pct"/>
                  <w:vMerge w:val="continue"/>
                  <w:noWrap w:val="0"/>
                  <w:vAlign w:val="center"/>
                </w:tcPr>
                <w:p w14:paraId="75282D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0A8C0B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1ED78A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shd w:val="clear" w:color="auto" w:fill="auto"/>
                  <w:noWrap w:val="0"/>
                  <w:vAlign w:val="center"/>
                </w:tcPr>
                <w:p w14:paraId="3458AF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kern w:val="2"/>
                      <w:sz w:val="21"/>
                      <w:szCs w:val="21"/>
                      <w:shd w:val="clear" w:color="auto" w:fill="FFFFFF"/>
                      <w:vertAlign w:val="baseline"/>
                      <w:lang w:val="en-US" w:eastAsia="zh-CN" w:bidi="ar-SA"/>
                    </w:rPr>
                  </w:pPr>
                  <w:r>
                    <w:rPr>
                      <w:rFonts w:hint="eastAsia" w:cs="Times New Roman"/>
                      <w:i w:val="0"/>
                      <w:iCs w:val="0"/>
                      <w:caps w:val="0"/>
                      <w:color w:val="auto"/>
                      <w:spacing w:val="0"/>
                      <w:sz w:val="21"/>
                      <w:szCs w:val="21"/>
                      <w:shd w:val="clear" w:color="auto" w:fill="FFFFFF"/>
                      <w:vertAlign w:val="baseline"/>
                      <w:lang w:val="en-US" w:eastAsia="zh-CN"/>
                    </w:rPr>
                    <w:t>20:11</w:t>
                  </w:r>
                </w:p>
              </w:tc>
              <w:tc>
                <w:tcPr>
                  <w:tcW w:w="671" w:type="pct"/>
                  <w:noWrap w:val="0"/>
                  <w:vAlign w:val="center"/>
                </w:tcPr>
                <w:p w14:paraId="10118A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0.39</w:t>
                  </w:r>
                </w:p>
              </w:tc>
              <w:tc>
                <w:tcPr>
                  <w:tcW w:w="1150" w:type="pct"/>
                  <w:vMerge w:val="continue"/>
                  <w:noWrap w:val="0"/>
                  <w:vAlign w:val="center"/>
                </w:tcPr>
                <w:p w14:paraId="489F79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2F1B70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067332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3727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restart"/>
                  <w:noWrap w:val="0"/>
                  <w:vAlign w:val="center"/>
                </w:tcPr>
                <w:p w14:paraId="32F9D6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r>
                    <w:rPr>
                      <w:rFonts w:hint="eastAsia" w:cs="Times New Roman"/>
                      <w:i w:val="0"/>
                      <w:iCs w:val="0"/>
                      <w:caps w:val="0"/>
                      <w:color w:val="auto"/>
                      <w:spacing w:val="0"/>
                      <w:sz w:val="21"/>
                      <w:szCs w:val="21"/>
                      <w:shd w:val="clear" w:color="auto" w:fill="FFFFFF"/>
                      <w:vertAlign w:val="baseline"/>
                      <w:lang w:val="en-US" w:eastAsia="zh-CN"/>
                    </w:rPr>
                    <w:t>氮氧化物（小时值）</w:t>
                  </w:r>
                </w:p>
              </w:tc>
              <w:tc>
                <w:tcPr>
                  <w:tcW w:w="469" w:type="pct"/>
                  <w:vMerge w:val="restart"/>
                  <w:noWrap w:val="0"/>
                  <w:vAlign w:val="center"/>
                </w:tcPr>
                <w:p w14:paraId="4309E7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r>
                    <w:rPr>
                      <w:rFonts w:hint="eastAsia" w:cs="Times New Roman"/>
                      <w:color w:val="auto"/>
                      <w:kern w:val="0"/>
                      <w:sz w:val="21"/>
                      <w:szCs w:val="21"/>
                      <w:lang w:val="en-US" w:eastAsia="zh-CN" w:bidi="ar"/>
                    </w:rPr>
                    <w:t>项目区下风向厂界G1</w:t>
                  </w:r>
                </w:p>
              </w:tc>
              <w:tc>
                <w:tcPr>
                  <w:tcW w:w="430" w:type="pct"/>
                  <w:vMerge w:val="restart"/>
                  <w:noWrap w:val="0"/>
                  <w:vAlign w:val="center"/>
                </w:tcPr>
                <w:p w14:paraId="5CDC29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2025.06.21</w:t>
                  </w:r>
                </w:p>
              </w:tc>
              <w:tc>
                <w:tcPr>
                  <w:tcW w:w="583" w:type="pct"/>
                  <w:noWrap w:val="0"/>
                  <w:vAlign w:val="center"/>
                </w:tcPr>
                <w:p w14:paraId="6ACDA4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02:00~03:00</w:t>
                  </w:r>
                </w:p>
              </w:tc>
              <w:tc>
                <w:tcPr>
                  <w:tcW w:w="671" w:type="pct"/>
                  <w:noWrap w:val="0"/>
                  <w:vAlign w:val="center"/>
                </w:tcPr>
                <w:p w14:paraId="478EAC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21</w:t>
                  </w:r>
                </w:p>
              </w:tc>
              <w:tc>
                <w:tcPr>
                  <w:tcW w:w="1150" w:type="pct"/>
                  <w:vMerge w:val="restart"/>
                  <w:noWrap w:val="0"/>
                  <w:vAlign w:val="center"/>
                </w:tcPr>
                <w:p w14:paraId="23D253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250</w:t>
                  </w:r>
                </w:p>
              </w:tc>
              <w:tc>
                <w:tcPr>
                  <w:tcW w:w="547" w:type="pct"/>
                  <w:noWrap w:val="0"/>
                  <w:vAlign w:val="center"/>
                </w:tcPr>
                <w:p w14:paraId="67BCCE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3925F5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21F9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76B45F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77162C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414807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noWrap w:val="0"/>
                  <w:vAlign w:val="center"/>
                </w:tcPr>
                <w:p w14:paraId="6B246E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08:00~09:00</w:t>
                  </w:r>
                </w:p>
              </w:tc>
              <w:tc>
                <w:tcPr>
                  <w:tcW w:w="671" w:type="pct"/>
                  <w:noWrap w:val="0"/>
                  <w:vAlign w:val="center"/>
                </w:tcPr>
                <w:p w14:paraId="195B44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22</w:t>
                  </w:r>
                </w:p>
              </w:tc>
              <w:tc>
                <w:tcPr>
                  <w:tcW w:w="1150" w:type="pct"/>
                  <w:vMerge w:val="continue"/>
                  <w:noWrap w:val="0"/>
                  <w:vAlign w:val="center"/>
                </w:tcPr>
                <w:p w14:paraId="28FA1A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05796E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611C3F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1AB9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561141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13B742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6A57C3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noWrap w:val="0"/>
                  <w:vAlign w:val="center"/>
                </w:tcPr>
                <w:p w14:paraId="11B935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14:00~15:00</w:t>
                  </w:r>
                </w:p>
              </w:tc>
              <w:tc>
                <w:tcPr>
                  <w:tcW w:w="671" w:type="pct"/>
                  <w:noWrap w:val="0"/>
                  <w:vAlign w:val="center"/>
                </w:tcPr>
                <w:p w14:paraId="5A40F8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25</w:t>
                  </w:r>
                </w:p>
              </w:tc>
              <w:tc>
                <w:tcPr>
                  <w:tcW w:w="1150" w:type="pct"/>
                  <w:vMerge w:val="continue"/>
                  <w:noWrap w:val="0"/>
                  <w:vAlign w:val="center"/>
                </w:tcPr>
                <w:p w14:paraId="269DE1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358F05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507699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1BA1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391805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538A7F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continue"/>
                  <w:noWrap w:val="0"/>
                  <w:vAlign w:val="center"/>
                </w:tcPr>
                <w:p w14:paraId="5D02A8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p>
              </w:tc>
              <w:tc>
                <w:tcPr>
                  <w:tcW w:w="583" w:type="pct"/>
                  <w:noWrap w:val="0"/>
                  <w:vAlign w:val="center"/>
                </w:tcPr>
                <w:p w14:paraId="73EB31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20:00~21:00</w:t>
                  </w:r>
                </w:p>
              </w:tc>
              <w:tc>
                <w:tcPr>
                  <w:tcW w:w="671" w:type="pct"/>
                  <w:noWrap w:val="0"/>
                  <w:vAlign w:val="center"/>
                </w:tcPr>
                <w:p w14:paraId="60BDA6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23</w:t>
                  </w:r>
                </w:p>
              </w:tc>
              <w:tc>
                <w:tcPr>
                  <w:tcW w:w="1150" w:type="pct"/>
                  <w:vMerge w:val="continue"/>
                  <w:noWrap w:val="0"/>
                  <w:vAlign w:val="center"/>
                </w:tcPr>
                <w:p w14:paraId="6C33D7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64DAF4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2AA442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64C0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40F51F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69" w:type="pct"/>
                  <w:vMerge w:val="continue"/>
                  <w:noWrap w:val="0"/>
                  <w:vAlign w:val="center"/>
                </w:tcPr>
                <w:p w14:paraId="0817C4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rPr>
                  </w:pPr>
                </w:p>
              </w:tc>
              <w:tc>
                <w:tcPr>
                  <w:tcW w:w="430" w:type="pct"/>
                  <w:vMerge w:val="restart"/>
                  <w:noWrap w:val="0"/>
                  <w:vAlign w:val="center"/>
                </w:tcPr>
                <w:p w14:paraId="23ADAB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2025.06.22</w:t>
                  </w:r>
                </w:p>
              </w:tc>
              <w:tc>
                <w:tcPr>
                  <w:tcW w:w="583" w:type="pct"/>
                  <w:noWrap w:val="0"/>
                  <w:vAlign w:val="center"/>
                </w:tcPr>
                <w:p w14:paraId="54E1AE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02:00~03:00</w:t>
                  </w:r>
                </w:p>
              </w:tc>
              <w:tc>
                <w:tcPr>
                  <w:tcW w:w="671" w:type="pct"/>
                  <w:noWrap w:val="0"/>
                  <w:vAlign w:val="center"/>
                </w:tcPr>
                <w:p w14:paraId="5AAAD8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auto"/>
                      <w:spacing w:val="0"/>
                      <w:sz w:val="21"/>
                      <w:szCs w:val="21"/>
                      <w:shd w:val="clear" w:color="auto" w:fill="FFFFFF"/>
                      <w:vertAlign w:val="baseline"/>
                      <w:lang w:val="en-US" w:eastAsia="zh-CN"/>
                    </w:rPr>
                  </w:pPr>
                  <w:r>
                    <w:rPr>
                      <w:rFonts w:hint="eastAsia" w:cs="Times New Roman"/>
                      <w:i w:val="0"/>
                      <w:iCs w:val="0"/>
                      <w:caps w:val="0"/>
                      <w:color w:val="auto"/>
                      <w:spacing w:val="0"/>
                      <w:sz w:val="21"/>
                      <w:szCs w:val="21"/>
                      <w:shd w:val="clear" w:color="auto" w:fill="FFFFFF"/>
                      <w:vertAlign w:val="baseline"/>
                      <w:lang w:val="en-US" w:eastAsia="zh-CN"/>
                    </w:rPr>
                    <w:t>22</w:t>
                  </w:r>
                </w:p>
              </w:tc>
              <w:tc>
                <w:tcPr>
                  <w:tcW w:w="1150" w:type="pct"/>
                  <w:vMerge w:val="continue"/>
                  <w:noWrap w:val="0"/>
                  <w:vAlign w:val="center"/>
                </w:tcPr>
                <w:p w14:paraId="28081D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auto"/>
                      <w:spacing w:val="0"/>
                      <w:sz w:val="21"/>
                      <w:szCs w:val="21"/>
                      <w:shd w:val="clear" w:color="auto" w:fill="FFFFFF"/>
                      <w:vertAlign w:val="baseline"/>
                      <w:lang w:val="en-US" w:eastAsia="zh-CN"/>
                    </w:rPr>
                  </w:pPr>
                </w:p>
              </w:tc>
              <w:tc>
                <w:tcPr>
                  <w:tcW w:w="547" w:type="pct"/>
                  <w:noWrap w:val="0"/>
                  <w:vAlign w:val="center"/>
                </w:tcPr>
                <w:p w14:paraId="5F6884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u</w:t>
                  </w:r>
                  <w:r>
                    <w:rPr>
                      <w:rFonts w:hint="default" w:ascii="Times New Roman" w:hAnsi="Times New Roman" w:eastAsia="宋体" w:cs="Times New Roman"/>
                      <w:b w:val="0"/>
                      <w:bCs w:val="0"/>
                      <w:color w:val="auto"/>
                      <w:sz w:val="21"/>
                      <w:szCs w:val="21"/>
                    </w:rPr>
                    <w:t>g/m</w:t>
                  </w:r>
                  <w:r>
                    <w:rPr>
                      <w:rFonts w:hint="default" w:ascii="Times New Roman" w:hAnsi="Times New Roman" w:eastAsia="宋体" w:cs="Times New Roman"/>
                      <w:b w:val="0"/>
                      <w:bCs w:val="0"/>
                      <w:color w:val="auto"/>
                      <w:sz w:val="21"/>
                      <w:szCs w:val="21"/>
                      <w:vertAlign w:val="superscript"/>
                      <w:lang w:val="en-US" w:eastAsia="zh-CN"/>
                    </w:rPr>
                    <w:t>3</w:t>
                  </w:r>
                </w:p>
              </w:tc>
              <w:tc>
                <w:tcPr>
                  <w:tcW w:w="488" w:type="pct"/>
                  <w:noWrap w:val="0"/>
                  <w:vAlign w:val="center"/>
                </w:tcPr>
                <w:p w14:paraId="55E9B6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70D5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22F38A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69" w:type="pct"/>
                  <w:vMerge w:val="continue"/>
                  <w:noWrap w:val="0"/>
                  <w:vAlign w:val="center"/>
                </w:tcPr>
                <w:p w14:paraId="5C3917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30" w:type="pct"/>
                  <w:vMerge w:val="continue"/>
                  <w:noWrap w:val="0"/>
                  <w:vAlign w:val="center"/>
                </w:tcPr>
                <w:p w14:paraId="769761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83" w:type="pct"/>
                  <w:noWrap w:val="0"/>
                  <w:vAlign w:val="center"/>
                </w:tcPr>
                <w:p w14:paraId="5C7C4B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08:00~09:00</w:t>
                  </w:r>
                </w:p>
              </w:tc>
              <w:tc>
                <w:tcPr>
                  <w:tcW w:w="671" w:type="pct"/>
                  <w:noWrap w:val="0"/>
                  <w:vAlign w:val="center"/>
                </w:tcPr>
                <w:p w14:paraId="434ACC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20</w:t>
                  </w:r>
                </w:p>
              </w:tc>
              <w:tc>
                <w:tcPr>
                  <w:tcW w:w="1150" w:type="pct"/>
                  <w:vMerge w:val="continue"/>
                  <w:noWrap w:val="0"/>
                  <w:vAlign w:val="center"/>
                </w:tcPr>
                <w:p w14:paraId="170716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47" w:type="pct"/>
                  <w:noWrap w:val="0"/>
                  <w:vAlign w:val="center"/>
                </w:tcPr>
                <w:p w14:paraId="68BA91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u</w:t>
                  </w:r>
                  <w:r>
                    <w:rPr>
                      <w:rFonts w:hint="default" w:ascii="Times New Roman" w:hAnsi="Times New Roman" w:eastAsia="宋体" w:cs="Times New Roman"/>
                      <w:b w:val="0"/>
                      <w:bCs w:val="0"/>
                      <w:color w:val="000000" w:themeColor="text1"/>
                      <w:sz w:val="21"/>
                      <w:szCs w:val="21"/>
                      <w14:textFill>
                        <w14:solidFill>
                          <w14:schemeClr w14:val="tx1"/>
                        </w14:solidFill>
                      </w14:textFill>
                    </w:rPr>
                    <w:t>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488" w:type="pct"/>
                  <w:noWrap w:val="0"/>
                  <w:vAlign w:val="center"/>
                </w:tcPr>
                <w:p w14:paraId="0FF52E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75C6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24EF85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69" w:type="pct"/>
                  <w:vMerge w:val="continue"/>
                  <w:noWrap w:val="0"/>
                  <w:vAlign w:val="center"/>
                </w:tcPr>
                <w:p w14:paraId="793361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30" w:type="pct"/>
                  <w:vMerge w:val="continue"/>
                  <w:noWrap w:val="0"/>
                  <w:vAlign w:val="center"/>
                </w:tcPr>
                <w:p w14:paraId="4195A9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83" w:type="pct"/>
                  <w:noWrap w:val="0"/>
                  <w:vAlign w:val="center"/>
                </w:tcPr>
                <w:p w14:paraId="113C5E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14:00~15:00</w:t>
                  </w:r>
                </w:p>
              </w:tc>
              <w:tc>
                <w:tcPr>
                  <w:tcW w:w="671" w:type="pct"/>
                  <w:noWrap w:val="0"/>
                  <w:vAlign w:val="center"/>
                </w:tcPr>
                <w:p w14:paraId="242BA9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24</w:t>
                  </w:r>
                </w:p>
              </w:tc>
              <w:tc>
                <w:tcPr>
                  <w:tcW w:w="1150" w:type="pct"/>
                  <w:vMerge w:val="continue"/>
                  <w:noWrap w:val="0"/>
                  <w:vAlign w:val="center"/>
                </w:tcPr>
                <w:p w14:paraId="3F0977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47" w:type="pct"/>
                  <w:noWrap w:val="0"/>
                  <w:vAlign w:val="center"/>
                </w:tcPr>
                <w:p w14:paraId="343239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u</w:t>
                  </w:r>
                  <w:r>
                    <w:rPr>
                      <w:rFonts w:hint="default" w:ascii="Times New Roman" w:hAnsi="Times New Roman" w:eastAsia="宋体" w:cs="Times New Roman"/>
                      <w:b w:val="0"/>
                      <w:bCs w:val="0"/>
                      <w:color w:val="000000" w:themeColor="text1"/>
                      <w:sz w:val="21"/>
                      <w:szCs w:val="21"/>
                      <w14:textFill>
                        <w14:solidFill>
                          <w14:schemeClr w14:val="tx1"/>
                        </w14:solidFill>
                      </w14:textFill>
                    </w:rPr>
                    <w:t>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488" w:type="pct"/>
                  <w:noWrap w:val="0"/>
                  <w:vAlign w:val="center"/>
                </w:tcPr>
                <w:p w14:paraId="60ABC8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6D8B7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23CCA6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69" w:type="pct"/>
                  <w:vMerge w:val="continue"/>
                  <w:noWrap w:val="0"/>
                  <w:vAlign w:val="center"/>
                </w:tcPr>
                <w:p w14:paraId="178D61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30" w:type="pct"/>
                  <w:vMerge w:val="continue"/>
                  <w:noWrap w:val="0"/>
                  <w:vAlign w:val="center"/>
                </w:tcPr>
                <w:p w14:paraId="09556A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83" w:type="pct"/>
                  <w:noWrap w:val="0"/>
                  <w:vAlign w:val="center"/>
                </w:tcPr>
                <w:p w14:paraId="1701C6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20:00~21:00</w:t>
                  </w:r>
                </w:p>
              </w:tc>
              <w:tc>
                <w:tcPr>
                  <w:tcW w:w="671" w:type="pct"/>
                  <w:noWrap w:val="0"/>
                  <w:vAlign w:val="center"/>
                </w:tcPr>
                <w:p w14:paraId="52469D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23</w:t>
                  </w:r>
                </w:p>
              </w:tc>
              <w:tc>
                <w:tcPr>
                  <w:tcW w:w="1150" w:type="pct"/>
                  <w:vMerge w:val="continue"/>
                  <w:noWrap w:val="0"/>
                  <w:vAlign w:val="center"/>
                </w:tcPr>
                <w:p w14:paraId="0487F8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47" w:type="pct"/>
                  <w:noWrap w:val="0"/>
                  <w:vAlign w:val="center"/>
                </w:tcPr>
                <w:p w14:paraId="276AEF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u</w:t>
                  </w:r>
                  <w:r>
                    <w:rPr>
                      <w:rFonts w:hint="default" w:ascii="Times New Roman" w:hAnsi="Times New Roman" w:eastAsia="宋体" w:cs="Times New Roman"/>
                      <w:b w:val="0"/>
                      <w:bCs w:val="0"/>
                      <w:color w:val="000000" w:themeColor="text1"/>
                      <w:sz w:val="21"/>
                      <w:szCs w:val="21"/>
                      <w14:textFill>
                        <w14:solidFill>
                          <w14:schemeClr w14:val="tx1"/>
                        </w14:solidFill>
                      </w14:textFill>
                    </w:rPr>
                    <w:t>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488" w:type="pct"/>
                  <w:noWrap w:val="0"/>
                  <w:vAlign w:val="center"/>
                </w:tcPr>
                <w:p w14:paraId="428B8E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1863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23F210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69" w:type="pct"/>
                  <w:vMerge w:val="continue"/>
                  <w:noWrap w:val="0"/>
                  <w:vAlign w:val="center"/>
                </w:tcPr>
                <w:p w14:paraId="273AE3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30" w:type="pct"/>
                  <w:vMerge w:val="restart"/>
                  <w:noWrap w:val="0"/>
                  <w:vAlign w:val="center"/>
                </w:tcPr>
                <w:p w14:paraId="51E825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2025.06.23</w:t>
                  </w:r>
                </w:p>
              </w:tc>
              <w:tc>
                <w:tcPr>
                  <w:tcW w:w="583" w:type="pct"/>
                  <w:noWrap w:val="0"/>
                  <w:vAlign w:val="center"/>
                </w:tcPr>
                <w:p w14:paraId="51A152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02:00~03:00</w:t>
                  </w:r>
                </w:p>
              </w:tc>
              <w:tc>
                <w:tcPr>
                  <w:tcW w:w="671" w:type="pct"/>
                  <w:noWrap w:val="0"/>
                  <w:vAlign w:val="center"/>
                </w:tcPr>
                <w:p w14:paraId="49405B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21</w:t>
                  </w:r>
                </w:p>
              </w:tc>
              <w:tc>
                <w:tcPr>
                  <w:tcW w:w="1150" w:type="pct"/>
                  <w:vMerge w:val="continue"/>
                  <w:noWrap w:val="0"/>
                  <w:vAlign w:val="center"/>
                </w:tcPr>
                <w:p w14:paraId="2740A3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47" w:type="pct"/>
                  <w:noWrap w:val="0"/>
                  <w:vAlign w:val="center"/>
                </w:tcPr>
                <w:p w14:paraId="144886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u</w:t>
                  </w:r>
                  <w:r>
                    <w:rPr>
                      <w:rFonts w:hint="default" w:ascii="Times New Roman" w:hAnsi="Times New Roman" w:eastAsia="宋体" w:cs="Times New Roman"/>
                      <w:b w:val="0"/>
                      <w:bCs w:val="0"/>
                      <w:color w:val="000000" w:themeColor="text1"/>
                      <w:sz w:val="21"/>
                      <w:szCs w:val="21"/>
                      <w14:textFill>
                        <w14:solidFill>
                          <w14:schemeClr w14:val="tx1"/>
                        </w14:solidFill>
                      </w14:textFill>
                    </w:rPr>
                    <w:t>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488" w:type="pct"/>
                  <w:noWrap w:val="0"/>
                  <w:vAlign w:val="center"/>
                </w:tcPr>
                <w:p w14:paraId="0CE019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2534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5165FF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69" w:type="pct"/>
                  <w:vMerge w:val="continue"/>
                  <w:noWrap w:val="0"/>
                  <w:vAlign w:val="center"/>
                </w:tcPr>
                <w:p w14:paraId="575074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30" w:type="pct"/>
                  <w:vMerge w:val="continue"/>
                  <w:noWrap w:val="0"/>
                  <w:vAlign w:val="center"/>
                </w:tcPr>
                <w:p w14:paraId="54D786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83" w:type="pct"/>
                  <w:noWrap w:val="0"/>
                  <w:vAlign w:val="center"/>
                </w:tcPr>
                <w:p w14:paraId="2FC69C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08:00~09:00</w:t>
                  </w:r>
                </w:p>
              </w:tc>
              <w:tc>
                <w:tcPr>
                  <w:tcW w:w="671" w:type="pct"/>
                  <w:noWrap w:val="0"/>
                  <w:vAlign w:val="center"/>
                </w:tcPr>
                <w:p w14:paraId="7C6E7A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22</w:t>
                  </w:r>
                </w:p>
              </w:tc>
              <w:tc>
                <w:tcPr>
                  <w:tcW w:w="1150" w:type="pct"/>
                  <w:vMerge w:val="continue"/>
                  <w:noWrap w:val="0"/>
                  <w:vAlign w:val="center"/>
                </w:tcPr>
                <w:p w14:paraId="24E0CA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47" w:type="pct"/>
                  <w:noWrap w:val="0"/>
                  <w:vAlign w:val="center"/>
                </w:tcPr>
                <w:p w14:paraId="1DBA68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u</w:t>
                  </w:r>
                  <w:r>
                    <w:rPr>
                      <w:rFonts w:hint="default" w:ascii="Times New Roman" w:hAnsi="Times New Roman" w:eastAsia="宋体" w:cs="Times New Roman"/>
                      <w:b w:val="0"/>
                      <w:bCs w:val="0"/>
                      <w:color w:val="000000" w:themeColor="text1"/>
                      <w:sz w:val="21"/>
                      <w:szCs w:val="21"/>
                      <w14:textFill>
                        <w14:solidFill>
                          <w14:schemeClr w14:val="tx1"/>
                        </w14:solidFill>
                      </w14:textFill>
                    </w:rPr>
                    <w:t>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488" w:type="pct"/>
                  <w:noWrap w:val="0"/>
                  <w:vAlign w:val="center"/>
                </w:tcPr>
                <w:p w14:paraId="45C6F5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565A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58" w:type="pct"/>
                  <w:vMerge w:val="continue"/>
                  <w:noWrap w:val="0"/>
                  <w:vAlign w:val="center"/>
                </w:tcPr>
                <w:p w14:paraId="0E5CC5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69" w:type="pct"/>
                  <w:vMerge w:val="continue"/>
                  <w:noWrap w:val="0"/>
                  <w:vAlign w:val="center"/>
                </w:tcPr>
                <w:p w14:paraId="496924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30" w:type="pct"/>
                  <w:vMerge w:val="continue"/>
                  <w:noWrap w:val="0"/>
                  <w:vAlign w:val="center"/>
                </w:tcPr>
                <w:p w14:paraId="71B9DF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83" w:type="pct"/>
                  <w:noWrap w:val="0"/>
                  <w:vAlign w:val="center"/>
                </w:tcPr>
                <w:p w14:paraId="07F3B3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14:00~15:00</w:t>
                  </w:r>
                </w:p>
              </w:tc>
              <w:tc>
                <w:tcPr>
                  <w:tcW w:w="671" w:type="pct"/>
                  <w:noWrap w:val="0"/>
                  <w:vAlign w:val="center"/>
                </w:tcPr>
                <w:p w14:paraId="678D0B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25</w:t>
                  </w:r>
                </w:p>
              </w:tc>
              <w:tc>
                <w:tcPr>
                  <w:tcW w:w="1150" w:type="pct"/>
                  <w:vMerge w:val="continue"/>
                  <w:noWrap w:val="0"/>
                  <w:vAlign w:val="center"/>
                </w:tcPr>
                <w:p w14:paraId="4BE791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47" w:type="pct"/>
                  <w:noWrap w:val="0"/>
                  <w:vAlign w:val="center"/>
                </w:tcPr>
                <w:p w14:paraId="6A0656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u</w:t>
                  </w:r>
                  <w:r>
                    <w:rPr>
                      <w:rFonts w:hint="default" w:ascii="Times New Roman" w:hAnsi="Times New Roman" w:eastAsia="宋体" w:cs="Times New Roman"/>
                      <w:b w:val="0"/>
                      <w:bCs w:val="0"/>
                      <w:color w:val="000000" w:themeColor="text1"/>
                      <w:sz w:val="21"/>
                      <w:szCs w:val="21"/>
                      <w14:textFill>
                        <w14:solidFill>
                          <w14:schemeClr w14:val="tx1"/>
                        </w14:solidFill>
                      </w14:textFill>
                    </w:rPr>
                    <w:t>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488" w:type="pct"/>
                  <w:noWrap w:val="0"/>
                  <w:vAlign w:val="center"/>
                </w:tcPr>
                <w:p w14:paraId="1E82AF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r w14:paraId="60C9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58" w:type="pct"/>
                  <w:vMerge w:val="continue"/>
                  <w:noWrap w:val="0"/>
                  <w:vAlign w:val="center"/>
                </w:tcPr>
                <w:p w14:paraId="509620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69" w:type="pct"/>
                  <w:vMerge w:val="continue"/>
                  <w:noWrap w:val="0"/>
                  <w:vAlign w:val="center"/>
                </w:tcPr>
                <w:p w14:paraId="22A46E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14:textFill>
                        <w14:solidFill>
                          <w14:schemeClr w14:val="tx1"/>
                        </w14:solidFill>
                      </w14:textFill>
                    </w:rPr>
                  </w:pPr>
                </w:p>
              </w:tc>
              <w:tc>
                <w:tcPr>
                  <w:tcW w:w="430" w:type="pct"/>
                  <w:vMerge w:val="continue"/>
                  <w:noWrap w:val="0"/>
                  <w:vAlign w:val="center"/>
                </w:tcPr>
                <w:p w14:paraId="7C4FE9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83" w:type="pct"/>
                  <w:noWrap w:val="0"/>
                  <w:vAlign w:val="center"/>
                </w:tcPr>
                <w:p w14:paraId="6CFC0C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20:00~21:00</w:t>
                  </w:r>
                </w:p>
              </w:tc>
              <w:tc>
                <w:tcPr>
                  <w:tcW w:w="671" w:type="pct"/>
                  <w:noWrap w:val="0"/>
                  <w:vAlign w:val="center"/>
                </w:tcPr>
                <w:p w14:paraId="5566C1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eastAsia"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24</w:t>
                  </w:r>
                </w:p>
              </w:tc>
              <w:tc>
                <w:tcPr>
                  <w:tcW w:w="1150" w:type="pct"/>
                  <w:vMerge w:val="continue"/>
                  <w:noWrap w:val="0"/>
                  <w:vAlign w:val="center"/>
                </w:tcPr>
                <w:p w14:paraId="5D7934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p>
              </w:tc>
              <w:tc>
                <w:tcPr>
                  <w:tcW w:w="547" w:type="pct"/>
                  <w:noWrap w:val="0"/>
                  <w:vAlign w:val="center"/>
                </w:tcPr>
                <w:p w14:paraId="6D037F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u</w:t>
                  </w:r>
                  <w:r>
                    <w:rPr>
                      <w:rFonts w:hint="default" w:ascii="Times New Roman" w:hAnsi="Times New Roman" w:eastAsia="宋体" w:cs="Times New Roman"/>
                      <w:b w:val="0"/>
                      <w:bCs w:val="0"/>
                      <w:color w:val="000000" w:themeColor="text1"/>
                      <w:sz w:val="21"/>
                      <w:szCs w:val="21"/>
                      <w14:textFill>
                        <w14:solidFill>
                          <w14:schemeClr w14:val="tx1"/>
                        </w14:solidFill>
                      </w14:textFill>
                    </w:rPr>
                    <w:t>g/m</w:t>
                  </w:r>
                  <w:r>
                    <w:rPr>
                      <w:rFonts w:hint="default" w:ascii="Times New Roman" w:hAnsi="Times New Roman" w:eastAsia="宋体" w:cs="Times New Roman"/>
                      <w:b w:val="0"/>
                      <w:bCs w:val="0"/>
                      <w:color w:val="000000" w:themeColor="text1"/>
                      <w:sz w:val="21"/>
                      <w:szCs w:val="21"/>
                      <w:vertAlign w:val="superscript"/>
                      <w:lang w:val="en-US" w:eastAsia="zh-CN"/>
                      <w14:textFill>
                        <w14:solidFill>
                          <w14:schemeClr w14:val="tx1"/>
                        </w14:solidFill>
                      </w14:textFill>
                    </w:rPr>
                    <w:t>3</w:t>
                  </w:r>
                </w:p>
              </w:tc>
              <w:tc>
                <w:tcPr>
                  <w:tcW w:w="488" w:type="pct"/>
                  <w:noWrap w:val="0"/>
                  <w:vAlign w:val="center"/>
                </w:tcPr>
                <w:p w14:paraId="1283C4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FFFFFF"/>
                      <w:vertAlign w:val="baseline"/>
                      <w:lang w:val="en-US" w:eastAsia="zh-CN"/>
                      <w14:textFill>
                        <w14:solidFill>
                          <w14:schemeClr w14:val="tx1"/>
                        </w14:solidFill>
                      </w14:textFill>
                    </w:rPr>
                    <w:t>达标</w:t>
                  </w:r>
                </w:p>
              </w:tc>
            </w:tr>
          </w:tbl>
          <w:p w14:paraId="534BB481">
            <w:pPr>
              <w:keepNext w:val="0"/>
              <w:keepLines w:val="0"/>
              <w:pageBreakBefore w:val="0"/>
              <w:widowControl/>
              <w:suppressLineNumbers w:val="0"/>
              <w:kinsoku/>
              <w:wordWrap/>
              <w:overflowPunct/>
              <w:topLinePunct w:val="0"/>
              <w:autoSpaceDE/>
              <w:autoSpaceDN/>
              <w:bidi w:val="0"/>
              <w:adjustRightInd/>
              <w:snapToGrid/>
              <w:spacing w:before="157" w:beforeLines="50"/>
              <w:ind w:firstLine="480" w:firstLineChars="200"/>
              <w:jc w:val="both"/>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由表3-1可以看出，评价区域TSP、</w:t>
            </w:r>
            <w:r>
              <w:rPr>
                <w:rFonts w:hint="eastAsia" w:ascii="Times New Roman" w:hAnsi="Times New Roman" w:eastAsia="宋体" w:cs="Times New Roman"/>
                <w:color w:val="000000"/>
                <w:kern w:val="0"/>
                <w:sz w:val="24"/>
                <w:szCs w:val="24"/>
                <w:highlight w:val="none"/>
                <w:lang w:val="en-US" w:eastAsia="zh-CN" w:bidi="ar"/>
              </w:rPr>
              <w:t>氮氧化物、苯并[a]芘</w:t>
            </w:r>
            <w:r>
              <w:rPr>
                <w:rFonts w:hint="default" w:ascii="Times New Roman" w:hAnsi="Times New Roman" w:eastAsia="宋体" w:cs="Times New Roman"/>
                <w:color w:val="000000"/>
                <w:kern w:val="0"/>
                <w:sz w:val="24"/>
                <w:szCs w:val="24"/>
                <w:highlight w:val="none"/>
                <w:lang w:val="en-US" w:eastAsia="zh-CN" w:bidi="ar"/>
              </w:rPr>
              <w:t>日均浓度</w:t>
            </w:r>
            <w:r>
              <w:rPr>
                <w:rFonts w:hint="eastAsia" w:ascii="Times New Roman" w:hAnsi="Times New Roman" w:eastAsia="宋体" w:cs="Times New Roman"/>
                <w:color w:val="000000"/>
                <w:kern w:val="0"/>
                <w:sz w:val="24"/>
                <w:szCs w:val="24"/>
                <w:highlight w:val="none"/>
                <w:lang w:val="en-US" w:eastAsia="zh-CN" w:bidi="ar"/>
              </w:rPr>
              <w:t>、氮氧化物小时浓度</w:t>
            </w:r>
            <w:r>
              <w:rPr>
                <w:rFonts w:hint="default" w:ascii="Times New Roman" w:hAnsi="Times New Roman" w:eastAsia="宋体" w:cs="Times New Roman"/>
                <w:color w:val="000000"/>
                <w:kern w:val="0"/>
                <w:sz w:val="24"/>
                <w:szCs w:val="24"/>
                <w:highlight w:val="none"/>
                <w:lang w:val="en-US" w:eastAsia="zh-CN" w:bidi="ar"/>
              </w:rPr>
              <w:t>均能满足《环境空气质量标准》（GB3095-2012）二级标准要求，</w:t>
            </w:r>
            <w:r>
              <w:rPr>
                <w:rFonts w:hint="eastAsia" w:ascii="Times New Roman" w:hAnsi="Times New Roman" w:eastAsia="宋体" w:cs="Times New Roman"/>
                <w:color w:val="000000"/>
                <w:kern w:val="0"/>
                <w:sz w:val="24"/>
                <w:szCs w:val="24"/>
                <w:highlight w:val="none"/>
                <w:lang w:val="en-US" w:eastAsia="zh-CN" w:bidi="ar"/>
              </w:rPr>
              <w:t>非甲烷</w:t>
            </w:r>
            <w:r>
              <w:rPr>
                <w:rFonts w:hint="eastAsia" w:cs="Times New Roman"/>
                <w:color w:val="000000"/>
                <w:kern w:val="0"/>
                <w:sz w:val="24"/>
                <w:szCs w:val="24"/>
                <w:highlight w:val="none"/>
                <w:lang w:val="en-US" w:eastAsia="zh-CN" w:bidi="ar"/>
              </w:rPr>
              <w:t>总烃</w:t>
            </w:r>
            <w:r>
              <w:rPr>
                <w:rFonts w:hint="default" w:ascii="Times New Roman" w:hAnsi="Times New Roman" w:eastAsia="宋体" w:cs="Times New Roman"/>
                <w:color w:val="000000"/>
                <w:kern w:val="0"/>
                <w:sz w:val="24"/>
                <w:szCs w:val="24"/>
                <w:highlight w:val="none"/>
                <w:lang w:val="en-US" w:eastAsia="zh-CN" w:bidi="ar"/>
              </w:rPr>
              <w:t>小时</w:t>
            </w:r>
            <w:r>
              <w:rPr>
                <w:rFonts w:hint="eastAsia" w:cs="Times New Roman"/>
                <w:color w:val="000000"/>
                <w:kern w:val="0"/>
                <w:sz w:val="24"/>
                <w:szCs w:val="24"/>
                <w:highlight w:val="none"/>
                <w:lang w:val="en-US" w:eastAsia="zh-CN" w:bidi="ar"/>
              </w:rPr>
              <w:t>浓度能</w:t>
            </w:r>
            <w:r>
              <w:rPr>
                <w:rFonts w:hint="default" w:ascii="Times New Roman" w:hAnsi="Times New Roman" w:eastAsia="宋体" w:cs="Times New Roman"/>
                <w:color w:val="000000"/>
                <w:kern w:val="0"/>
                <w:sz w:val="24"/>
                <w:szCs w:val="24"/>
                <w:highlight w:val="none"/>
                <w:lang w:val="en-US" w:eastAsia="zh-CN" w:bidi="ar"/>
              </w:rPr>
              <w:t>满足</w:t>
            </w:r>
            <w:r>
              <w:rPr>
                <w:rFonts w:hint="eastAsia" w:ascii="Times New Roman" w:hAnsi="Times New Roman" w:eastAsia="宋体"/>
                <w:sz w:val="24"/>
                <w:szCs w:val="24"/>
                <w:highlight w:val="none"/>
              </w:rPr>
              <w:t>《大气污染物综合排放标准详解》（国家环境保护局科技标准司）浓度限值要求</w:t>
            </w:r>
            <w:r>
              <w:rPr>
                <w:rFonts w:hint="default" w:ascii="Times New Roman" w:hAnsi="Times New Roman" w:eastAsia="宋体" w:cs="Times New Roman"/>
                <w:color w:val="000000"/>
                <w:kern w:val="0"/>
                <w:sz w:val="24"/>
                <w:szCs w:val="24"/>
                <w:highlight w:val="none"/>
                <w:lang w:val="en-US" w:eastAsia="zh-CN" w:bidi="ar"/>
              </w:rPr>
              <w:t>。</w:t>
            </w:r>
          </w:p>
          <w:p w14:paraId="6DBB9346">
            <w:pPr>
              <w:keepNext w:val="0"/>
              <w:keepLines w:val="0"/>
              <w:pageBreakBefore w:val="0"/>
              <w:kinsoku/>
              <w:wordWrap/>
              <w:overflowPunct/>
              <w:topLinePunct w:val="0"/>
              <w:autoSpaceDE/>
              <w:autoSpaceDN/>
              <w:bidi w:val="0"/>
              <w:adjustRightInd/>
              <w:snapToGrid/>
              <w:ind w:firstLine="482"/>
              <w:jc w:val="both"/>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二</w:t>
            </w:r>
            <w:r>
              <w:rPr>
                <w:rFonts w:hint="default" w:ascii="Times New Roman" w:hAnsi="Times New Roman" w:eastAsia="宋体" w:cs="Times New Roman"/>
                <w:b/>
                <w:color w:val="auto"/>
              </w:rPr>
              <w:t>、地表水环境质量现状</w:t>
            </w:r>
          </w:p>
          <w:p w14:paraId="3EBCF58C">
            <w:pPr>
              <w:keepNext w:val="0"/>
              <w:keepLines w:val="0"/>
              <w:pageBreakBefore w:val="0"/>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项目区最近地表水为</w:t>
            </w:r>
            <w:r>
              <w:rPr>
                <w:rFonts w:hint="eastAsia" w:ascii="Times New Roman" w:hAnsi="Times New Roman" w:eastAsia="宋体" w:cs="Times New Roman"/>
                <w:color w:val="auto"/>
                <w:sz w:val="24"/>
                <w:szCs w:val="24"/>
                <w:lang w:val="en-US" w:eastAsia="zh-CN"/>
              </w:rPr>
              <w:t>西侧约530m处</w:t>
            </w:r>
            <w:r>
              <w:rPr>
                <w:rFonts w:hint="default" w:ascii="Times New Roman" w:hAnsi="Times New Roman" w:eastAsia="宋体" w:cs="Times New Roman"/>
                <w:color w:val="auto"/>
                <w:sz w:val="24"/>
                <w:szCs w:val="24"/>
              </w:rPr>
              <w:t>初奈河（已干涸），初奈河经道院水库汇入前进河，</w:t>
            </w:r>
            <w:r>
              <w:rPr>
                <w:rFonts w:hint="eastAsia" w:ascii="Times New Roman" w:hAnsi="Times New Roman" w:eastAsia="宋体" w:cs="Times New Roman"/>
                <w:color w:val="auto"/>
                <w:sz w:val="24"/>
                <w:szCs w:val="24"/>
                <w:lang w:val="en-US" w:eastAsia="zh-CN"/>
              </w:rPr>
              <w:t>前进河属于牛栏江一级支流。根据</w:t>
            </w:r>
            <w:r>
              <w:rPr>
                <w:rFonts w:hint="default" w:ascii="Times New Roman" w:hAnsi="Times New Roman" w:eastAsia="宋体" w:cs="Times New Roman"/>
                <w:color w:val="auto"/>
                <w:sz w:val="24"/>
                <w:szCs w:val="24"/>
              </w:rPr>
              <w:t>《昆明市和滇中产业新区水功能区划（201</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-2030年）》，项目涉及河段功能区为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前进河寻甸农业用水区</w:t>
            </w:r>
            <w:r>
              <w:rPr>
                <w:rFonts w:hint="eastAsia" w:ascii="Times New Roman" w:hAnsi="Times New Roman" w:eastAsia="宋体" w:cs="Times New Roman"/>
                <w:color w:val="auto"/>
                <w:sz w:val="24"/>
                <w:szCs w:val="24"/>
                <w:lang w:eastAsia="zh-CN"/>
              </w:rPr>
              <w:t>”：三月三水库起始至入牛栏江口，河长度10.7km，属前进河中下游段，均在寻甸县境内，主要流经仁德街道办事处，其中三</w:t>
            </w:r>
            <w:r>
              <w:rPr>
                <w:rFonts w:hint="default" w:ascii="Times New Roman" w:hAnsi="Times New Roman" w:eastAsia="宋体" w:cs="Times New Roman"/>
                <w:color w:val="auto"/>
                <w:sz w:val="24"/>
                <w:szCs w:val="24"/>
                <w:lang w:eastAsia="zh-CN"/>
              </w:rPr>
              <w:t>月三小（一）型水库总库容302万m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，设计年供水量605万m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lang w:eastAsia="zh-CN"/>
              </w:rPr>
              <w:t>，主要为沿途两岸农田提供农灌用水，现状水质Ⅳ类，2020规划水平年水质保护目标为Ⅳ类，2030规划水平年水质保护目标为Ⅲ类。</w:t>
            </w:r>
            <w:r>
              <w:rPr>
                <w:rFonts w:hint="default" w:ascii="Times New Roman" w:hAnsi="Times New Roman" w:eastAsia="宋体" w:cs="Times New Roman"/>
                <w:color w:val="auto"/>
                <w:sz w:val="24"/>
                <w:szCs w:val="24"/>
              </w:rPr>
              <w:t>执行《地表水环境质量标准》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GB3838-2002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Ⅲ类水标准。</w:t>
            </w:r>
          </w:p>
          <w:p w14:paraId="29977403">
            <w:pPr>
              <w:adjustRightInd w:val="0"/>
              <w:snapToGrid w:val="0"/>
              <w:ind w:right="110" w:rightChars="46" w:firstLine="480"/>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color w:val="auto"/>
              </w:rPr>
              <w:t>根据《202</w:t>
            </w:r>
            <w:r>
              <w:rPr>
                <w:rFonts w:hint="eastAsia"/>
                <w:color w:val="auto"/>
                <w:lang w:val="en-US" w:eastAsia="zh-CN"/>
              </w:rPr>
              <w:t>4</w:t>
            </w:r>
            <w:r>
              <w:rPr>
                <w:color w:val="auto"/>
              </w:rPr>
              <w:t>年度昆明市生态环境状况公报》，</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牛栏江与202</w:t>
            </w:r>
            <w:r>
              <w:rPr>
                <w:rFonts w:hint="eastAsia"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年相比，</w:t>
            </w:r>
            <w:r>
              <w:rPr>
                <w:rFonts w:hint="eastAsia" w:cs="Times New Roman"/>
                <w:color w:val="000000" w:themeColor="text1"/>
                <w:kern w:val="0"/>
                <w:sz w:val="24"/>
                <w:szCs w:val="24"/>
                <w:lang w:val="en-US" w:eastAsia="zh-CN" w:bidi="ar"/>
                <w14:textFill>
                  <w14:solidFill>
                    <w14:schemeClr w14:val="tx1"/>
                  </w14:solidFill>
                </w14:textFill>
              </w:rPr>
              <w:t>牛栏江干流段的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四营水文站、崔家庄、七星水文站断面水质类别</w:t>
            </w:r>
            <w:r>
              <w:rPr>
                <w:rFonts w:hint="eastAsia" w:cs="Times New Roman"/>
                <w:color w:val="000000" w:themeColor="text1"/>
                <w:kern w:val="0"/>
                <w:sz w:val="24"/>
                <w:szCs w:val="24"/>
                <w:lang w:val="en-US" w:eastAsia="zh-CN" w:bidi="ar"/>
                <w14:textFill>
                  <w14:solidFill>
                    <w14:schemeClr w14:val="tx1"/>
                  </w14:solidFill>
                </w14:textFill>
              </w:rPr>
              <w:t>保持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Ⅲ类</w:t>
            </w:r>
            <w:r>
              <w:rPr>
                <w:rFonts w:hint="eastAsia" w:cs="Times New Roman"/>
                <w:color w:val="000000" w:themeColor="text1"/>
                <w:kern w:val="0"/>
                <w:sz w:val="24"/>
                <w:szCs w:val="24"/>
                <w:lang w:val="en-US" w:eastAsia="zh-CN" w:bidi="ar"/>
                <w14:textFill>
                  <w14:solidFill>
                    <w14:schemeClr w14:val="tx1"/>
                  </w14:solidFill>
                </w14:textFill>
              </w:rPr>
              <w:t>不变</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；河口</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象鼻山吊桥</w:t>
            </w:r>
            <w:r>
              <w:rPr>
                <w:rFonts w:hint="eastAsia"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断面水质类别保持Ⅱ类不变。</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本项目无废水外排。</w:t>
            </w:r>
          </w:p>
          <w:p w14:paraId="19782B51">
            <w:pPr>
              <w:adjustRightInd w:val="0"/>
              <w:snapToGrid w:val="0"/>
              <w:ind w:right="110" w:rightChars="46" w:firstLine="480"/>
              <w:rPr>
                <w:rFonts w:hint="default" w:ascii="Times New Roman" w:hAnsi="Times New Roman" w:eastAsia="宋体" w:cs="Times New Roman"/>
                <w:color w:val="auto"/>
                <w:kern w:val="0"/>
                <w:sz w:val="24"/>
                <w:szCs w:val="24"/>
              </w:rPr>
            </w:pPr>
            <w:r>
              <w:rPr>
                <w:rFonts w:hint="eastAsia"/>
                <w:color w:val="auto"/>
                <w:lang w:val="en-US" w:eastAsia="zh-CN"/>
              </w:rPr>
              <w:t>综上，项目所在区域地表水能满足</w:t>
            </w:r>
            <w:r>
              <w:rPr>
                <w:rFonts w:hint="default" w:ascii="Times New Roman" w:hAnsi="Times New Roman" w:eastAsia="宋体" w:cs="Times New Roman"/>
                <w:color w:val="auto"/>
                <w:sz w:val="24"/>
                <w:szCs w:val="24"/>
              </w:rPr>
              <w:t>《地表水环境质量标准》（GB3838-2002）中</w:t>
            </w:r>
            <w:r>
              <w:rPr>
                <w:rFonts w:hint="default" w:ascii="Times New Roman" w:hAnsi="Times New Roman" w:eastAsia="宋体" w:cs="Times New Roman"/>
                <w:bCs/>
                <w:color w:val="auto"/>
                <w:sz w:val="24"/>
                <w:szCs w:val="24"/>
                <w:lang w:val="en-US" w:eastAsia="zh-CN"/>
              </w:rPr>
              <w:t>Ⅲ</w:t>
            </w:r>
            <w:r>
              <w:rPr>
                <w:rFonts w:hint="eastAsia" w:ascii="宋体" w:hAnsi="宋体" w:cs="宋体"/>
                <w:bCs/>
                <w:color w:val="auto"/>
                <w:sz w:val="24"/>
                <w:szCs w:val="24"/>
                <w:lang w:val="en-US" w:eastAsia="zh-CN"/>
              </w:rPr>
              <w:t>类</w:t>
            </w:r>
            <w:r>
              <w:rPr>
                <w:rFonts w:hint="default" w:ascii="Times New Roman" w:hAnsi="Times New Roman" w:eastAsia="宋体" w:cs="Times New Roman"/>
                <w:color w:val="auto"/>
                <w:sz w:val="24"/>
                <w:szCs w:val="24"/>
              </w:rPr>
              <w:t>水质标准要求</w:t>
            </w:r>
            <w:r>
              <w:rPr>
                <w:rFonts w:hint="eastAsia" w:ascii="Times New Roman" w:hAnsi="Times New Roman" w:eastAsia="宋体" w:cs="Times New Roman"/>
                <w:color w:val="auto"/>
                <w:lang w:val="en-US" w:eastAsia="zh-CN"/>
              </w:rPr>
              <w:t>，所处区域属于地表水环境质量现状达标区</w:t>
            </w:r>
            <w:r>
              <w:rPr>
                <w:rFonts w:hint="default" w:ascii="Times New Roman" w:hAnsi="Times New Roman" w:eastAsia="宋体" w:cs="Times New Roman"/>
                <w:color w:val="auto"/>
                <w:kern w:val="0"/>
                <w:sz w:val="24"/>
                <w:szCs w:val="24"/>
              </w:rPr>
              <w:t>。</w:t>
            </w:r>
          </w:p>
          <w:p w14:paraId="3461CC49">
            <w:pPr>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三</w:t>
            </w:r>
            <w:r>
              <w:rPr>
                <w:rFonts w:hint="default" w:ascii="Times New Roman" w:hAnsi="Times New Roman" w:eastAsia="宋体" w:cs="Times New Roman"/>
                <w:b/>
                <w:color w:val="auto"/>
              </w:rPr>
              <w:t>、声环境质量现状</w:t>
            </w:r>
          </w:p>
          <w:p w14:paraId="0C2A9E7B">
            <w:pPr>
              <w:adjustRightInd w:val="0"/>
              <w:snapToGrid w:val="0"/>
              <w:ind w:firstLine="48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本项目位于</w:t>
            </w:r>
            <w:r>
              <w:rPr>
                <w:rFonts w:hint="eastAsia"/>
                <w:u w:val="none"/>
                <w:lang w:val="en-US" w:eastAsia="zh-CN"/>
              </w:rPr>
              <w:t>云南省昆明市寻甸县仁德街道到院社区大发古村石头山采石场</w:t>
            </w:r>
            <w:r>
              <w:rPr>
                <w:rFonts w:hint="default" w:ascii="Times New Roman" w:hAnsi="Times New Roman" w:eastAsia="宋体" w:cs="Times New Roman"/>
                <w:color w:val="auto"/>
                <w:szCs w:val="22"/>
                <w:u w:val="none"/>
              </w:rPr>
              <w:t>，项目区域声环境功能区划为</w:t>
            </w:r>
            <w:r>
              <w:rPr>
                <w:rFonts w:hint="eastAsia" w:ascii="Times New Roman" w:hAnsi="Times New Roman" w:eastAsia="宋体" w:cs="Times New Roman"/>
                <w:color w:val="auto"/>
                <w:szCs w:val="22"/>
                <w:u w:val="none"/>
                <w:lang w:val="en-US" w:eastAsia="zh-CN"/>
              </w:rPr>
              <w:t>2</w:t>
            </w:r>
            <w:r>
              <w:rPr>
                <w:rFonts w:hint="default" w:ascii="Times New Roman" w:hAnsi="Times New Roman" w:eastAsia="宋体" w:cs="Times New Roman"/>
                <w:color w:val="auto"/>
                <w:szCs w:val="22"/>
                <w:u w:val="none"/>
              </w:rPr>
              <w:t>类区</w:t>
            </w:r>
            <w:r>
              <w:rPr>
                <w:rFonts w:hint="default" w:ascii="Times New Roman" w:hAnsi="Times New Roman" w:eastAsia="宋体" w:cs="Times New Roman"/>
                <w:color w:val="auto"/>
                <w:szCs w:val="22"/>
              </w:rPr>
              <w:t>，执行《声环境质量标准》（GB3096-2008）中</w:t>
            </w:r>
            <w:r>
              <w:rPr>
                <w:rFonts w:hint="eastAsia" w:ascii="Times New Roman" w:hAnsi="Times New Roman" w:eastAsia="宋体" w:cs="Times New Roman"/>
                <w:color w:val="auto"/>
                <w:szCs w:val="22"/>
                <w:lang w:val="en-US" w:eastAsia="zh-CN"/>
              </w:rPr>
              <w:t>2</w:t>
            </w:r>
            <w:r>
              <w:rPr>
                <w:rFonts w:hint="default" w:ascii="Times New Roman" w:hAnsi="Times New Roman" w:eastAsia="宋体" w:cs="Times New Roman"/>
                <w:color w:val="auto"/>
                <w:szCs w:val="22"/>
              </w:rPr>
              <w:t>类标准。</w:t>
            </w:r>
          </w:p>
          <w:p w14:paraId="716DE494">
            <w:pPr>
              <w:keepNext w:val="0"/>
              <w:keepLines w:val="0"/>
              <w:widowControl/>
              <w:suppressLineNumbers w:val="0"/>
              <w:spacing w:line="360" w:lineRule="auto"/>
              <w:jc w:val="both"/>
              <w:rPr>
                <w:rFonts w:hint="eastAsia" w:ascii="Times New Roman" w:hAnsi="Times New Roman" w:eastAsia="宋体" w:cs="Times New Roman"/>
                <w:color w:val="auto"/>
                <w:szCs w:val="22"/>
                <w:lang w:eastAsia="zh-CN"/>
              </w:rPr>
            </w:pPr>
            <w:r>
              <w:rPr>
                <w:rFonts w:hint="default" w:ascii="Times New Roman" w:hAnsi="Times New Roman" w:eastAsia="宋体" w:cs="Times New Roman"/>
                <w:color w:val="auto"/>
                <w:szCs w:val="22"/>
              </w:rPr>
              <w:t>根据《202</w:t>
            </w:r>
            <w:r>
              <w:rPr>
                <w:rFonts w:hint="eastAsia" w:cs="Times New Roman"/>
                <w:color w:val="auto"/>
                <w:szCs w:val="22"/>
                <w:lang w:val="en-US" w:eastAsia="zh-CN"/>
              </w:rPr>
              <w:t>4</w:t>
            </w:r>
            <w:r>
              <w:rPr>
                <w:rFonts w:hint="default" w:ascii="Times New Roman" w:hAnsi="Times New Roman" w:eastAsia="宋体" w:cs="Times New Roman"/>
                <w:color w:val="auto"/>
                <w:szCs w:val="22"/>
              </w:rPr>
              <w:t>年度昆明市生态环境状况公报》，2024年，昆明市各县</w:t>
            </w:r>
            <w:r>
              <w:rPr>
                <w:rFonts w:hint="eastAsia" w:cs="Times New Roman"/>
                <w:color w:val="auto"/>
                <w:szCs w:val="22"/>
                <w:lang w:eastAsia="zh-CN"/>
              </w:rPr>
              <w:t>（</w:t>
            </w:r>
            <w:r>
              <w:rPr>
                <w:rFonts w:hint="default" w:ascii="Times New Roman" w:hAnsi="Times New Roman" w:eastAsia="宋体" w:cs="Times New Roman"/>
                <w:color w:val="auto"/>
                <w:szCs w:val="22"/>
              </w:rPr>
              <w:t>市</w:t>
            </w:r>
            <w:r>
              <w:rPr>
                <w:rFonts w:hint="eastAsia" w:cs="Times New Roman"/>
                <w:color w:val="auto"/>
                <w:szCs w:val="22"/>
                <w:lang w:eastAsia="zh-CN"/>
              </w:rPr>
              <w:t>）</w:t>
            </w:r>
            <w:r>
              <w:rPr>
                <w:rFonts w:hint="default" w:ascii="Times New Roman" w:hAnsi="Times New Roman" w:eastAsia="宋体" w:cs="Times New Roman"/>
                <w:color w:val="auto"/>
                <w:szCs w:val="22"/>
              </w:rPr>
              <w:t>区区域环境县间等效声级平均值分别为</w:t>
            </w:r>
            <w:r>
              <w:rPr>
                <w:rFonts w:hint="eastAsia" w:cs="Times New Roman"/>
                <w:color w:val="auto"/>
                <w:szCs w:val="22"/>
                <w:lang w:eastAsia="zh-CN"/>
              </w:rPr>
              <w:t>：</w:t>
            </w:r>
            <w:r>
              <w:rPr>
                <w:rFonts w:hint="default" w:ascii="Times New Roman" w:hAnsi="Times New Roman" w:eastAsia="宋体" w:cs="Times New Roman"/>
                <w:color w:val="auto"/>
                <w:szCs w:val="22"/>
              </w:rPr>
              <w:t>东川区53.4分贝、安宁市49.2分贝、宜良县49.4分贝、石林县53.2分贝、禄劝县51.2分贝、嵩明县52.8分贝、富民县48.9分贝、寻甸县46.3分贝。安宁市、宜良县、富民县、寻甸县区域昼间环境噪声总体水平评价为一级</w:t>
            </w:r>
            <w:r>
              <w:rPr>
                <w:rFonts w:hint="eastAsia" w:cs="Times New Roman"/>
                <w:color w:val="auto"/>
                <w:szCs w:val="22"/>
                <w:lang w:eastAsia="zh-CN"/>
              </w:rPr>
              <w:t>（</w:t>
            </w:r>
            <w:r>
              <w:rPr>
                <w:rFonts w:hint="default" w:ascii="Times New Roman" w:hAnsi="Times New Roman" w:eastAsia="宋体" w:cs="Times New Roman"/>
                <w:color w:val="auto"/>
                <w:szCs w:val="22"/>
              </w:rPr>
              <w:t>好</w:t>
            </w:r>
            <w:r>
              <w:rPr>
                <w:rFonts w:hint="eastAsia" w:cs="Times New Roman"/>
                <w:color w:val="auto"/>
                <w:szCs w:val="22"/>
                <w:lang w:eastAsia="zh-CN"/>
              </w:rPr>
              <w:t>）</w:t>
            </w:r>
            <w:r>
              <w:rPr>
                <w:rFonts w:hint="default" w:ascii="Times New Roman" w:hAnsi="Times New Roman" w:eastAsia="宋体" w:cs="Times New Roman"/>
                <w:color w:val="auto"/>
                <w:szCs w:val="22"/>
              </w:rPr>
              <w:t>，其余各县</w:t>
            </w:r>
            <w:r>
              <w:rPr>
                <w:rFonts w:hint="eastAsia" w:cs="Times New Roman"/>
                <w:color w:val="auto"/>
                <w:szCs w:val="22"/>
                <w:lang w:eastAsia="zh-CN"/>
              </w:rPr>
              <w:t>（</w:t>
            </w:r>
            <w:r>
              <w:rPr>
                <w:rFonts w:hint="default" w:ascii="Times New Roman" w:hAnsi="Times New Roman" w:eastAsia="宋体" w:cs="Times New Roman"/>
                <w:color w:val="auto"/>
                <w:szCs w:val="22"/>
              </w:rPr>
              <w:t>市</w:t>
            </w:r>
            <w:r>
              <w:rPr>
                <w:rFonts w:hint="eastAsia" w:cs="Times New Roman"/>
                <w:color w:val="auto"/>
                <w:szCs w:val="22"/>
                <w:lang w:eastAsia="zh-CN"/>
              </w:rPr>
              <w:t>）</w:t>
            </w:r>
            <w:r>
              <w:rPr>
                <w:rFonts w:hint="default" w:ascii="Times New Roman" w:hAnsi="Times New Roman" w:eastAsia="宋体" w:cs="Times New Roman"/>
                <w:color w:val="auto"/>
                <w:szCs w:val="22"/>
              </w:rPr>
              <w:t>区区域昼间环境噪声总体水平评价为二级</w:t>
            </w:r>
            <w:r>
              <w:rPr>
                <w:rFonts w:hint="eastAsia" w:cs="Times New Roman"/>
                <w:color w:val="auto"/>
                <w:szCs w:val="22"/>
                <w:lang w:eastAsia="zh-CN"/>
              </w:rPr>
              <w:t>（</w:t>
            </w:r>
            <w:r>
              <w:rPr>
                <w:rFonts w:hint="default" w:ascii="Times New Roman" w:hAnsi="Times New Roman" w:eastAsia="宋体" w:cs="Times New Roman"/>
                <w:color w:val="auto"/>
                <w:szCs w:val="22"/>
              </w:rPr>
              <w:t>较好</w:t>
            </w:r>
            <w:r>
              <w:rPr>
                <w:rFonts w:hint="eastAsia" w:cs="Times New Roman"/>
                <w:color w:val="auto"/>
                <w:szCs w:val="22"/>
                <w:lang w:eastAsia="zh-CN"/>
              </w:rPr>
              <w:t>）</w:t>
            </w:r>
            <w:r>
              <w:rPr>
                <w:rFonts w:hint="default" w:ascii="Times New Roman" w:hAnsi="Times New Roman" w:eastAsia="宋体" w:cs="Times New Roman"/>
                <w:color w:val="auto"/>
                <w:szCs w:val="22"/>
              </w:rPr>
              <w:t>。与2023年相比，宜良县、富民县、寻甸县的区域环境昼间等效声级平均值降低，东川区、安宁市、石林县、禄劝县、</w:t>
            </w:r>
            <w:r>
              <w:rPr>
                <w:rFonts w:hint="eastAsia" w:cs="Times New Roman"/>
                <w:color w:val="auto"/>
                <w:szCs w:val="22"/>
                <w:lang w:val="en-US" w:eastAsia="zh-CN"/>
              </w:rPr>
              <w:t>嵩</w:t>
            </w:r>
            <w:r>
              <w:rPr>
                <w:rFonts w:hint="default" w:ascii="Times New Roman" w:hAnsi="Times New Roman" w:eastAsia="宋体" w:cs="Times New Roman"/>
                <w:color w:val="auto"/>
                <w:szCs w:val="22"/>
              </w:rPr>
              <w:t>明县的区域环境昼间等效声级平均值升高。</w:t>
            </w:r>
          </w:p>
          <w:p w14:paraId="29C7BA9F">
            <w:pPr>
              <w:keepNext w:val="0"/>
              <w:keepLines w:val="0"/>
              <w:widowControl/>
              <w:suppressLineNumbers w:val="0"/>
              <w:spacing w:line="360" w:lineRule="auto"/>
              <w:jc w:val="both"/>
              <w:rPr>
                <w:rFonts w:hint="eastAsia"/>
                <w:lang w:val="en-US" w:eastAsia="zh-CN"/>
              </w:rPr>
            </w:pPr>
            <w:r>
              <w:rPr>
                <w:rFonts w:hint="default" w:ascii="Times New Roman" w:hAnsi="Times New Roman" w:eastAsia="宋体" w:cs="Times New Roman"/>
                <w:color w:val="auto"/>
                <w:szCs w:val="22"/>
              </w:rPr>
              <w:t>按照《建设项目环境影响报告表编制技术指南》（试行）的相关要求，厂界周边50m范围内存在声环境保护目标的建设项目，应监测保护目标声环境质量现状并评价达标情况。</w:t>
            </w:r>
            <w:r>
              <w:rPr>
                <w:rFonts w:hint="eastAsia" w:ascii="Times New Roman" w:hAnsi="Times New Roman" w:eastAsia="宋体" w:cs="Times New Roman"/>
                <w:color w:val="auto"/>
                <w:szCs w:val="22"/>
                <w:lang w:val="en-US" w:eastAsia="zh-CN"/>
              </w:rPr>
              <w:t>经现场勘查，项目区域周边50m范围内无声环境保护目标。</w:t>
            </w:r>
          </w:p>
          <w:p w14:paraId="6F668888">
            <w:pPr>
              <w:keepNext w:val="0"/>
              <w:keepLines w:val="0"/>
              <w:widowControl/>
              <w:suppressLineNumbers w:val="0"/>
              <w:spacing w:line="360" w:lineRule="auto"/>
              <w:jc w:val="both"/>
              <w:rPr>
                <w:rFonts w:hint="eastAsia" w:ascii="Times New Roman" w:hAnsi="Times New Roman" w:eastAsia="宋体" w:cs="Times New Roman"/>
                <w:color w:val="auto"/>
                <w:szCs w:val="22"/>
                <w:lang w:eastAsia="zh-CN"/>
              </w:rPr>
            </w:pPr>
            <w:r>
              <w:rPr>
                <w:rFonts w:hint="eastAsia" w:ascii="Times New Roman" w:hAnsi="Times New Roman" w:eastAsia="宋体" w:cs="Times New Roman"/>
                <w:color w:val="auto"/>
                <w:szCs w:val="22"/>
                <w:lang w:val="en-US" w:eastAsia="zh-CN"/>
              </w:rPr>
              <w:t>综上，项目所在区域声环境能满足</w:t>
            </w:r>
            <w:r>
              <w:rPr>
                <w:rFonts w:hint="default" w:ascii="Times New Roman" w:hAnsi="Times New Roman" w:eastAsia="宋体" w:cs="Times New Roman"/>
                <w:color w:val="auto"/>
                <w:szCs w:val="22"/>
              </w:rPr>
              <w:t>《声环境质量标准》（GB3096-2008）中</w:t>
            </w:r>
            <w:r>
              <w:rPr>
                <w:rFonts w:hint="eastAsia" w:ascii="Times New Roman" w:hAnsi="Times New Roman" w:eastAsia="宋体" w:cs="Times New Roman"/>
                <w:color w:val="auto"/>
                <w:szCs w:val="22"/>
                <w:lang w:val="en-US" w:eastAsia="zh-CN"/>
              </w:rPr>
              <w:t>2</w:t>
            </w:r>
            <w:r>
              <w:rPr>
                <w:rFonts w:hint="default" w:ascii="Times New Roman" w:hAnsi="Times New Roman" w:eastAsia="宋体" w:cs="Times New Roman"/>
                <w:color w:val="auto"/>
                <w:szCs w:val="22"/>
              </w:rPr>
              <w:t>类标准</w:t>
            </w:r>
            <w:r>
              <w:rPr>
                <w:rFonts w:hint="eastAsia" w:ascii="Times New Roman" w:hAnsi="Times New Roman" w:eastAsia="宋体" w:cs="Times New Roman"/>
                <w:color w:val="auto"/>
                <w:szCs w:val="22"/>
                <w:lang w:eastAsia="zh-CN"/>
              </w:rPr>
              <w:t>。</w:t>
            </w:r>
          </w:p>
          <w:p w14:paraId="049790B3">
            <w:pPr>
              <w:adjustRightInd w:val="0"/>
              <w:snapToGrid w:val="0"/>
              <w:ind w:firstLine="482"/>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四</w:t>
            </w:r>
            <w:r>
              <w:rPr>
                <w:rFonts w:hint="default" w:ascii="Times New Roman" w:hAnsi="Times New Roman" w:eastAsia="宋体" w:cs="Times New Roman"/>
                <w:b/>
                <w:color w:val="auto"/>
              </w:rPr>
              <w:t>、生态环境现状</w:t>
            </w:r>
          </w:p>
          <w:p w14:paraId="770BF878">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根据现场踏勘，本项目位于</w:t>
            </w:r>
            <w:r>
              <w:rPr>
                <w:rFonts w:hint="eastAsia"/>
                <w:u w:val="none"/>
                <w:lang w:val="en-US" w:eastAsia="zh-CN"/>
              </w:rPr>
              <w:t>云南省昆明市寻甸县仁德街道到院社区大发古村石头山采石场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，项目所在区域</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受人为活动影响，</w:t>
            </w:r>
            <w:r>
              <w:rPr>
                <w:rFonts w:hint="eastAsia" w:cs="Times New Roman"/>
                <w:color w:val="000000" w:themeColor="text1"/>
                <w:kern w:val="0"/>
                <w:sz w:val="24"/>
                <w:szCs w:val="24"/>
                <w:lang w:val="en-US" w:eastAsia="zh-CN" w:bidi="ar"/>
                <w14:textFill>
                  <w14:solidFill>
                    <w14:schemeClr w14:val="tx1"/>
                  </w14:solidFill>
                </w14:textFill>
              </w:rPr>
              <w:t>存在植被</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主要为次生植被和人工农田植被</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。项目周边不涉及自然保护区、风景名胜区及古树名木，无国家、省重点保护野生植物分布，无国家、省重点保护的野生动物等种类分布。</w:t>
            </w:r>
          </w:p>
          <w:p w14:paraId="5EB95E3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b/>
                <w:bCs/>
                <w:color w:val="000000" w:themeColor="text1"/>
                <w:lang w:val="en-US" w:eastAsia="zh-CN"/>
                <w14:textFill>
                  <w14:solidFill>
                    <w14:schemeClr w14:val="tx1"/>
                  </w14:solidFill>
                </w14:textFill>
              </w:rPr>
              <w:t>五、地下水环境现状</w:t>
            </w:r>
          </w:p>
          <w:p w14:paraId="229EA09E">
            <w:pPr>
              <w:spacing w:line="360" w:lineRule="auto"/>
              <w:ind w:firstLine="480" w:firstLineChars="200"/>
              <w:rPr>
                <w:rFonts w:ascii="Times New Roman" w:hAnsi="Times New Roman" w:eastAsia="宋体" w:cs="Times New Roman"/>
                <w:color w:val="000000" w:themeColor="text1"/>
                <w:kern w:val="0"/>
                <w:sz w:val="24"/>
                <w:lang w:bidi="ar"/>
                <w14:textFill>
                  <w14:solidFill>
                    <w14:schemeClr w14:val="tx1"/>
                  </w14:solidFill>
                </w14:textFill>
              </w:rPr>
            </w:pPr>
            <w:r>
              <w:rPr>
                <w:rFonts w:ascii="Times New Roman" w:hAnsi="Times New Roman" w:eastAsia="宋体" w:cs="Times New Roman"/>
                <w:color w:val="000000" w:themeColor="text1"/>
                <w:kern w:val="0"/>
                <w:sz w:val="24"/>
                <w:lang w:bidi="ar"/>
                <w14:textFill>
                  <w14:solidFill>
                    <w14:schemeClr w14:val="tx1"/>
                  </w14:solidFill>
                </w14:textFill>
              </w:rPr>
              <w:t>根据</w:t>
            </w:r>
            <w:r>
              <w:rPr>
                <w:rFonts w:ascii="Times New Roman" w:hAnsi="Times New Roman" w:eastAsia="宋体" w:cs="Times New Roman"/>
                <w:color w:val="000000" w:themeColor="text1"/>
                <w:sz w:val="24"/>
                <w14:textFill>
                  <w14:solidFill>
                    <w14:schemeClr w14:val="tx1"/>
                  </w14:solidFill>
                </w14:textFill>
              </w:rPr>
              <w:t>《环境影响评价技术导则 地下水》（HJ610-2016）附录A地下水环境影响评价行业分类表，项目属于J非金属矿采选及制品制造：70</w:t>
            </w:r>
            <w:r>
              <w:rPr>
                <w:rFonts w:hint="eastAsia" w:ascii="宋体" w:hAnsi="宋体" w:eastAsia="宋体" w:cs="宋体"/>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防水建筑材料制造、沥青搅拌站</w:t>
            </w:r>
            <w:r>
              <w:rPr>
                <w:rFonts w:hint="eastAsia" w:ascii="宋体" w:hAnsi="宋体" w:eastAsia="宋体" w:cs="宋体"/>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项目属于Ⅳ类项目，Ⅳ类项目</w:t>
            </w:r>
            <w:r>
              <w:rPr>
                <w:rFonts w:ascii="Times New Roman" w:hAnsi="Times New Roman" w:eastAsia="宋体" w:cs="Times New Roman"/>
                <w:color w:val="000000" w:themeColor="text1"/>
                <w:kern w:val="0"/>
                <w:sz w:val="24"/>
                <w:lang w:bidi="ar"/>
                <w14:textFill>
                  <w14:solidFill>
                    <w14:schemeClr w14:val="tx1"/>
                  </w14:solidFill>
                </w14:textFill>
              </w:rPr>
              <w:t>可不开展地下水环境质量现状监测。</w:t>
            </w:r>
          </w:p>
          <w:p w14:paraId="11E4D118">
            <w:pPr>
              <w:keepNext w:val="0"/>
              <w:keepLines w:val="0"/>
              <w:widowControl/>
              <w:suppressLineNumbers w:val="0"/>
              <w:spacing w:line="360" w:lineRule="auto"/>
              <w:jc w:val="both"/>
              <w:rPr>
                <w:rFonts w:hint="default" w:ascii="Times New Roman" w:hAnsi="Times New Roman" w:eastAsia="宋体" w:cs="Times New Roman"/>
                <w:color w:val="auto"/>
                <w:szCs w:val="22"/>
                <w:highlight w:val="none"/>
                <w:lang w:val="en-US" w:eastAsia="zh-CN"/>
              </w:rPr>
            </w:pPr>
            <w:r>
              <w:rPr>
                <w:rFonts w:hint="eastAsia" w:ascii="Times New Roman" w:hAnsi="Times New Roman" w:eastAsia="宋体" w:cs="Times New Roman"/>
                <w:b/>
                <w:bCs/>
                <w:color w:val="auto"/>
                <w:szCs w:val="22"/>
                <w:highlight w:val="none"/>
                <w:lang w:val="en-US" w:eastAsia="zh-CN"/>
              </w:rPr>
              <w:t>六、土壤</w:t>
            </w:r>
            <w:r>
              <w:rPr>
                <w:rFonts w:hint="eastAsia"/>
                <w:b/>
                <w:bCs/>
                <w:color w:val="000000" w:themeColor="text1"/>
                <w:highlight w:val="none"/>
                <w:lang w:val="en-US" w:eastAsia="zh-CN"/>
                <w14:textFill>
                  <w14:solidFill>
                    <w14:schemeClr w14:val="tx1"/>
                  </w14:solidFill>
                </w14:textFill>
              </w:rPr>
              <w:t>环境现状</w:t>
            </w:r>
          </w:p>
          <w:p w14:paraId="3AC55323">
            <w:pPr>
              <w:adjustRightInd w:val="0"/>
              <w:spacing w:line="360" w:lineRule="auto"/>
              <w:ind w:firstLine="480" w:firstLineChars="200"/>
              <w:rPr>
                <w:rFonts w:hint="eastAsia"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auto"/>
                <w:szCs w:val="22"/>
              </w:rPr>
              <w:t>本项目位于</w:t>
            </w:r>
            <w:r>
              <w:rPr>
                <w:rFonts w:hint="eastAsia"/>
                <w:u w:val="none"/>
                <w:lang w:val="en-US" w:eastAsia="zh-CN"/>
              </w:rPr>
              <w:t>云南省昆明市寻甸县仁德街道到院社区大发古村石头山采石场</w:t>
            </w:r>
            <w:r>
              <w:rPr>
                <w:rFonts w:hint="default" w:ascii="Times New Roman" w:hAnsi="Times New Roman" w:eastAsia="宋体" w:cs="Times New Roman"/>
                <w:color w:val="auto"/>
                <w:szCs w:val="22"/>
              </w:rPr>
              <w:t>，</w:t>
            </w:r>
            <w:r>
              <w:rPr>
                <w:rFonts w:ascii="Times New Roman" w:hAnsi="Times New Roman" w:eastAsia="宋体" w:cs="Times New Roman"/>
                <w:color w:val="000000" w:themeColor="text1"/>
                <w:kern w:val="0"/>
                <w:sz w:val="24"/>
                <w14:textFill>
                  <w14:solidFill>
                    <w14:schemeClr w14:val="tx1"/>
                  </w14:solidFill>
                </w14:textFill>
              </w:rPr>
              <w:t>为了解建设项目</w:t>
            </w:r>
            <w:r>
              <w:rPr>
                <w:rFonts w:ascii="Times New Roman" w:hAnsi="Times New Roman" w:eastAsia="宋体" w:cs="Times New Roman"/>
                <w:color w:val="000000" w:themeColor="text1"/>
                <w:sz w:val="24"/>
                <w14:textFill>
                  <w14:solidFill>
                    <w14:schemeClr w14:val="tx1"/>
                  </w14:solidFill>
                </w14:textFill>
              </w:rPr>
              <w:t>所在</w:t>
            </w:r>
            <w:r>
              <w:rPr>
                <w:rFonts w:hint="eastAsia" w:ascii="Times New Roman" w:hAnsi="Times New Roman" w:eastAsia="宋体" w:cs="Times New Roman"/>
                <w:color w:val="000000" w:themeColor="text1"/>
                <w:sz w:val="24"/>
                <w14:textFill>
                  <w14:solidFill>
                    <w14:schemeClr w14:val="tx1"/>
                  </w14:solidFill>
                </w14:textFill>
              </w:rPr>
              <w:t>区域土壤环境</w:t>
            </w:r>
            <w:r>
              <w:rPr>
                <w:rFonts w:ascii="Times New Roman" w:hAnsi="Times New Roman" w:eastAsia="宋体" w:cs="Times New Roman"/>
                <w:color w:val="000000" w:themeColor="text1"/>
                <w:sz w:val="24"/>
                <w14:textFill>
                  <w14:solidFill>
                    <w14:schemeClr w14:val="tx1"/>
                  </w14:solidFill>
                </w14:textFill>
              </w:rPr>
              <w:t>质量现状</w:t>
            </w:r>
            <w:r>
              <w:rPr>
                <w:rFonts w:hint="eastAsia" w:ascii="Times New Roman" w:hAnsi="Times New Roman" w:eastAsia="宋体" w:cs="Times New Roman"/>
                <w:color w:val="000000" w:themeColor="text1"/>
                <w:sz w:val="24"/>
                <w14:textFill>
                  <w14:solidFill>
                    <w14:schemeClr w14:val="tx1"/>
                  </w14:solidFill>
                </w14:textFill>
              </w:rPr>
              <w:t>，委托</w:t>
            </w:r>
            <w:r>
              <w:rPr>
                <w:rFonts w:hint="default" w:ascii="Times New Roman" w:hAnsi="Times New Roman" w:eastAsia="宋体" w:cs="Times New Roman"/>
                <w:color w:val="000000" w:themeColor="text1"/>
                <w:sz w:val="24"/>
                <w:lang w:val="en-US" w:eastAsia="zh-CN"/>
                <w14:textFill>
                  <w14:solidFill>
                    <w14:schemeClr w14:val="tx1"/>
                  </w14:solidFill>
                </w14:textFill>
              </w:rPr>
              <w:t>云南</w:t>
            </w:r>
            <w:r>
              <w:rPr>
                <w:rFonts w:hint="eastAsia" w:ascii="Times New Roman" w:hAnsi="Times New Roman" w:eastAsia="宋体" w:cs="Times New Roman"/>
                <w:color w:val="000000" w:themeColor="text1"/>
                <w:sz w:val="24"/>
                <w:lang w:val="en-US" w:eastAsia="zh-CN"/>
                <w14:textFill>
                  <w14:solidFill>
                    <w14:schemeClr w14:val="tx1"/>
                  </w14:solidFill>
                </w14:textFill>
              </w:rPr>
              <w:t>鼎祺</w:t>
            </w:r>
            <w:r>
              <w:rPr>
                <w:rFonts w:hint="default" w:ascii="Times New Roman" w:hAnsi="Times New Roman" w:eastAsia="宋体" w:cs="Times New Roman"/>
                <w:color w:val="000000" w:themeColor="text1"/>
                <w:sz w:val="24"/>
                <w:lang w:val="en-US" w:eastAsia="zh-CN"/>
                <w14:textFill>
                  <w14:solidFill>
                    <w14:schemeClr w14:val="tx1"/>
                  </w14:solidFill>
                </w14:textFill>
              </w:rPr>
              <w:t>检测有限公司</w:t>
            </w:r>
            <w:r>
              <w:rPr>
                <w:rFonts w:hint="eastAsia" w:ascii="Times New Roman" w:hAnsi="Times New Roman" w:eastAsia="宋体" w:cs="Times New Roman"/>
                <w:color w:val="000000" w:themeColor="text1"/>
                <w:sz w:val="24"/>
                <w14:textFill>
                  <w14:solidFill>
                    <w14:schemeClr w14:val="tx1"/>
                  </w14:solidFill>
                </w14:textFill>
              </w:rPr>
              <w:t>于202</w:t>
            </w:r>
            <w:r>
              <w:rPr>
                <w:rFonts w:hint="eastAsia" w:ascii="Times New Roman" w:hAnsi="Times New Roman" w:eastAsia="宋体" w:cs="Times New Roman"/>
                <w:color w:val="000000" w:themeColor="text1"/>
                <w:sz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14:textFill>
                  <w14:solidFill>
                    <w14:schemeClr w14:val="tx1"/>
                  </w14:solidFill>
                </w14:textFill>
              </w:rPr>
              <w:t>年</w:t>
            </w:r>
            <w:r>
              <w:rPr>
                <w:rFonts w:hint="eastAsia" w:ascii="Times New Roman" w:hAnsi="Times New Roman" w:eastAsia="宋体" w:cs="Times New Roman"/>
                <w:color w:val="000000" w:themeColor="text1"/>
                <w:sz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14:textFill>
                  <w14:solidFill>
                    <w14:schemeClr w14:val="tx1"/>
                  </w14:solidFill>
                </w14:textFill>
              </w:rPr>
              <w:t>月</w:t>
            </w:r>
            <w:r>
              <w:rPr>
                <w:rFonts w:hint="eastAsia" w:ascii="Times New Roman" w:hAnsi="Times New Roman" w:eastAsia="宋体" w:cs="Times New Roman"/>
                <w:color w:val="000000" w:themeColor="text1"/>
                <w:sz w:val="24"/>
                <w:lang w:val="en-US" w:eastAsia="zh-CN"/>
                <w14:textFill>
                  <w14:solidFill>
                    <w14:schemeClr w14:val="tx1"/>
                  </w14:solidFill>
                </w14:textFill>
              </w:rPr>
              <w:t>23</w:t>
            </w:r>
            <w:r>
              <w:rPr>
                <w:rFonts w:hint="eastAsia" w:ascii="Times New Roman" w:hAnsi="Times New Roman" w:eastAsia="宋体" w:cs="Times New Roman"/>
                <w:color w:val="000000" w:themeColor="text1"/>
                <w:sz w:val="24"/>
                <w14:textFill>
                  <w14:solidFill>
                    <w14:schemeClr w14:val="tx1"/>
                  </w14:solidFill>
                </w14:textFill>
              </w:rPr>
              <w:t>日对项目区1个表层样点土壤环境进行现状监测。土壤监测点位位于项目建设区域范围内</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103.3169956,25.567878</w:t>
            </w:r>
            <w:r>
              <w:rPr>
                <w:rFonts w:hint="eastAsia"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，监测因子执行</w:t>
            </w:r>
            <w:r>
              <w:rPr>
                <w:rFonts w:ascii="Times New Roman" w:hAnsi="Times New Roman" w:eastAsia="宋体" w:cs="Times New Roman"/>
                <w:color w:val="000000" w:themeColor="text1"/>
                <w:sz w:val="24"/>
                <w14:textFill>
                  <w14:solidFill>
                    <w14:schemeClr w14:val="tx1"/>
                  </w14:solidFill>
                </w14:textFill>
              </w:rPr>
              <w:t>《土壤环境质量 建设土壤污染风险管控标准（试行）》（GB36600-2018）第二类用地标准</w:t>
            </w:r>
            <w:r>
              <w:rPr>
                <w:rFonts w:hint="eastAsia" w:ascii="Times New Roman" w:hAnsi="Times New Roman" w:eastAsia="宋体" w:cs="Times New Roman"/>
                <w:color w:val="000000" w:themeColor="text1"/>
                <w:sz w:val="24"/>
                <w14:textFill>
                  <w14:solidFill>
                    <w14:schemeClr w14:val="tx1"/>
                  </w14:solidFill>
                </w14:textFill>
              </w:rPr>
              <w:t>。</w:t>
            </w:r>
          </w:p>
          <w:p w14:paraId="0CE2EBEE">
            <w:pPr>
              <w:keepNext w:val="0"/>
              <w:keepLines w:val="0"/>
              <w:widowControl/>
              <w:suppressLineNumbers w:val="0"/>
              <w:spacing w:line="360" w:lineRule="auto"/>
              <w:jc w:val="both"/>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w:t>
            </w:r>
            <w:r>
              <w:rPr>
                <w:rFonts w:ascii="Times New Roman" w:hAnsi="Times New Roman" w:eastAsia="宋体" w:cs="Times New Roman"/>
                <w:color w:val="000000" w:themeColor="text1"/>
                <w:sz w:val="24"/>
                <w14:textFill>
                  <w14:solidFill>
                    <w14:schemeClr w14:val="tx1"/>
                  </w14:solidFill>
                </w14:textFill>
              </w:rPr>
              <w:t>项目所在地土壤现状监测结果见表</w:t>
            </w:r>
            <w:r>
              <w:rPr>
                <w:rFonts w:hint="eastAsia" w:ascii="Times New Roman" w:hAnsi="Times New Roman" w:eastAsia="宋体" w:cs="Times New Roman"/>
                <w:color w:val="000000" w:themeColor="text1"/>
                <w:sz w:val="24"/>
                <w14:textFill>
                  <w14:solidFill>
                    <w14:schemeClr w14:val="tx1"/>
                  </w14:solidFill>
                </w14:textFill>
              </w:rPr>
              <w:t>3</w:t>
            </w:r>
            <w:r>
              <w:rPr>
                <w:rFonts w:hint="eastAsia" w:eastAsia="宋体" w:cs="Times New Roman"/>
                <w:color w:val="000000" w:themeColor="text1"/>
                <w:sz w:val="24"/>
                <w:lang w:val="en-US" w:eastAsia="zh-CN"/>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w:t>
            </w:r>
          </w:p>
          <w:p w14:paraId="18587517">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rPr>
            </w:pPr>
            <w:r>
              <w:rPr>
                <w:rFonts w:hint="default" w:ascii="Times New Roman" w:hAnsi="Times New Roman" w:eastAsia="宋体" w:cs="Times New Roman"/>
                <w:b/>
                <w:bCs/>
                <w:color w:val="000000"/>
                <w:kern w:val="0"/>
                <w:sz w:val="21"/>
                <w:szCs w:val="21"/>
                <w:highlight w:val="none"/>
                <w:lang w:val="en-US" w:eastAsia="zh-CN" w:bidi="ar"/>
              </w:rPr>
              <w:t>表3-</w:t>
            </w:r>
            <w:r>
              <w:rPr>
                <w:rFonts w:hint="eastAsia" w:ascii="Times New Roman" w:hAnsi="Times New Roman" w:eastAsia="宋体" w:cs="Times New Roman"/>
                <w:b/>
                <w:bCs/>
                <w:color w:val="000000"/>
                <w:kern w:val="0"/>
                <w:sz w:val="21"/>
                <w:szCs w:val="21"/>
                <w:highlight w:val="none"/>
                <w:lang w:val="en-US" w:eastAsia="zh-CN" w:bidi="ar"/>
              </w:rPr>
              <w:t>2</w:t>
            </w:r>
            <w:r>
              <w:rPr>
                <w:rFonts w:hint="eastAsia" w:cs="Times New Roman"/>
                <w:b/>
                <w:bCs/>
                <w:color w:val="000000"/>
                <w:kern w:val="0"/>
                <w:sz w:val="21"/>
                <w:szCs w:val="21"/>
                <w:highlight w:val="none"/>
                <w:lang w:val="en-US" w:eastAsia="zh-CN" w:bidi="ar"/>
              </w:rPr>
              <w:t xml:space="preserve"> </w:t>
            </w:r>
            <w:r>
              <w:rPr>
                <w:rFonts w:hint="eastAsia" w:ascii="Times New Roman" w:hAnsi="Times New Roman" w:eastAsia="宋体" w:cs="Times New Roman"/>
                <w:b/>
                <w:bCs/>
                <w:color w:val="000000"/>
                <w:kern w:val="0"/>
                <w:sz w:val="21"/>
                <w:szCs w:val="21"/>
                <w:highlight w:val="none"/>
                <w:lang w:val="en-US" w:eastAsia="zh-CN" w:bidi="ar"/>
              </w:rPr>
              <w:t>土壤环境</w:t>
            </w:r>
            <w:r>
              <w:rPr>
                <w:rFonts w:hint="default" w:ascii="Times New Roman" w:hAnsi="Times New Roman" w:eastAsia="宋体" w:cs="Times New Roman"/>
                <w:b/>
                <w:bCs/>
                <w:color w:val="000000"/>
                <w:kern w:val="0"/>
                <w:sz w:val="21"/>
                <w:szCs w:val="21"/>
                <w:highlight w:val="none"/>
                <w:lang w:val="en-US" w:eastAsia="zh-CN" w:bidi="ar"/>
              </w:rPr>
              <w:t>质量现状监测结果</w:t>
            </w:r>
            <w:r>
              <w:rPr>
                <w:rFonts w:hint="eastAsia" w:cs="Times New Roman"/>
                <w:b/>
                <w:bCs/>
                <w:color w:val="000000"/>
                <w:kern w:val="0"/>
                <w:sz w:val="21"/>
                <w:szCs w:val="21"/>
                <w:highlight w:val="none"/>
                <w:lang w:val="en-US" w:eastAsia="zh-CN" w:bidi="ar"/>
              </w:rPr>
              <w:t>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1320"/>
              <w:gridCol w:w="1709"/>
              <w:gridCol w:w="1238"/>
            </w:tblGrid>
            <w:tr w14:paraId="2FE1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vAlign w:val="center"/>
                </w:tcPr>
                <w:p w14:paraId="77FC939C">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点位</w:t>
                  </w:r>
                </w:p>
              </w:tc>
              <w:tc>
                <w:tcPr>
                  <w:tcW w:w="4267" w:type="dxa"/>
                  <w:gridSpan w:val="3"/>
                  <w:vAlign w:val="center"/>
                </w:tcPr>
                <w:p w14:paraId="569CB529">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b/>
                      <w:bCs/>
                      <w:color w:val="000000" w:themeColor="text1"/>
                      <w:kern w:val="0"/>
                      <w:sz w:val="21"/>
                      <w:szCs w:val="21"/>
                      <w:lang w:bidi="ar"/>
                      <w14:textFill>
                        <w14:solidFill>
                          <w14:schemeClr w14:val="tx1"/>
                        </w14:solidFill>
                      </w14:textFill>
                    </w:rPr>
                  </w:pPr>
                  <w:r>
                    <w:rPr>
                      <w:rFonts w:ascii="Times New Roman" w:hAnsi="Times New Roman" w:eastAsia="宋体" w:cs="Times New Roman"/>
                      <w:b/>
                      <w:bCs/>
                      <w:color w:val="000000" w:themeColor="text1"/>
                      <w:kern w:val="0"/>
                      <w:sz w:val="21"/>
                      <w:szCs w:val="21"/>
                      <w:lang w:bidi="ar"/>
                      <w14:textFill>
                        <w14:solidFill>
                          <w14:schemeClr w14:val="tx1"/>
                        </w14:solidFill>
                      </w14:textFill>
                    </w:rPr>
                    <w:t>T1土壤检测点</w:t>
                  </w:r>
                </w:p>
              </w:tc>
            </w:tr>
            <w:tr w14:paraId="1684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vAlign w:val="center"/>
                </w:tcPr>
                <w:p w14:paraId="502F0E66">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层次</w:t>
                  </w:r>
                </w:p>
              </w:tc>
              <w:tc>
                <w:tcPr>
                  <w:tcW w:w="1320" w:type="dxa"/>
                  <w:vAlign w:val="center"/>
                </w:tcPr>
                <w:p w14:paraId="4EE63A56">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0-0.2m</w:t>
                  </w:r>
                </w:p>
              </w:tc>
              <w:tc>
                <w:tcPr>
                  <w:tcW w:w="1709" w:type="dxa"/>
                  <w:vAlign w:val="center"/>
                </w:tcPr>
                <w:p w14:paraId="35FF0105">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标准值（</w:t>
                  </w:r>
                  <w:r>
                    <w:rPr>
                      <w:rFonts w:ascii="Times New Roman" w:hAnsi="Times New Roman" w:eastAsia="宋体" w:cs="Times New Roman"/>
                      <w:b/>
                      <w:bCs/>
                      <w:color w:val="000000" w:themeColor="text1"/>
                      <w:sz w:val="21"/>
                      <w:szCs w:val="21"/>
                      <w14:textFill>
                        <w14:solidFill>
                          <w14:schemeClr w14:val="tx1"/>
                        </w14:solidFill>
                      </w14:textFill>
                    </w:rPr>
                    <w:t>筛选值</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1238" w:type="dxa"/>
                  <w:vAlign w:val="center"/>
                </w:tcPr>
                <w:p w14:paraId="569A75F9">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达标情况</w:t>
                  </w:r>
                </w:p>
              </w:tc>
            </w:tr>
            <w:tr w14:paraId="39C1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vAlign w:val="center"/>
                </w:tcPr>
                <w:p w14:paraId="4EA67508">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pH（无量纲）</w:t>
                  </w:r>
                </w:p>
              </w:tc>
              <w:tc>
                <w:tcPr>
                  <w:tcW w:w="1320" w:type="dxa"/>
                  <w:vAlign w:val="center"/>
                </w:tcPr>
                <w:p w14:paraId="36FC7479">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sz w:val="21"/>
                      <w:szCs w:val="21"/>
                      <w:u w:color="000000"/>
                      <w:lang w:val="en-US" w:eastAsia="zh-CN"/>
                      <w14:textFill>
                        <w14:solidFill>
                          <w14:schemeClr w14:val="tx1"/>
                        </w14:solidFill>
                      </w14:textFill>
                    </w:rPr>
                  </w:pPr>
                  <w:r>
                    <w:rPr>
                      <w:rFonts w:hint="eastAsia" w:cs="Times New Roman"/>
                      <w:color w:val="000000" w:themeColor="text1"/>
                      <w:sz w:val="21"/>
                      <w:szCs w:val="21"/>
                      <w:u w:color="000000"/>
                      <w:lang w:val="en-US" w:eastAsia="zh-CN"/>
                      <w14:textFill>
                        <w14:solidFill>
                          <w14:schemeClr w14:val="tx1"/>
                        </w14:solidFill>
                      </w14:textFill>
                    </w:rPr>
                    <w:t>8.05</w:t>
                  </w:r>
                </w:p>
              </w:tc>
              <w:tc>
                <w:tcPr>
                  <w:tcW w:w="1709" w:type="dxa"/>
                  <w:vAlign w:val="center"/>
                </w:tcPr>
                <w:p w14:paraId="28C17A23">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w:t>
                  </w:r>
                </w:p>
              </w:tc>
              <w:tc>
                <w:tcPr>
                  <w:tcW w:w="1238" w:type="dxa"/>
                  <w:vAlign w:val="center"/>
                </w:tcPr>
                <w:p w14:paraId="53F01020">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w:t>
                  </w:r>
                </w:p>
              </w:tc>
            </w:tr>
            <w:tr w14:paraId="686C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09F780BD">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砷（</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05F84AAD">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19.1</w:t>
                  </w:r>
                </w:p>
              </w:tc>
              <w:tc>
                <w:tcPr>
                  <w:tcW w:w="1709" w:type="dxa"/>
                  <w:shd w:val="clear" w:color="auto" w:fill="auto"/>
                  <w:vAlign w:val="center"/>
                </w:tcPr>
                <w:p w14:paraId="1CB83D80">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60</w:t>
                  </w:r>
                </w:p>
              </w:tc>
              <w:tc>
                <w:tcPr>
                  <w:tcW w:w="1238" w:type="dxa"/>
                  <w:shd w:val="clear" w:color="auto" w:fill="auto"/>
                  <w:vAlign w:val="center"/>
                </w:tcPr>
                <w:p w14:paraId="7F9F7BAA">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092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vAlign w:val="center"/>
                </w:tcPr>
                <w:p w14:paraId="5AF9BE4B">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镉（</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vAlign w:val="center"/>
                </w:tcPr>
                <w:p w14:paraId="46B9FE32">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sz w:val="21"/>
                      <w:szCs w:val="21"/>
                      <w:u w:color="000000"/>
                      <w:lang w:val="en-US" w:eastAsia="zh-CN"/>
                      <w14:textFill>
                        <w14:solidFill>
                          <w14:schemeClr w14:val="tx1"/>
                        </w14:solidFill>
                      </w14:textFill>
                    </w:rPr>
                  </w:pPr>
                  <w:r>
                    <w:rPr>
                      <w:rFonts w:hint="eastAsia" w:cs="Times New Roman"/>
                      <w:color w:val="000000" w:themeColor="text1"/>
                      <w:sz w:val="21"/>
                      <w:szCs w:val="21"/>
                      <w:u w:color="000000"/>
                      <w:lang w:val="en-US" w:eastAsia="zh-CN"/>
                      <w14:textFill>
                        <w14:solidFill>
                          <w14:schemeClr w14:val="tx1"/>
                        </w14:solidFill>
                      </w14:textFill>
                    </w:rPr>
                    <w:t>1.10</w:t>
                  </w:r>
                </w:p>
              </w:tc>
              <w:tc>
                <w:tcPr>
                  <w:tcW w:w="1709" w:type="dxa"/>
                  <w:vAlign w:val="center"/>
                </w:tcPr>
                <w:p w14:paraId="15C5AD26">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65</w:t>
                  </w:r>
                </w:p>
              </w:tc>
              <w:tc>
                <w:tcPr>
                  <w:tcW w:w="1238" w:type="dxa"/>
                  <w:vAlign w:val="center"/>
                </w:tcPr>
                <w:p w14:paraId="5B3B972A">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65B5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20415BC8">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铬（六价）（</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43ABF033">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1.3</w:t>
                  </w:r>
                </w:p>
              </w:tc>
              <w:tc>
                <w:tcPr>
                  <w:tcW w:w="1709" w:type="dxa"/>
                  <w:shd w:val="clear" w:color="auto" w:fill="auto"/>
                  <w:vAlign w:val="center"/>
                </w:tcPr>
                <w:p w14:paraId="5C41B3F3">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5.7</w:t>
                  </w:r>
                </w:p>
              </w:tc>
              <w:tc>
                <w:tcPr>
                  <w:tcW w:w="1238" w:type="dxa"/>
                  <w:shd w:val="clear" w:color="auto" w:fill="auto"/>
                  <w:vAlign w:val="center"/>
                </w:tcPr>
                <w:p w14:paraId="1B66F60C">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787C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7AD085A7">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铜（</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1C912A08">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35</w:t>
                  </w:r>
                </w:p>
              </w:tc>
              <w:tc>
                <w:tcPr>
                  <w:tcW w:w="1709" w:type="dxa"/>
                  <w:shd w:val="clear" w:color="auto" w:fill="auto"/>
                  <w:vAlign w:val="center"/>
                </w:tcPr>
                <w:p w14:paraId="44D52D33">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18000</w:t>
                  </w:r>
                </w:p>
              </w:tc>
              <w:tc>
                <w:tcPr>
                  <w:tcW w:w="1238" w:type="dxa"/>
                  <w:shd w:val="clear" w:color="auto" w:fill="auto"/>
                  <w:vAlign w:val="center"/>
                </w:tcPr>
                <w:p w14:paraId="32484EFD">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7399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6718882D">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铅（</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2BF7EF25">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11.8</w:t>
                  </w:r>
                </w:p>
              </w:tc>
              <w:tc>
                <w:tcPr>
                  <w:tcW w:w="1709" w:type="dxa"/>
                  <w:shd w:val="clear" w:color="auto" w:fill="auto"/>
                  <w:vAlign w:val="center"/>
                </w:tcPr>
                <w:p w14:paraId="20AA1567">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800</w:t>
                  </w:r>
                </w:p>
              </w:tc>
              <w:tc>
                <w:tcPr>
                  <w:tcW w:w="1238" w:type="dxa"/>
                  <w:shd w:val="clear" w:color="auto" w:fill="auto"/>
                  <w:vAlign w:val="center"/>
                </w:tcPr>
                <w:p w14:paraId="60292EBE">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5B6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43BCC367">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汞（</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6C65DB10">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0.094</w:t>
                  </w:r>
                </w:p>
              </w:tc>
              <w:tc>
                <w:tcPr>
                  <w:tcW w:w="1709" w:type="dxa"/>
                  <w:shd w:val="clear" w:color="auto" w:fill="auto"/>
                  <w:vAlign w:val="center"/>
                </w:tcPr>
                <w:p w14:paraId="4FEEF4AF">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38</w:t>
                  </w:r>
                </w:p>
              </w:tc>
              <w:tc>
                <w:tcPr>
                  <w:tcW w:w="1238" w:type="dxa"/>
                  <w:shd w:val="clear" w:color="auto" w:fill="auto"/>
                  <w:vAlign w:val="center"/>
                </w:tcPr>
                <w:p w14:paraId="436A5E42">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06C0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349C2D38">
                  <w:pPr>
                    <w:keepNext w:val="0"/>
                    <w:keepLines w:val="0"/>
                    <w:pageBreakBefore w:val="0"/>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镍（</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74160F87">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80</w:t>
                  </w:r>
                </w:p>
              </w:tc>
              <w:tc>
                <w:tcPr>
                  <w:tcW w:w="1709" w:type="dxa"/>
                  <w:shd w:val="clear" w:color="auto" w:fill="auto"/>
                  <w:vAlign w:val="center"/>
                </w:tcPr>
                <w:p w14:paraId="0F74DE66">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900</w:t>
                  </w:r>
                </w:p>
              </w:tc>
              <w:tc>
                <w:tcPr>
                  <w:tcW w:w="1238" w:type="dxa"/>
                  <w:shd w:val="clear" w:color="auto" w:fill="auto"/>
                  <w:vAlign w:val="center"/>
                </w:tcPr>
                <w:p w14:paraId="4FC620B5">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23C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6A660A2D">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四氯化碳</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208CE1A5">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165A2CC1">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2.8</w:t>
                  </w:r>
                </w:p>
              </w:tc>
              <w:tc>
                <w:tcPr>
                  <w:tcW w:w="1238" w:type="dxa"/>
                  <w:shd w:val="clear" w:color="auto" w:fill="auto"/>
                  <w:vAlign w:val="center"/>
                </w:tcPr>
                <w:p w14:paraId="0FD60F87">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301E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25A02434">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氯仿</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59E6556F">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55DDF87B">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0.9</w:t>
                  </w:r>
                </w:p>
              </w:tc>
              <w:tc>
                <w:tcPr>
                  <w:tcW w:w="1238" w:type="dxa"/>
                  <w:shd w:val="clear" w:color="auto" w:fill="auto"/>
                  <w:vAlign w:val="center"/>
                </w:tcPr>
                <w:p w14:paraId="56F9B146">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7A1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vAlign w:val="center"/>
                </w:tcPr>
                <w:p w14:paraId="6EC1F2B9">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氯甲烷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vAlign w:val="center"/>
                </w:tcPr>
                <w:p w14:paraId="63304646">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vAlign w:val="center"/>
                </w:tcPr>
                <w:p w14:paraId="094D9B4A">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37</w:t>
                  </w:r>
                </w:p>
              </w:tc>
              <w:tc>
                <w:tcPr>
                  <w:tcW w:w="1238" w:type="dxa"/>
                  <w:vAlign w:val="center"/>
                </w:tcPr>
                <w:p w14:paraId="0C726346">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5D40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6E8C2FCE">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1,1-二氯乙烷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42B3CF5B">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0FE376FC">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9</w:t>
                  </w:r>
                </w:p>
              </w:tc>
              <w:tc>
                <w:tcPr>
                  <w:tcW w:w="1238" w:type="dxa"/>
                  <w:shd w:val="clear" w:color="auto" w:fill="auto"/>
                  <w:vAlign w:val="center"/>
                </w:tcPr>
                <w:p w14:paraId="51F2631E">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744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5B2AA383">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1,2-二氯乙烷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751FA59F">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6518C6E1">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w:t>
                  </w:r>
                </w:p>
              </w:tc>
              <w:tc>
                <w:tcPr>
                  <w:tcW w:w="1238" w:type="dxa"/>
                  <w:shd w:val="clear" w:color="auto" w:fill="auto"/>
                  <w:vAlign w:val="center"/>
                </w:tcPr>
                <w:p w14:paraId="2B0A6A98">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7FF2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639CDD37">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1,1-二氯乙烯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712CF78C">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26610ECB">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66</w:t>
                  </w:r>
                </w:p>
              </w:tc>
              <w:tc>
                <w:tcPr>
                  <w:tcW w:w="1238" w:type="dxa"/>
                  <w:shd w:val="clear" w:color="auto" w:fill="auto"/>
                  <w:vAlign w:val="center"/>
                </w:tcPr>
                <w:p w14:paraId="0BDC1CB9">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57D5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14770368">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顺式-1,2-二氯乙烯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2348E79D">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5197AEFB">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596</w:t>
                  </w:r>
                </w:p>
              </w:tc>
              <w:tc>
                <w:tcPr>
                  <w:tcW w:w="1238" w:type="dxa"/>
                  <w:shd w:val="clear" w:color="auto" w:fill="auto"/>
                  <w:vAlign w:val="center"/>
                </w:tcPr>
                <w:p w14:paraId="7D53B3AC">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4877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02119B74">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反式-1,2-二氯乙烯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7B007E52">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1BF4810F">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54</w:t>
                  </w:r>
                </w:p>
              </w:tc>
              <w:tc>
                <w:tcPr>
                  <w:tcW w:w="1238" w:type="dxa"/>
                  <w:shd w:val="clear" w:color="auto" w:fill="auto"/>
                  <w:vAlign w:val="center"/>
                </w:tcPr>
                <w:p w14:paraId="55EBAB4B">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83A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23FED2DE">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二氯甲烷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2C991D87">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14.4</w:t>
                  </w:r>
                </w:p>
              </w:tc>
              <w:tc>
                <w:tcPr>
                  <w:tcW w:w="1709" w:type="dxa"/>
                  <w:shd w:val="clear" w:color="auto" w:fill="auto"/>
                  <w:vAlign w:val="center"/>
                </w:tcPr>
                <w:p w14:paraId="72008E5A">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616</w:t>
                  </w:r>
                </w:p>
              </w:tc>
              <w:tc>
                <w:tcPr>
                  <w:tcW w:w="1238" w:type="dxa"/>
                  <w:shd w:val="clear" w:color="auto" w:fill="auto"/>
                  <w:vAlign w:val="center"/>
                </w:tcPr>
                <w:p w14:paraId="35D772C1">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6C728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394A4F6B">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1,2-二氯丙烷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4DB5B5C5">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6F16623D">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w:t>
                  </w:r>
                </w:p>
              </w:tc>
              <w:tc>
                <w:tcPr>
                  <w:tcW w:w="1238" w:type="dxa"/>
                  <w:shd w:val="clear" w:color="auto" w:fill="auto"/>
                  <w:vAlign w:val="center"/>
                </w:tcPr>
                <w:p w14:paraId="77B14217">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38D2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745A865A">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1,1,1,2-四氯乙烷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248E8AB5">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1294DC56">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10</w:t>
                  </w:r>
                </w:p>
              </w:tc>
              <w:tc>
                <w:tcPr>
                  <w:tcW w:w="1238" w:type="dxa"/>
                  <w:shd w:val="clear" w:color="auto" w:fill="auto"/>
                  <w:vAlign w:val="center"/>
                </w:tcPr>
                <w:p w14:paraId="749B3235">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8A9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474BB8AF">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1,1,2,2-四氯乙烷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49CD43E0">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40714E63">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6.8</w:t>
                  </w:r>
                </w:p>
              </w:tc>
              <w:tc>
                <w:tcPr>
                  <w:tcW w:w="1238" w:type="dxa"/>
                  <w:shd w:val="clear" w:color="auto" w:fill="auto"/>
                  <w:vAlign w:val="center"/>
                </w:tcPr>
                <w:p w14:paraId="217B0C1E">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82D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6C703FC0">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四氯乙烯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51481118">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5A64E067">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53</w:t>
                  </w:r>
                </w:p>
              </w:tc>
              <w:tc>
                <w:tcPr>
                  <w:tcW w:w="1238" w:type="dxa"/>
                  <w:shd w:val="clear" w:color="auto" w:fill="auto"/>
                  <w:vAlign w:val="center"/>
                </w:tcPr>
                <w:p w14:paraId="3547CA5F">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4C09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7CBFDC21">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1,1,1-三氯乙烷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3185C85A">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2843BF7F">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840</w:t>
                  </w:r>
                </w:p>
              </w:tc>
              <w:tc>
                <w:tcPr>
                  <w:tcW w:w="1238" w:type="dxa"/>
                  <w:shd w:val="clear" w:color="auto" w:fill="auto"/>
                  <w:vAlign w:val="center"/>
                </w:tcPr>
                <w:p w14:paraId="08367277">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73F9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46B27E6A">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1,1,2-三氯乙烷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5372C581">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02FF61F8">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2.8</w:t>
                  </w:r>
                </w:p>
              </w:tc>
              <w:tc>
                <w:tcPr>
                  <w:tcW w:w="1238" w:type="dxa"/>
                  <w:shd w:val="clear" w:color="auto" w:fill="auto"/>
                  <w:vAlign w:val="center"/>
                </w:tcPr>
                <w:p w14:paraId="4B2C4C65">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67B7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6D12DBF8">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三氯乙烯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6BBED89F">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3D9AC829">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2.8</w:t>
                  </w:r>
                </w:p>
              </w:tc>
              <w:tc>
                <w:tcPr>
                  <w:tcW w:w="1238" w:type="dxa"/>
                  <w:shd w:val="clear" w:color="auto" w:fill="auto"/>
                  <w:vAlign w:val="center"/>
                </w:tcPr>
                <w:p w14:paraId="441ED4F3">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499C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0E9E436C">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1,2,3-三氯丙烷</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25F163D4">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55A112AD">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0.5</w:t>
                  </w:r>
                </w:p>
              </w:tc>
              <w:tc>
                <w:tcPr>
                  <w:tcW w:w="1238" w:type="dxa"/>
                  <w:shd w:val="clear" w:color="auto" w:fill="auto"/>
                  <w:vAlign w:val="center"/>
                </w:tcPr>
                <w:p w14:paraId="0C501B7C">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411C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076C4B63">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氯乙烯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5B8948D5">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6B3B0370">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0.43</w:t>
                  </w:r>
                </w:p>
              </w:tc>
              <w:tc>
                <w:tcPr>
                  <w:tcW w:w="1238" w:type="dxa"/>
                  <w:shd w:val="clear" w:color="auto" w:fill="auto"/>
                  <w:vAlign w:val="center"/>
                </w:tcPr>
                <w:p w14:paraId="419D9F80">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6D7C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33FEAFE2">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47AE9377">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0C5D9A85">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4</w:t>
                  </w:r>
                </w:p>
              </w:tc>
              <w:tc>
                <w:tcPr>
                  <w:tcW w:w="1238" w:type="dxa"/>
                  <w:shd w:val="clear" w:color="auto" w:fill="auto"/>
                  <w:vAlign w:val="center"/>
                </w:tcPr>
                <w:p w14:paraId="1785E0BC">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D48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04DE4F36">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氯苯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08604413">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788AD019">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270</w:t>
                  </w:r>
                </w:p>
              </w:tc>
              <w:tc>
                <w:tcPr>
                  <w:tcW w:w="1238" w:type="dxa"/>
                  <w:shd w:val="clear" w:color="auto" w:fill="auto"/>
                  <w:vAlign w:val="center"/>
                </w:tcPr>
                <w:p w14:paraId="2B63E182">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403B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73B312BC">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1,2-二氯苯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176F7E91">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2E3FC9C7">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560</w:t>
                  </w:r>
                </w:p>
              </w:tc>
              <w:tc>
                <w:tcPr>
                  <w:tcW w:w="1238" w:type="dxa"/>
                  <w:shd w:val="clear" w:color="auto" w:fill="auto"/>
                  <w:vAlign w:val="center"/>
                </w:tcPr>
                <w:p w14:paraId="0980A25D">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2196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08F5649E">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1,4-二氯苯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5C9980F4">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341AC0A0">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20</w:t>
                  </w:r>
                </w:p>
              </w:tc>
              <w:tc>
                <w:tcPr>
                  <w:tcW w:w="1238" w:type="dxa"/>
                  <w:shd w:val="clear" w:color="auto" w:fill="auto"/>
                  <w:vAlign w:val="center"/>
                </w:tcPr>
                <w:p w14:paraId="641A70FC">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3A07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6D2F43EE">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乙苯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210A23D3">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1EDCE4BD">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28</w:t>
                  </w:r>
                </w:p>
              </w:tc>
              <w:tc>
                <w:tcPr>
                  <w:tcW w:w="1238" w:type="dxa"/>
                  <w:shd w:val="clear" w:color="auto" w:fill="auto"/>
                  <w:vAlign w:val="center"/>
                </w:tcPr>
                <w:p w14:paraId="61D1BC63">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361C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77FF58B7">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苯乙烯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3C49453F">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6CC4F12F">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1290</w:t>
                  </w:r>
                </w:p>
              </w:tc>
              <w:tc>
                <w:tcPr>
                  <w:tcW w:w="1238" w:type="dxa"/>
                  <w:shd w:val="clear" w:color="auto" w:fill="auto"/>
                  <w:vAlign w:val="center"/>
                </w:tcPr>
                <w:p w14:paraId="3C90918D">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64CE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74754292">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甲苯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4844628F">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30BB3F71">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1200</w:t>
                  </w:r>
                </w:p>
              </w:tc>
              <w:tc>
                <w:tcPr>
                  <w:tcW w:w="1238" w:type="dxa"/>
                  <w:shd w:val="clear" w:color="auto" w:fill="auto"/>
                  <w:vAlign w:val="center"/>
                </w:tcPr>
                <w:p w14:paraId="3EB9A037">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6FC9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341E46D0">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间，对-二甲苯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7719B196">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389CF7E9">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570</w:t>
                  </w:r>
                </w:p>
              </w:tc>
              <w:tc>
                <w:tcPr>
                  <w:tcW w:w="1238" w:type="dxa"/>
                  <w:shd w:val="clear" w:color="auto" w:fill="auto"/>
                  <w:vAlign w:val="center"/>
                </w:tcPr>
                <w:p w14:paraId="1EEC0257">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41D2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053A934C">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邻二甲苯</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12133ED4">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7A504A0B">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640</w:t>
                  </w:r>
                </w:p>
              </w:tc>
              <w:tc>
                <w:tcPr>
                  <w:tcW w:w="1238" w:type="dxa"/>
                  <w:shd w:val="clear" w:color="auto" w:fill="auto"/>
                  <w:vAlign w:val="center"/>
                </w:tcPr>
                <w:p w14:paraId="7BFFDD84">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563D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1268FCEE">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硝基苯</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02194C29">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50C684BA">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76</w:t>
                  </w:r>
                </w:p>
              </w:tc>
              <w:tc>
                <w:tcPr>
                  <w:tcW w:w="1238" w:type="dxa"/>
                  <w:shd w:val="clear" w:color="auto" w:fill="auto"/>
                  <w:vAlign w:val="center"/>
                </w:tcPr>
                <w:p w14:paraId="5FE6B596">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1A10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0CB750DF">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苯胺</w:t>
                  </w:r>
                  <w:r>
                    <w:rPr>
                      <w:rFonts w:ascii="Times New Roman" w:hAnsi="Times New Roman" w:eastAsia="宋体" w:cs="Times New Roman"/>
                      <w:color w:val="000000" w:themeColor="text1"/>
                      <w:sz w:val="21"/>
                      <w:szCs w:val="21"/>
                      <w:u w:color="000000"/>
                      <w14:textFill>
                        <w14:solidFill>
                          <w14:schemeClr w14:val="tx1"/>
                        </w14:solidFill>
                      </w14:textFill>
                    </w:rPr>
                    <w:t>（μg/kg）</w:t>
                  </w:r>
                </w:p>
              </w:tc>
              <w:tc>
                <w:tcPr>
                  <w:tcW w:w="1320" w:type="dxa"/>
                  <w:shd w:val="clear" w:color="auto" w:fill="auto"/>
                  <w:vAlign w:val="center"/>
                </w:tcPr>
                <w:p w14:paraId="5BCF3166">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71DA55F6">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260</w:t>
                  </w:r>
                </w:p>
              </w:tc>
              <w:tc>
                <w:tcPr>
                  <w:tcW w:w="1238" w:type="dxa"/>
                  <w:shd w:val="clear" w:color="auto" w:fill="auto"/>
                  <w:vAlign w:val="center"/>
                </w:tcPr>
                <w:p w14:paraId="3D3AA3D1">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2613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70297795">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苯并[a]蒽</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75C0B72D">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18752D6A">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w:t>
                  </w:r>
                </w:p>
              </w:tc>
              <w:tc>
                <w:tcPr>
                  <w:tcW w:w="1238" w:type="dxa"/>
                  <w:shd w:val="clear" w:color="auto" w:fill="auto"/>
                  <w:vAlign w:val="center"/>
                </w:tcPr>
                <w:p w14:paraId="2FCCFBA3">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7821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2C793381">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苯并[a]芘</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2820B489">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709EE2BB">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w:t>
                  </w:r>
                </w:p>
              </w:tc>
              <w:tc>
                <w:tcPr>
                  <w:tcW w:w="1238" w:type="dxa"/>
                  <w:shd w:val="clear" w:color="auto" w:fill="auto"/>
                  <w:vAlign w:val="center"/>
                </w:tcPr>
                <w:p w14:paraId="6817E860">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20A2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26A4BE73">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苯并[b]荧蒽</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3CDD6F2B">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29A279E6">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w:t>
                  </w:r>
                </w:p>
              </w:tc>
              <w:tc>
                <w:tcPr>
                  <w:tcW w:w="1238" w:type="dxa"/>
                  <w:shd w:val="clear" w:color="auto" w:fill="auto"/>
                  <w:vAlign w:val="center"/>
                </w:tcPr>
                <w:p w14:paraId="18A63182">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5210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4755380E">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苯并[k]荧蒽</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2F1EECC8">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1DDD9CDC">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151</w:t>
                  </w:r>
                </w:p>
              </w:tc>
              <w:tc>
                <w:tcPr>
                  <w:tcW w:w="1238" w:type="dxa"/>
                  <w:shd w:val="clear" w:color="auto" w:fill="auto"/>
                  <w:vAlign w:val="center"/>
                </w:tcPr>
                <w:p w14:paraId="01A50D8F">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32BC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621B46E2">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萘</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19514EC8">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0C2BDA6E">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70</w:t>
                  </w:r>
                </w:p>
              </w:tc>
              <w:tc>
                <w:tcPr>
                  <w:tcW w:w="1238" w:type="dxa"/>
                  <w:shd w:val="clear" w:color="auto" w:fill="auto"/>
                  <w:vAlign w:val="center"/>
                </w:tcPr>
                <w:p w14:paraId="607CD6B0">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316B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70590B2A">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2-氯</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苯</w:t>
                  </w:r>
                  <w:r>
                    <w:rPr>
                      <w:rFonts w:ascii="Times New Roman" w:hAnsi="Times New Roman" w:eastAsia="宋体" w:cs="Times New Roman"/>
                      <w:color w:val="000000" w:themeColor="text1"/>
                      <w:kern w:val="0"/>
                      <w:sz w:val="21"/>
                      <w:szCs w:val="21"/>
                      <w:lang w:bidi="ar"/>
                      <w14:textFill>
                        <w14:solidFill>
                          <w14:schemeClr w14:val="tx1"/>
                        </w14:solidFill>
                      </w14:textFill>
                    </w:rPr>
                    <w:t>酚</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77213C0B">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3909E23F">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2256</w:t>
                  </w:r>
                </w:p>
              </w:tc>
              <w:tc>
                <w:tcPr>
                  <w:tcW w:w="1238" w:type="dxa"/>
                  <w:vAlign w:val="center"/>
                </w:tcPr>
                <w:p w14:paraId="28C27219">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6FF97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26584EE2">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䓛</w:t>
                  </w:r>
                  <w:r>
                    <w:rPr>
                      <w:rFonts w:hint="eastAsia" w:ascii="Times New Roman" w:hAnsi="Times New Roman" w:eastAsia="宋体" w:cs="Times New Roman"/>
                      <w:color w:val="000000" w:themeColor="text1"/>
                      <w:kern w:val="0"/>
                      <w:sz w:val="21"/>
                      <w:szCs w:val="21"/>
                      <w:lang w:bidi="ar"/>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hint="eastAsia" w:ascii="Times New Roman" w:hAnsi="Times New Roman" w:eastAsia="宋体" w:cs="Times New Roman"/>
                      <w:color w:val="000000" w:themeColor="text1"/>
                      <w:sz w:val="21"/>
                      <w:szCs w:val="21"/>
                      <w:u w:color="000000"/>
                      <w14:textFill>
                        <w14:solidFill>
                          <w14:schemeClr w14:val="tx1"/>
                        </w14:solidFill>
                      </w14:textFill>
                    </w:rPr>
                    <w:t>)</w:t>
                  </w:r>
                </w:p>
              </w:tc>
              <w:tc>
                <w:tcPr>
                  <w:tcW w:w="1320" w:type="dxa"/>
                  <w:shd w:val="clear" w:color="auto" w:fill="auto"/>
                  <w:vAlign w:val="center"/>
                </w:tcPr>
                <w:p w14:paraId="2822596E">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6724881D">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1293</w:t>
                  </w:r>
                </w:p>
              </w:tc>
              <w:tc>
                <w:tcPr>
                  <w:tcW w:w="1238" w:type="dxa"/>
                  <w:shd w:val="clear" w:color="auto" w:fill="auto"/>
                  <w:vAlign w:val="center"/>
                </w:tcPr>
                <w:p w14:paraId="5414A996">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367C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638667F4">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二苯并[a,h]蒽</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01E33826">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0EC1DE6E">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w:t>
                  </w:r>
                </w:p>
              </w:tc>
              <w:tc>
                <w:tcPr>
                  <w:tcW w:w="1238" w:type="dxa"/>
                  <w:shd w:val="clear" w:color="auto" w:fill="auto"/>
                  <w:vAlign w:val="center"/>
                </w:tcPr>
                <w:p w14:paraId="58C5CBE6">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43C4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shd w:val="clear" w:color="auto" w:fill="auto"/>
                  <w:vAlign w:val="center"/>
                </w:tcPr>
                <w:p w14:paraId="52AA0830">
                  <w:pPr>
                    <w:keepNext w:val="0"/>
                    <w:keepLines w:val="0"/>
                    <w:pageBreakBefore w:val="0"/>
                    <w:widowControl/>
                    <w:kinsoku/>
                    <w:wordWrap/>
                    <w:overflowPunct/>
                    <w:topLinePunct w:val="0"/>
                    <w:autoSpaceDE/>
                    <w:bidi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0"/>
                      <w:sz w:val="21"/>
                      <w:szCs w:val="21"/>
                      <w:lang w:bidi="ar"/>
                      <w14:textFill>
                        <w14:solidFill>
                          <w14:schemeClr w14:val="tx1"/>
                        </w14:solidFill>
                      </w14:textFill>
                    </w:rPr>
                    <w:t>茚并[1,2,3-cd]芘</w:t>
                  </w:r>
                  <w:r>
                    <w:rPr>
                      <w:rFonts w:ascii="Times New Roman" w:hAnsi="Times New Roman" w:eastAsia="宋体" w:cs="Times New Roman"/>
                      <w:color w:val="000000" w:themeColor="text1"/>
                      <w:sz w:val="21"/>
                      <w:szCs w:val="21"/>
                      <w14:textFill>
                        <w14:solidFill>
                          <w14:schemeClr w14:val="tx1"/>
                        </w14:solidFill>
                      </w14:textFill>
                    </w:rPr>
                    <w:t>（</w:t>
                  </w:r>
                  <w:r>
                    <w:rPr>
                      <w:rFonts w:ascii="Times New Roman" w:hAnsi="Times New Roman" w:eastAsia="宋体" w:cs="Times New Roman"/>
                      <w:color w:val="000000" w:themeColor="text1"/>
                      <w:sz w:val="21"/>
                      <w:szCs w:val="21"/>
                      <w:u w:color="000000"/>
                      <w14:textFill>
                        <w14:solidFill>
                          <w14:schemeClr w14:val="tx1"/>
                        </w14:solidFill>
                      </w14:textFill>
                    </w:rPr>
                    <w:t>mg/kg</w:t>
                  </w:r>
                  <w:r>
                    <w:rPr>
                      <w:rFonts w:ascii="Times New Roman" w:hAnsi="Times New Roman" w:eastAsia="宋体" w:cs="Times New Roman"/>
                      <w:color w:val="000000" w:themeColor="text1"/>
                      <w:sz w:val="21"/>
                      <w:szCs w:val="21"/>
                      <w14:textFill>
                        <w14:solidFill>
                          <w14:schemeClr w14:val="tx1"/>
                        </w14:solidFill>
                      </w14:textFill>
                    </w:rPr>
                    <w:t>）</w:t>
                  </w:r>
                </w:p>
              </w:tc>
              <w:tc>
                <w:tcPr>
                  <w:tcW w:w="1320" w:type="dxa"/>
                  <w:shd w:val="clear" w:color="auto" w:fill="auto"/>
                  <w:vAlign w:val="center"/>
                </w:tcPr>
                <w:p w14:paraId="41678B12">
                  <w:pPr>
                    <w:keepNext w:val="0"/>
                    <w:keepLines w:val="0"/>
                    <w:pageBreakBefore w:val="0"/>
                    <w:widowControl w:val="0"/>
                    <w:kinsoku/>
                    <w:wordWrap/>
                    <w:overflowPunct/>
                    <w:topLinePunct w:val="0"/>
                    <w:autoSpaceDE/>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u w:color="000000"/>
                      <w:lang w:val="en-US" w:eastAsia="zh-CN" w:bidi="ar-SA"/>
                      <w14:textFill>
                        <w14:solidFill>
                          <w14:schemeClr w14:val="tx1"/>
                        </w14:solidFill>
                      </w14:textFill>
                    </w:rPr>
                  </w:pPr>
                  <w:r>
                    <w:rPr>
                      <w:rFonts w:hint="eastAsia" w:cs="Times New Roman"/>
                      <w:color w:val="000000" w:themeColor="text1"/>
                      <w:kern w:val="2"/>
                      <w:sz w:val="21"/>
                      <w:szCs w:val="21"/>
                      <w:u w:color="000000"/>
                      <w:lang w:val="en-US" w:eastAsia="zh-CN" w:bidi="ar-SA"/>
                      <w14:textFill>
                        <w14:solidFill>
                          <w14:schemeClr w14:val="tx1"/>
                        </w14:solidFill>
                      </w14:textFill>
                    </w:rPr>
                    <w:t>未检出</w:t>
                  </w:r>
                </w:p>
              </w:tc>
              <w:tc>
                <w:tcPr>
                  <w:tcW w:w="1709" w:type="dxa"/>
                  <w:shd w:val="clear" w:color="auto" w:fill="auto"/>
                  <w:vAlign w:val="center"/>
                </w:tcPr>
                <w:p w14:paraId="1D04C51A">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w:t>
                  </w:r>
                </w:p>
              </w:tc>
              <w:tc>
                <w:tcPr>
                  <w:tcW w:w="1238" w:type="dxa"/>
                  <w:shd w:val="clear" w:color="auto" w:fill="auto"/>
                  <w:vAlign w:val="center"/>
                </w:tcPr>
                <w:p w14:paraId="0CB0B96B">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0D58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18" w:type="dxa"/>
                  <w:vAlign w:val="center"/>
                </w:tcPr>
                <w:p w14:paraId="298410A7">
                  <w:pPr>
                    <w:keepNext w:val="0"/>
                    <w:keepLines w:val="0"/>
                    <w:pageBreakBefore w:val="0"/>
                    <w:widowControl/>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石油烃（C</w:t>
                  </w:r>
                  <w:r>
                    <w:rPr>
                      <w:rFonts w:hint="eastAsia" w:cs="Times New Roman"/>
                      <w:color w:val="000000" w:themeColor="text1"/>
                      <w:sz w:val="21"/>
                      <w:szCs w:val="21"/>
                      <w:vertAlign w:val="subscript"/>
                      <w:lang w:val="en-US" w:eastAsia="zh-CN"/>
                      <w14:textFill>
                        <w14:solidFill>
                          <w14:schemeClr w14:val="tx1"/>
                        </w14:solidFill>
                      </w14:textFill>
                    </w:rPr>
                    <w:t>10</w:t>
                  </w:r>
                  <w:r>
                    <w:rPr>
                      <w:rFonts w:hint="eastAsia" w:cs="Times New Roman"/>
                      <w:color w:val="000000" w:themeColor="text1"/>
                      <w:sz w:val="21"/>
                      <w:szCs w:val="21"/>
                      <w:lang w:val="en-US" w:eastAsia="zh-CN"/>
                      <w14:textFill>
                        <w14:solidFill>
                          <w14:schemeClr w14:val="tx1"/>
                        </w14:solidFill>
                      </w14:textFill>
                    </w:rPr>
                    <w:t>-C</w:t>
                  </w:r>
                  <w:r>
                    <w:rPr>
                      <w:rFonts w:hint="eastAsia" w:cs="Times New Roman"/>
                      <w:color w:val="000000" w:themeColor="text1"/>
                      <w:sz w:val="21"/>
                      <w:szCs w:val="21"/>
                      <w:vertAlign w:val="subscript"/>
                      <w:lang w:val="en-US" w:eastAsia="zh-CN"/>
                      <w14:textFill>
                        <w14:solidFill>
                          <w14:schemeClr w14:val="tx1"/>
                        </w14:solidFill>
                      </w14:textFill>
                    </w:rPr>
                    <w:t>40</w:t>
                  </w:r>
                  <w:r>
                    <w:rPr>
                      <w:rFonts w:hint="eastAsia" w:cs="Times New Roman"/>
                      <w:color w:val="000000" w:themeColor="text1"/>
                      <w:sz w:val="21"/>
                      <w:szCs w:val="21"/>
                      <w:lang w:val="en-US" w:eastAsia="zh-CN"/>
                      <w14:textFill>
                        <w14:solidFill>
                          <w14:schemeClr w14:val="tx1"/>
                        </w14:solidFill>
                      </w14:textFill>
                    </w:rPr>
                    <w:t>）</w:t>
                  </w:r>
                </w:p>
              </w:tc>
              <w:tc>
                <w:tcPr>
                  <w:tcW w:w="1320" w:type="dxa"/>
                  <w:vAlign w:val="center"/>
                </w:tcPr>
                <w:p w14:paraId="4BCD36DA">
                  <w:pPr>
                    <w:keepNext w:val="0"/>
                    <w:keepLines w:val="0"/>
                    <w:pageBreakBefore w:val="0"/>
                    <w:kinsoku/>
                    <w:wordWrap/>
                    <w:overflowPunct/>
                    <w:topLinePunct w:val="0"/>
                    <w:autoSpaceDE/>
                    <w:bidi w:val="0"/>
                    <w:spacing w:line="360" w:lineRule="exact"/>
                    <w:ind w:firstLine="0" w:firstLineChars="0"/>
                    <w:jc w:val="center"/>
                    <w:rPr>
                      <w:rFonts w:hint="default" w:ascii="Times New Roman" w:hAnsi="Times New Roman" w:eastAsia="宋体" w:cs="Times New Roman"/>
                      <w:color w:val="000000" w:themeColor="text1"/>
                      <w:sz w:val="21"/>
                      <w:szCs w:val="21"/>
                      <w:u w:color="000000"/>
                      <w:lang w:val="en-US" w:eastAsia="zh-CN"/>
                      <w14:textFill>
                        <w14:solidFill>
                          <w14:schemeClr w14:val="tx1"/>
                        </w14:solidFill>
                      </w14:textFill>
                    </w:rPr>
                  </w:pPr>
                  <w:r>
                    <w:rPr>
                      <w:rFonts w:hint="eastAsia" w:cs="Times New Roman"/>
                      <w:color w:val="000000" w:themeColor="text1"/>
                      <w:sz w:val="21"/>
                      <w:szCs w:val="21"/>
                      <w:u w:color="000000"/>
                      <w:lang w:val="en-US" w:eastAsia="zh-CN"/>
                      <w14:textFill>
                        <w14:solidFill>
                          <w14:schemeClr w14:val="tx1"/>
                        </w14:solidFill>
                      </w14:textFill>
                    </w:rPr>
                    <w:t>18</w:t>
                  </w:r>
                </w:p>
              </w:tc>
              <w:tc>
                <w:tcPr>
                  <w:tcW w:w="1709" w:type="dxa"/>
                  <w:vAlign w:val="center"/>
                </w:tcPr>
                <w:p w14:paraId="39B0E9C1">
                  <w:pPr>
                    <w:keepNext w:val="0"/>
                    <w:keepLines w:val="0"/>
                    <w:pageBreakBefore w:val="0"/>
                    <w:kinsoku/>
                    <w:wordWrap/>
                    <w:overflowPunct/>
                    <w:topLinePunct w:val="0"/>
                    <w:autoSpaceDE/>
                    <w:autoSpaceDN w:val="0"/>
                    <w:bidi w:val="0"/>
                    <w:adjustRightInd w:val="0"/>
                    <w:snapToGrid w:val="0"/>
                    <w:spacing w:line="360" w:lineRule="exact"/>
                    <w:ind w:firstLine="0" w:firstLineChars="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4500</w:t>
                  </w:r>
                </w:p>
              </w:tc>
              <w:tc>
                <w:tcPr>
                  <w:tcW w:w="1238" w:type="dxa"/>
                  <w:vAlign w:val="center"/>
                </w:tcPr>
                <w:p w14:paraId="7AE2F965">
                  <w:pPr>
                    <w:keepNext w:val="0"/>
                    <w:keepLines w:val="0"/>
                    <w:pageBreakBefore w:val="0"/>
                    <w:kinsoku/>
                    <w:wordWrap/>
                    <w:overflowPunct/>
                    <w:topLinePunct w:val="0"/>
                    <w:autoSpaceDE/>
                    <w:bidi w:val="0"/>
                    <w:adjustRightInd w:val="0"/>
                    <w:snapToGrid w:val="0"/>
                    <w:spacing w:line="360" w:lineRule="exact"/>
                    <w:ind w:firstLine="0" w:firstLineChars="0"/>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达标</w:t>
                  </w:r>
                </w:p>
              </w:tc>
            </w:tr>
            <w:tr w14:paraId="4BF5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85" w:type="dxa"/>
                  <w:gridSpan w:val="4"/>
                  <w:vAlign w:val="center"/>
                </w:tcPr>
                <w:p w14:paraId="4C1689C1">
                  <w:pPr>
                    <w:keepNext w:val="0"/>
                    <w:keepLines w:val="0"/>
                    <w:pageBreakBefore w:val="0"/>
                    <w:kinsoku/>
                    <w:wordWrap/>
                    <w:overflowPunct/>
                    <w:topLinePunct w:val="0"/>
                    <w:autoSpaceDE/>
                    <w:autoSpaceDN w:val="0"/>
                    <w:bidi w:val="0"/>
                    <w:adjustRightInd w:val="0"/>
                    <w:snapToGrid w:val="0"/>
                    <w:spacing w:line="360" w:lineRule="exact"/>
                    <w:ind w:firstLine="0" w:firstLineChars="0"/>
                    <w:jc w:val="both"/>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备注：带L数值为低于检出限</w:t>
                  </w:r>
                </w:p>
              </w:tc>
            </w:tr>
          </w:tbl>
          <w:p w14:paraId="42E0448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FF0000"/>
                <w:lang w:val="en-US" w:eastAsia="zh-CN"/>
              </w:rPr>
            </w:pPr>
            <w:r>
              <w:rPr>
                <w:rFonts w:ascii="Times New Roman" w:hAnsi="Times New Roman" w:eastAsia="宋体" w:cs="Times New Roman"/>
                <w:color w:val="000000" w:themeColor="text1"/>
                <w:sz w:val="24"/>
                <w14:textFill>
                  <w14:solidFill>
                    <w14:schemeClr w14:val="tx1"/>
                  </w14:solidFill>
                </w14:textFill>
              </w:rPr>
              <w:t>由上</w:t>
            </w:r>
            <w:r>
              <w:rPr>
                <w:rFonts w:hint="eastAsia" w:ascii="Times New Roman" w:hAnsi="Times New Roman" w:eastAsia="宋体" w:cs="Times New Roman"/>
                <w:color w:val="000000" w:themeColor="text1"/>
                <w:sz w:val="24"/>
                <w:lang w:val="en-US" w:eastAsia="zh-CN"/>
                <w14:textFill>
                  <w14:solidFill>
                    <w14:schemeClr w14:val="tx1"/>
                  </w14:solidFill>
                </w14:textFill>
              </w:rPr>
              <w:t>表</w:t>
            </w:r>
            <w:r>
              <w:rPr>
                <w:rFonts w:ascii="Times New Roman" w:hAnsi="Times New Roman" w:eastAsia="宋体" w:cs="Times New Roman"/>
                <w:color w:val="000000" w:themeColor="text1"/>
                <w:sz w:val="24"/>
                <w14:textFill>
                  <w14:solidFill>
                    <w14:schemeClr w14:val="tx1"/>
                  </w14:solidFill>
                </w14:textFill>
              </w:rPr>
              <w:t>监测结果可知，项目</w:t>
            </w:r>
            <w:r>
              <w:rPr>
                <w:rFonts w:hint="eastAsia" w:eastAsia="宋体" w:cs="Times New Roman"/>
                <w:color w:val="000000" w:themeColor="text1"/>
                <w:sz w:val="24"/>
                <w:lang w:val="en-US" w:eastAsia="zh-CN"/>
                <w14:textFill>
                  <w14:solidFill>
                    <w14:schemeClr w14:val="tx1"/>
                  </w14:solidFill>
                </w14:textFill>
              </w:rPr>
              <w:t>区域</w:t>
            </w:r>
            <w:r>
              <w:rPr>
                <w:rFonts w:ascii="Times New Roman" w:hAnsi="Times New Roman" w:eastAsia="宋体" w:cs="Times New Roman"/>
                <w:color w:val="000000" w:themeColor="text1"/>
                <w:sz w:val="24"/>
                <w14:textFill>
                  <w14:solidFill>
                    <w14:schemeClr w14:val="tx1"/>
                  </w14:solidFill>
                </w14:textFill>
              </w:rPr>
              <w:t>内土壤</w:t>
            </w:r>
            <w:r>
              <w:rPr>
                <w:rFonts w:hint="eastAsia" w:ascii="Times New Roman" w:hAnsi="Times New Roman" w:eastAsia="宋体" w:cs="Times New Roman"/>
                <w:color w:val="000000" w:themeColor="text1"/>
                <w:sz w:val="24"/>
                <w14:textFill>
                  <w14:solidFill>
                    <w14:schemeClr w14:val="tx1"/>
                  </w14:solidFill>
                </w14:textFill>
              </w:rPr>
              <w:t>监测点</w:t>
            </w:r>
            <w:r>
              <w:rPr>
                <w:rFonts w:ascii="Times New Roman" w:hAnsi="Times New Roman" w:eastAsia="宋体" w:cs="Times New Roman"/>
                <w:color w:val="000000" w:themeColor="text1"/>
                <w:sz w:val="24"/>
                <w14:textFill>
                  <w14:solidFill>
                    <w14:schemeClr w14:val="tx1"/>
                  </w14:solidFill>
                </w14:textFill>
              </w:rPr>
              <w:t>各监测因子均</w:t>
            </w:r>
            <w:r>
              <w:rPr>
                <w:rFonts w:hint="eastAsia" w:ascii="Times New Roman" w:hAnsi="Times New Roman" w:eastAsia="宋体" w:cs="Times New Roman"/>
                <w:color w:val="000000" w:themeColor="text1"/>
                <w:sz w:val="24"/>
                <w:lang w:val="en-US" w:eastAsia="zh-CN"/>
                <w14:textFill>
                  <w14:solidFill>
                    <w14:schemeClr w14:val="tx1"/>
                  </w14:solidFill>
                </w14:textFill>
              </w:rPr>
              <w:t>小于</w:t>
            </w:r>
            <w:r>
              <w:rPr>
                <w:rFonts w:ascii="Times New Roman" w:hAnsi="Times New Roman" w:eastAsia="宋体" w:cs="Times New Roman"/>
                <w:color w:val="000000" w:themeColor="text1"/>
                <w:sz w:val="24"/>
                <w14:textFill>
                  <w14:solidFill>
                    <w14:schemeClr w14:val="tx1"/>
                  </w14:solidFill>
                </w14:textFill>
              </w:rPr>
              <w:t>《土壤环境质量 建设土壤污染风险管控标准（试行）》（GB36600-2018）第二类用地</w:t>
            </w:r>
            <w:r>
              <w:rPr>
                <w:rFonts w:hint="eastAsia" w:ascii="Times New Roman" w:hAnsi="Times New Roman" w:eastAsia="宋体" w:cs="Times New Roman"/>
                <w:color w:val="000000" w:themeColor="text1"/>
                <w:sz w:val="24"/>
                <w:lang w:val="en-US" w:eastAsia="zh-CN"/>
                <w14:textFill>
                  <w14:solidFill>
                    <w14:schemeClr w14:val="tx1"/>
                  </w14:solidFill>
                </w14:textFill>
              </w:rPr>
              <w:t>筛选值</w:t>
            </w:r>
            <w:r>
              <w:rPr>
                <w:rFonts w:hint="eastAsia" w:ascii="Times New Roman" w:hAnsi="Times New Roman" w:eastAsia="宋体" w:cs="Times New Roman"/>
                <w:color w:val="000000" w:themeColor="text1"/>
                <w:sz w:val="24"/>
                <w14:textFill>
                  <w14:solidFill>
                    <w14:schemeClr w14:val="tx1"/>
                  </w14:solidFill>
                </w14:textFill>
              </w:rPr>
              <w:t>，且</w:t>
            </w:r>
            <w:r>
              <w:rPr>
                <w:rFonts w:ascii="Times New Roman" w:hAnsi="Times New Roman" w:eastAsia="宋体" w:cs="Times New Roman"/>
                <w:color w:val="000000" w:themeColor="text1"/>
                <w:sz w:val="24"/>
                <w14:textFill>
                  <w14:solidFill>
                    <w14:schemeClr w14:val="tx1"/>
                  </w14:solidFill>
                </w14:textFill>
              </w:rPr>
              <w:t>不存在土壤酸化、碱化、盐化</w:t>
            </w:r>
            <w:r>
              <w:rPr>
                <w:rFonts w:hint="eastAsia" w:ascii="Times New Roman" w:hAnsi="Times New Roman" w:eastAsia="宋体" w:cs="Times New Roman"/>
                <w:color w:val="000000" w:themeColor="text1"/>
                <w:sz w:val="24"/>
                <w14:textFill>
                  <w14:solidFill>
                    <w14:schemeClr w14:val="tx1"/>
                  </w14:solidFill>
                </w14:textFill>
              </w:rPr>
              <w:t>等问题，</w:t>
            </w:r>
            <w:r>
              <w:rPr>
                <w:rFonts w:ascii="Times New Roman" w:hAnsi="Times New Roman" w:eastAsia="宋体" w:cs="Times New Roman"/>
                <w:color w:val="000000" w:themeColor="text1"/>
                <w:sz w:val="24"/>
                <w14:textFill>
                  <w14:solidFill>
                    <w14:schemeClr w14:val="tx1"/>
                  </w14:solidFill>
                </w14:textFill>
              </w:rPr>
              <w:t>土壤环境质量现状较好。</w:t>
            </w:r>
          </w:p>
        </w:tc>
      </w:tr>
      <w:tr w14:paraId="1FCE4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33" w:hRule="atLeast"/>
        </w:trPr>
        <w:tc>
          <w:tcPr>
            <w:tcW w:w="1011" w:type="dxa"/>
            <w:noWrap w:val="0"/>
            <w:vAlign w:val="center"/>
          </w:tcPr>
          <w:p w14:paraId="66FEB462">
            <w:pPr>
              <w:ind w:left="0" w:leftChars="0" w:firstLine="0" w:firstLineChars="0"/>
              <w:rPr>
                <w:rFonts w:hint="eastAsia"/>
                <w:lang w:eastAsia="zh-CN"/>
              </w:rPr>
            </w:pPr>
            <w:r>
              <w:rPr>
                <w:rFonts w:hint="eastAsia"/>
                <w:lang w:eastAsia="zh-CN"/>
              </w:rPr>
              <w:t>环境保护目标</w:t>
            </w:r>
          </w:p>
        </w:tc>
        <w:tc>
          <w:tcPr>
            <w:tcW w:w="7511" w:type="dxa"/>
            <w:noWrap w:val="0"/>
            <w:vAlign w:val="center"/>
          </w:tcPr>
          <w:p w14:paraId="3EFF15C2">
            <w:pPr>
              <w:pStyle w:val="10"/>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根据《建设项目环境影响报告表编制技术指南（污染影响类）（试行）》，环境保护目标如下：</w:t>
            </w:r>
          </w:p>
          <w:p w14:paraId="18C09F03">
            <w:pPr>
              <w:pStyle w:val="10"/>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（1）大气环境：明确厂界外500m范围内的自然保护区、风景名胜区、居住区、文化区、农村地区中人群较集中的区域。</w:t>
            </w:r>
          </w:p>
          <w:p w14:paraId="2E052B60">
            <w:pPr>
              <w:pStyle w:val="10"/>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（2）声环境：明确厂界外50m范围内的保护目标。</w:t>
            </w:r>
          </w:p>
          <w:p w14:paraId="188F1035">
            <w:pPr>
              <w:pStyle w:val="10"/>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（3）地下水环境：明确厂界外500m范围内的地下水集中式饮用水水源和热水、矿泉水、温泉等特殊地下水资源。本项目500m范围内无地下水集中式饮用水水源和热水、矿泉水、温泉等特殊地下水资源。</w:t>
            </w:r>
          </w:p>
          <w:p w14:paraId="555A20E9">
            <w:pPr>
              <w:pStyle w:val="10"/>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auto"/>
              </w:rPr>
              <w:t>（4）生态环境：经现场踏勘，评价区域内未发现国家及省市级重点保护的濒危、稀有动植物，无自然保护区和风景名胜区。项目附近无古树名树，无特殊保护生态敏感目标分布。</w:t>
            </w:r>
          </w:p>
          <w:p w14:paraId="1ABB91E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主要环境保护目标见表3-</w:t>
            </w:r>
            <w:r>
              <w:rPr>
                <w:rFonts w:hint="eastAsia" w:cs="Times New Roman"/>
                <w:color w:val="auto"/>
                <w:lang w:val="en-US" w:eastAsia="zh-CN"/>
              </w:rPr>
              <w:t>3</w:t>
            </w:r>
            <w:r>
              <w:rPr>
                <w:rFonts w:hint="default" w:ascii="Times New Roman" w:hAnsi="Times New Roman" w:eastAsia="宋体" w:cs="Times New Roman"/>
                <w:color w:val="auto"/>
              </w:rPr>
              <w:t>。</w:t>
            </w:r>
          </w:p>
          <w:p w14:paraId="69A41161">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表3-</w:t>
            </w:r>
            <w:r>
              <w:rPr>
                <w:rFonts w:hint="eastAsia" w:cs="Times New Roman"/>
                <w:color w:val="auto"/>
                <w:sz w:val="21"/>
                <w:szCs w:val="21"/>
                <w:lang w:val="en-US" w:eastAsia="zh-CN"/>
              </w:rPr>
              <w:t xml:space="preserve">3  </w:t>
            </w:r>
            <w:r>
              <w:rPr>
                <w:rFonts w:hint="default" w:ascii="Times New Roman" w:hAnsi="Times New Roman" w:eastAsia="宋体" w:cs="Times New Roman"/>
                <w:color w:val="auto"/>
                <w:sz w:val="21"/>
                <w:szCs w:val="21"/>
                <w:lang w:val="en-US" w:eastAsia="zh-CN"/>
              </w:rPr>
              <w:t>主要环境保护目标一览表</w:t>
            </w:r>
          </w:p>
          <w:tbl>
            <w:tblPr>
              <w:tblStyle w:val="15"/>
              <w:tblW w:w="7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733"/>
              <w:gridCol w:w="1204"/>
              <w:gridCol w:w="1330"/>
              <w:gridCol w:w="901"/>
              <w:gridCol w:w="1672"/>
            </w:tblGrid>
            <w:tr w14:paraId="47E6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1429" w:type="dxa"/>
                  <w:vMerge w:val="restart"/>
                  <w:noWrap w:val="0"/>
                  <w:vAlign w:val="center"/>
                </w:tcPr>
                <w:p w14:paraId="6938C69C">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类别</w:t>
                  </w:r>
                </w:p>
              </w:tc>
              <w:tc>
                <w:tcPr>
                  <w:tcW w:w="733" w:type="dxa"/>
                  <w:vMerge w:val="restart"/>
                  <w:noWrap w:val="0"/>
                  <w:vAlign w:val="center"/>
                </w:tcPr>
                <w:p w14:paraId="07D14F7F">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保护对象</w:t>
                  </w:r>
                </w:p>
              </w:tc>
              <w:tc>
                <w:tcPr>
                  <w:tcW w:w="2534" w:type="dxa"/>
                  <w:gridSpan w:val="2"/>
                  <w:noWrap w:val="0"/>
                  <w:vAlign w:val="center"/>
                </w:tcPr>
                <w:p w14:paraId="1033641F">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坐标</w:t>
                  </w:r>
                </w:p>
              </w:tc>
              <w:tc>
                <w:tcPr>
                  <w:tcW w:w="901" w:type="dxa"/>
                  <w:vMerge w:val="restart"/>
                  <w:noWrap w:val="0"/>
                  <w:vAlign w:val="center"/>
                </w:tcPr>
                <w:p w14:paraId="61859C01">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与项目的距离</w:t>
                  </w:r>
                </w:p>
              </w:tc>
              <w:tc>
                <w:tcPr>
                  <w:tcW w:w="1672" w:type="dxa"/>
                  <w:vMerge w:val="restart"/>
                  <w:noWrap w:val="0"/>
                  <w:vAlign w:val="center"/>
                </w:tcPr>
                <w:p w14:paraId="59CC6897">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环境功能类别</w:t>
                  </w:r>
                </w:p>
              </w:tc>
            </w:tr>
            <w:tr w14:paraId="73EE7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1429" w:type="dxa"/>
                  <w:vMerge w:val="continue"/>
                  <w:noWrap w:val="0"/>
                  <w:vAlign w:val="center"/>
                </w:tcPr>
                <w:p w14:paraId="2BDAD37C">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p>
              </w:tc>
              <w:tc>
                <w:tcPr>
                  <w:tcW w:w="733" w:type="dxa"/>
                  <w:vMerge w:val="continue"/>
                  <w:noWrap w:val="0"/>
                  <w:vAlign w:val="center"/>
                </w:tcPr>
                <w:p w14:paraId="365A50CC">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p>
              </w:tc>
              <w:tc>
                <w:tcPr>
                  <w:tcW w:w="1204" w:type="dxa"/>
                  <w:noWrap w:val="0"/>
                  <w:vAlign w:val="center"/>
                </w:tcPr>
                <w:p w14:paraId="686420FB">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东经（E）</w:t>
                  </w:r>
                </w:p>
              </w:tc>
              <w:tc>
                <w:tcPr>
                  <w:tcW w:w="1330" w:type="dxa"/>
                  <w:noWrap w:val="0"/>
                  <w:vAlign w:val="center"/>
                </w:tcPr>
                <w:p w14:paraId="1F8C66DA">
                  <w:pPr>
                    <w:pStyle w:val="2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北纬（N）</w:t>
                  </w:r>
                </w:p>
              </w:tc>
              <w:tc>
                <w:tcPr>
                  <w:tcW w:w="901" w:type="dxa"/>
                  <w:vMerge w:val="continue"/>
                  <w:noWrap w:val="0"/>
                  <w:vAlign w:val="center"/>
                </w:tcPr>
                <w:p w14:paraId="1EB2C62E">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p>
              </w:tc>
              <w:tc>
                <w:tcPr>
                  <w:tcW w:w="1672" w:type="dxa"/>
                  <w:vMerge w:val="continue"/>
                  <w:noWrap w:val="0"/>
                  <w:vAlign w:val="center"/>
                </w:tcPr>
                <w:p w14:paraId="2E26BFCC">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color w:val="auto"/>
                      <w:sz w:val="21"/>
                      <w:szCs w:val="21"/>
                      <w:lang w:val="en-US" w:eastAsia="zh-CN"/>
                    </w:rPr>
                  </w:pPr>
                </w:p>
              </w:tc>
            </w:tr>
            <w:tr w14:paraId="7A23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1429" w:type="dxa"/>
                  <w:noWrap w:val="0"/>
                  <w:vAlign w:val="center"/>
                </w:tcPr>
                <w:p w14:paraId="15D2663E">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环境空气</w:t>
                  </w:r>
                </w:p>
              </w:tc>
              <w:tc>
                <w:tcPr>
                  <w:tcW w:w="5840" w:type="dxa"/>
                  <w:gridSpan w:val="5"/>
                  <w:noWrap w:val="0"/>
                  <w:vAlign w:val="center"/>
                </w:tcPr>
                <w:p w14:paraId="48995529">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项目厂界外50</w:t>
                  </w:r>
                  <w:r>
                    <w:rPr>
                      <w:rFonts w:hint="eastAsia" w:ascii="Times New Roman" w:hAnsi="Times New Roman" w:eastAsia="宋体" w:cs="Times New Roman"/>
                      <w:b w:val="0"/>
                      <w:bCs/>
                      <w:color w:val="auto"/>
                      <w:sz w:val="21"/>
                      <w:szCs w:val="21"/>
                      <w:lang w:val="en-US" w:eastAsia="zh-CN"/>
                    </w:rPr>
                    <w:t>0</w:t>
                  </w:r>
                  <w:r>
                    <w:rPr>
                      <w:rFonts w:hint="default" w:ascii="Times New Roman" w:hAnsi="Times New Roman" w:eastAsia="宋体" w:cs="Times New Roman"/>
                      <w:b w:val="0"/>
                      <w:bCs/>
                      <w:color w:val="auto"/>
                      <w:sz w:val="21"/>
                      <w:szCs w:val="21"/>
                      <w:lang w:val="en-US" w:eastAsia="zh-CN"/>
                    </w:rPr>
                    <w:t>m范围内无</w:t>
                  </w:r>
                  <w:r>
                    <w:rPr>
                      <w:rFonts w:hint="eastAsia" w:ascii="Times New Roman" w:hAnsi="Times New Roman" w:eastAsia="宋体" w:cs="Times New Roman"/>
                      <w:b w:val="0"/>
                      <w:bCs/>
                      <w:color w:val="auto"/>
                      <w:sz w:val="21"/>
                      <w:szCs w:val="21"/>
                      <w:lang w:val="en-US" w:eastAsia="zh-CN"/>
                    </w:rPr>
                    <w:t>大气</w:t>
                  </w:r>
                  <w:r>
                    <w:rPr>
                      <w:rFonts w:hint="default" w:ascii="Times New Roman" w:hAnsi="Times New Roman" w:eastAsia="宋体" w:cs="Times New Roman"/>
                      <w:b w:val="0"/>
                      <w:bCs/>
                      <w:color w:val="auto"/>
                      <w:sz w:val="21"/>
                      <w:szCs w:val="21"/>
                      <w:lang w:val="en-US" w:eastAsia="zh-CN"/>
                    </w:rPr>
                    <w:t>环境保护目标</w:t>
                  </w:r>
                  <w:r>
                    <w:rPr>
                      <w:rFonts w:hint="eastAsia" w:ascii="Times New Roman" w:hAnsi="Times New Roman" w:eastAsia="宋体" w:cs="Times New Roman"/>
                      <w:b w:val="0"/>
                      <w:bCs/>
                      <w:color w:val="auto"/>
                      <w:sz w:val="21"/>
                      <w:szCs w:val="21"/>
                      <w:lang w:val="en-US" w:eastAsia="zh-CN"/>
                    </w:rPr>
                    <w:t>。</w:t>
                  </w:r>
                </w:p>
              </w:tc>
            </w:tr>
            <w:tr w14:paraId="3B01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1429" w:type="dxa"/>
                  <w:noWrap w:val="0"/>
                  <w:vAlign w:val="center"/>
                </w:tcPr>
                <w:p w14:paraId="1B8926DA">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地表水</w:t>
                  </w:r>
                </w:p>
              </w:tc>
              <w:tc>
                <w:tcPr>
                  <w:tcW w:w="5840" w:type="dxa"/>
                  <w:gridSpan w:val="5"/>
                  <w:noWrap w:val="0"/>
                  <w:vAlign w:val="center"/>
                </w:tcPr>
                <w:p w14:paraId="5616A605">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w:t>
                  </w:r>
                  <w:r>
                    <w:rPr>
                      <w:rFonts w:hint="eastAsia" w:ascii="Times New Roman" w:hAnsi="Times New Roman" w:eastAsia="宋体" w:cs="Times New Roman"/>
                      <w:b w:val="0"/>
                      <w:bCs/>
                      <w:color w:val="auto"/>
                      <w:sz w:val="21"/>
                      <w:szCs w:val="21"/>
                      <w:lang w:val="en-US" w:eastAsia="zh-CN"/>
                    </w:rPr>
                    <w:t>最近地表水为</w:t>
                  </w:r>
                  <w:r>
                    <w:rPr>
                      <w:rFonts w:hint="eastAsia" w:cs="Times New Roman"/>
                      <w:b w:val="0"/>
                      <w:bCs/>
                      <w:color w:val="auto"/>
                      <w:sz w:val="21"/>
                      <w:szCs w:val="21"/>
                      <w:lang w:val="en-US" w:eastAsia="zh-CN"/>
                    </w:rPr>
                    <w:t>西侧约530m处</w:t>
                  </w:r>
                  <w:r>
                    <w:rPr>
                      <w:rFonts w:hint="eastAsia" w:ascii="Times New Roman" w:hAnsi="Times New Roman" w:eastAsia="宋体" w:cs="Times New Roman"/>
                      <w:b w:val="0"/>
                      <w:bCs/>
                      <w:color w:val="auto"/>
                      <w:sz w:val="21"/>
                      <w:szCs w:val="21"/>
                      <w:lang w:val="en-US" w:eastAsia="zh-CN"/>
                    </w:rPr>
                    <w:t>初奈河（已干涸）</w:t>
                  </w:r>
                  <w:r>
                    <w:rPr>
                      <w:rFonts w:hint="eastAsia" w:cs="Times New Roman"/>
                      <w:b w:val="0"/>
                      <w:bCs/>
                      <w:color w:val="auto"/>
                      <w:sz w:val="21"/>
                      <w:szCs w:val="21"/>
                      <w:lang w:val="en-US" w:eastAsia="zh-CN"/>
                    </w:rPr>
                    <w:t>，保护级别为《地表水环境质量标准》（GB3838-2002）Ⅲ类水标准</w:t>
                  </w:r>
                  <w:r>
                    <w:rPr>
                      <w:rFonts w:hint="eastAsia" w:ascii="Times New Roman" w:hAnsi="Times New Roman" w:eastAsia="宋体" w:cs="Times New Roman"/>
                      <w:b w:val="0"/>
                      <w:bCs/>
                      <w:color w:val="auto"/>
                      <w:sz w:val="21"/>
                      <w:szCs w:val="21"/>
                      <w:lang w:val="en-US" w:eastAsia="zh-CN"/>
                    </w:rPr>
                    <w:t>。</w:t>
                  </w:r>
                </w:p>
              </w:tc>
            </w:tr>
            <w:tr w14:paraId="0EDA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blHeader/>
                <w:jc w:val="center"/>
              </w:trPr>
              <w:tc>
                <w:tcPr>
                  <w:tcW w:w="1429" w:type="dxa"/>
                  <w:noWrap w:val="0"/>
                  <w:vAlign w:val="center"/>
                </w:tcPr>
                <w:p w14:paraId="412E5690">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cs="Times New Roman"/>
                      <w:b w:val="0"/>
                      <w:bCs/>
                      <w:color w:val="FF0000"/>
                      <w:sz w:val="21"/>
                      <w:szCs w:val="21"/>
                      <w:lang w:val="en-US" w:eastAsia="zh-CN"/>
                    </w:rPr>
                  </w:pPr>
                  <w:r>
                    <w:rPr>
                      <w:rFonts w:hint="default" w:ascii="Times New Roman" w:hAnsi="Times New Roman" w:eastAsia="宋体" w:cs="Times New Roman"/>
                      <w:b w:val="0"/>
                      <w:bCs/>
                      <w:color w:val="auto"/>
                      <w:sz w:val="21"/>
                      <w:szCs w:val="21"/>
                      <w:lang w:val="en-US" w:eastAsia="zh-CN"/>
                    </w:rPr>
                    <w:t>声环境</w:t>
                  </w:r>
                </w:p>
              </w:tc>
              <w:tc>
                <w:tcPr>
                  <w:tcW w:w="5840" w:type="dxa"/>
                  <w:gridSpan w:val="5"/>
                  <w:shd w:val="clear" w:color="auto" w:fill="auto"/>
                  <w:noWrap w:val="0"/>
                  <w:vAlign w:val="center"/>
                </w:tcPr>
                <w:p w14:paraId="4A34B40A">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项目</w:t>
                  </w:r>
                  <w:r>
                    <w:rPr>
                      <w:rFonts w:hint="default" w:ascii="Times New Roman" w:hAnsi="Times New Roman" w:eastAsia="宋体" w:cs="Times New Roman"/>
                      <w:b w:val="0"/>
                      <w:bCs/>
                      <w:color w:val="auto"/>
                      <w:sz w:val="21"/>
                      <w:szCs w:val="21"/>
                      <w:lang w:val="en-US" w:eastAsia="zh-CN"/>
                    </w:rPr>
                    <w:t>厂界外50m范围内</w:t>
                  </w:r>
                  <w:r>
                    <w:rPr>
                      <w:rFonts w:hint="eastAsia" w:ascii="Times New Roman" w:hAnsi="Times New Roman" w:eastAsia="宋体" w:cs="Times New Roman"/>
                      <w:b w:val="0"/>
                      <w:bCs/>
                      <w:color w:val="auto"/>
                      <w:sz w:val="21"/>
                      <w:szCs w:val="21"/>
                      <w:lang w:val="en-US" w:eastAsia="zh-CN"/>
                    </w:rPr>
                    <w:t>无声环境</w:t>
                  </w:r>
                  <w:r>
                    <w:rPr>
                      <w:rFonts w:hint="default" w:ascii="Times New Roman" w:hAnsi="Times New Roman" w:eastAsia="宋体" w:cs="Times New Roman"/>
                      <w:b w:val="0"/>
                      <w:bCs/>
                      <w:color w:val="auto"/>
                      <w:sz w:val="21"/>
                      <w:szCs w:val="21"/>
                      <w:lang w:val="en-US" w:eastAsia="zh-CN"/>
                    </w:rPr>
                    <w:t>保护目标</w:t>
                  </w:r>
                  <w:r>
                    <w:rPr>
                      <w:rFonts w:hint="eastAsia" w:ascii="Times New Roman" w:hAnsi="Times New Roman" w:eastAsia="宋体" w:cs="Times New Roman"/>
                      <w:b w:val="0"/>
                      <w:bCs/>
                      <w:color w:val="auto"/>
                      <w:sz w:val="21"/>
                      <w:szCs w:val="21"/>
                      <w:lang w:val="en-US" w:eastAsia="zh-CN"/>
                    </w:rPr>
                    <w:t>。</w:t>
                  </w:r>
                </w:p>
              </w:tc>
            </w:tr>
            <w:tr w14:paraId="3DD5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blHeader/>
                <w:jc w:val="center"/>
              </w:trPr>
              <w:tc>
                <w:tcPr>
                  <w:tcW w:w="1429" w:type="dxa"/>
                  <w:noWrap w:val="0"/>
                  <w:vAlign w:val="center"/>
                </w:tcPr>
                <w:p w14:paraId="7A69A2EC">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地下水环境</w:t>
                  </w:r>
                </w:p>
              </w:tc>
              <w:tc>
                <w:tcPr>
                  <w:tcW w:w="5840" w:type="dxa"/>
                  <w:gridSpan w:val="5"/>
                  <w:shd w:val="clear" w:color="auto" w:fill="auto"/>
                  <w:noWrap w:val="0"/>
                  <w:vAlign w:val="center"/>
                </w:tcPr>
                <w:p w14:paraId="2CED7554">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项目</w:t>
                  </w:r>
                  <w:r>
                    <w:rPr>
                      <w:rFonts w:hint="default" w:ascii="Times New Roman" w:hAnsi="Times New Roman" w:eastAsia="宋体" w:cs="Times New Roman"/>
                      <w:b w:val="0"/>
                      <w:bCs/>
                      <w:color w:val="auto"/>
                      <w:sz w:val="21"/>
                      <w:szCs w:val="21"/>
                      <w:lang w:val="en-US" w:eastAsia="zh-CN"/>
                    </w:rPr>
                    <w:t>厂界外500m范围内</w:t>
                  </w:r>
                  <w:r>
                    <w:rPr>
                      <w:rFonts w:hint="eastAsia" w:cs="Times New Roman"/>
                      <w:b w:val="0"/>
                      <w:bCs/>
                      <w:color w:val="auto"/>
                      <w:sz w:val="21"/>
                      <w:szCs w:val="21"/>
                      <w:lang w:val="en-US" w:eastAsia="zh-CN"/>
                    </w:rPr>
                    <w:t>无</w:t>
                  </w:r>
                  <w:r>
                    <w:rPr>
                      <w:rFonts w:hint="default" w:ascii="Times New Roman" w:hAnsi="Times New Roman" w:eastAsia="宋体" w:cs="Times New Roman"/>
                      <w:b w:val="0"/>
                      <w:bCs/>
                      <w:color w:val="auto"/>
                      <w:sz w:val="21"/>
                      <w:szCs w:val="21"/>
                      <w:lang w:val="en-US" w:eastAsia="zh-CN"/>
                    </w:rPr>
                    <w:t>地下水集中式饮用水水源和热水、矿泉水、温泉等特殊地下水资源</w:t>
                  </w:r>
                  <w:r>
                    <w:rPr>
                      <w:rFonts w:hint="eastAsia" w:ascii="Times New Roman" w:hAnsi="Times New Roman" w:eastAsia="宋体" w:cs="Times New Roman"/>
                      <w:b w:val="0"/>
                      <w:bCs/>
                      <w:color w:val="auto"/>
                      <w:sz w:val="21"/>
                      <w:szCs w:val="21"/>
                      <w:lang w:val="en-US" w:eastAsia="zh-CN"/>
                    </w:rPr>
                    <w:t>。</w:t>
                  </w:r>
                </w:p>
              </w:tc>
            </w:tr>
          </w:tbl>
          <w:p w14:paraId="4AE70641">
            <w:pPr>
              <w:ind w:left="0" w:leftChars="0" w:firstLine="0" w:firstLineChars="0"/>
            </w:pPr>
          </w:p>
        </w:tc>
      </w:tr>
      <w:tr w14:paraId="30D69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1" w:type="dxa"/>
            <w:noWrap w:val="0"/>
            <w:vAlign w:val="center"/>
          </w:tcPr>
          <w:p w14:paraId="2D702DC4">
            <w:pPr>
              <w:ind w:left="0" w:leftChars="0" w:firstLine="0" w:firstLineChars="0"/>
              <w:rPr>
                <w:rFonts w:hint="eastAsia"/>
                <w:lang w:eastAsia="zh-CN"/>
              </w:rPr>
            </w:pPr>
            <w:r>
              <w:rPr>
                <w:rFonts w:hint="eastAsia"/>
                <w:lang w:eastAsia="zh-CN"/>
              </w:rPr>
              <w:t>污染物排放控制标准</w:t>
            </w:r>
          </w:p>
        </w:tc>
        <w:tc>
          <w:tcPr>
            <w:tcW w:w="7511" w:type="dxa"/>
            <w:noWrap w:val="0"/>
            <w:vAlign w:val="center"/>
          </w:tcPr>
          <w:p w14:paraId="3DF10402">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color w:val="auto"/>
                <w:szCs w:val="22"/>
                <w:lang w:eastAsia="zh-CN"/>
              </w:rPr>
            </w:pPr>
            <w:r>
              <w:rPr>
                <w:rFonts w:hint="default" w:ascii="Times New Roman" w:hAnsi="Times New Roman" w:eastAsia="宋体" w:cs="Times New Roman"/>
                <w:b/>
                <w:color w:val="auto"/>
                <w:szCs w:val="22"/>
                <w:lang w:val="en-US" w:eastAsia="zh-CN"/>
              </w:rPr>
              <w:t>一</w:t>
            </w:r>
            <w:r>
              <w:rPr>
                <w:rFonts w:hint="default" w:ascii="Times New Roman" w:hAnsi="Times New Roman" w:eastAsia="宋体" w:cs="Times New Roman"/>
                <w:b/>
                <w:color w:val="auto"/>
                <w:szCs w:val="22"/>
              </w:rPr>
              <w:t>、大气污染物</w:t>
            </w:r>
            <w:r>
              <w:rPr>
                <w:rFonts w:hint="eastAsia" w:cs="Times New Roman"/>
                <w:b/>
                <w:color w:val="auto"/>
                <w:szCs w:val="22"/>
                <w:lang w:val="en-US" w:eastAsia="zh-CN"/>
              </w:rPr>
              <w:t>排放</w:t>
            </w:r>
            <w:r>
              <w:rPr>
                <w:rFonts w:hint="default" w:ascii="Times New Roman" w:hAnsi="Times New Roman" w:eastAsia="宋体" w:cs="Times New Roman"/>
                <w:b/>
                <w:color w:val="auto"/>
                <w:szCs w:val="22"/>
              </w:rPr>
              <w:t>标准</w:t>
            </w:r>
          </w:p>
          <w:p w14:paraId="423FC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）施工期</w:t>
            </w:r>
          </w:p>
          <w:p w14:paraId="1FFFF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auto"/>
                <w:sz w:val="24"/>
                <w:szCs w:val="24"/>
              </w:rPr>
            </w:pPr>
            <w:r>
              <w:rPr>
                <w:rFonts w:hint="eastAsia"/>
                <w:color w:val="auto"/>
                <w:sz w:val="24"/>
                <w:szCs w:val="24"/>
                <w:lang w:eastAsia="zh-CN"/>
              </w:rPr>
              <w:t>项目</w:t>
            </w:r>
            <w:r>
              <w:rPr>
                <w:rFonts w:hint="eastAsia"/>
                <w:color w:val="auto"/>
                <w:sz w:val="24"/>
                <w:szCs w:val="24"/>
              </w:rPr>
              <w:t>施工期废气</w:t>
            </w:r>
            <w:r>
              <w:rPr>
                <w:rFonts w:hint="eastAsia"/>
                <w:color w:val="auto"/>
                <w:sz w:val="24"/>
                <w:szCs w:val="24"/>
                <w:lang w:eastAsia="zh-CN"/>
              </w:rPr>
              <w:t>污染物</w:t>
            </w:r>
            <w:r>
              <w:rPr>
                <w:rFonts w:hint="eastAsia"/>
                <w:color w:val="auto"/>
                <w:sz w:val="24"/>
                <w:szCs w:val="24"/>
              </w:rPr>
              <w:t>主要为</w:t>
            </w:r>
            <w:r>
              <w:rPr>
                <w:rFonts w:hint="eastAsia"/>
                <w:color w:val="auto"/>
                <w:sz w:val="24"/>
                <w:szCs w:val="24"/>
                <w:lang w:eastAsia="zh-CN"/>
              </w:rPr>
              <w:t>施工过程</w:t>
            </w:r>
            <w:r>
              <w:rPr>
                <w:rFonts w:hint="default"/>
                <w:color w:val="auto"/>
                <w:sz w:val="24"/>
                <w:szCs w:val="24"/>
              </w:rPr>
              <w:t>中产生的扬尘，</w:t>
            </w:r>
            <w:r>
              <w:rPr>
                <w:rFonts w:hint="eastAsia"/>
                <w:color w:val="auto"/>
                <w:sz w:val="24"/>
                <w:szCs w:val="24"/>
              </w:rPr>
              <w:t>呈无组织排放，</w:t>
            </w:r>
            <w:r>
              <w:rPr>
                <w:rFonts w:hint="default"/>
                <w:color w:val="auto"/>
                <w:sz w:val="24"/>
                <w:szCs w:val="24"/>
              </w:rPr>
              <w:t>执行《大气污染物综合排放标准》</w:t>
            </w:r>
            <w:r>
              <w:rPr>
                <w:rFonts w:hint="eastAsia"/>
                <w:color w:val="auto"/>
                <w:sz w:val="24"/>
                <w:szCs w:val="24"/>
              </w:rPr>
              <w:t>（</w:t>
            </w:r>
            <w:r>
              <w:rPr>
                <w:rFonts w:hint="default"/>
                <w:color w:val="auto"/>
                <w:sz w:val="24"/>
                <w:szCs w:val="24"/>
              </w:rPr>
              <w:t>GB16297-1996</w:t>
            </w:r>
            <w:r>
              <w:rPr>
                <w:rFonts w:hint="eastAsia"/>
                <w:color w:val="auto"/>
                <w:sz w:val="24"/>
                <w:szCs w:val="24"/>
              </w:rPr>
              <w:t>）</w:t>
            </w:r>
            <w:r>
              <w:rPr>
                <w:rFonts w:hint="default"/>
                <w:color w:val="auto"/>
                <w:sz w:val="24"/>
                <w:szCs w:val="24"/>
              </w:rPr>
              <w:t>表2中的</w:t>
            </w:r>
            <w:r>
              <w:rPr>
                <w:rFonts w:hint="eastAsia"/>
                <w:color w:val="auto"/>
                <w:sz w:val="24"/>
                <w:szCs w:val="24"/>
              </w:rPr>
              <w:t>无组织排放监控浓度限值</w:t>
            </w:r>
            <w:r>
              <w:rPr>
                <w:rFonts w:hint="default"/>
                <w:color w:val="auto"/>
                <w:sz w:val="24"/>
                <w:szCs w:val="24"/>
              </w:rPr>
              <w:t>，</w:t>
            </w:r>
            <w:r>
              <w:rPr>
                <w:color w:val="auto"/>
                <w:sz w:val="24"/>
                <w:szCs w:val="24"/>
                <w:highlight w:val="none"/>
              </w:rPr>
              <w:t>标准</w:t>
            </w:r>
            <w:r>
              <w:rPr>
                <w:rFonts w:hint="eastAsia"/>
                <w:color w:val="auto"/>
                <w:sz w:val="24"/>
                <w:szCs w:val="24"/>
                <w:lang w:val="en-US" w:eastAsia="zh-CN"/>
              </w:rPr>
              <w:t>限</w:t>
            </w:r>
            <w:r>
              <w:rPr>
                <w:color w:val="auto"/>
                <w:sz w:val="24"/>
                <w:szCs w:val="24"/>
                <w:highlight w:val="none"/>
              </w:rPr>
              <w:t>值详见</w:t>
            </w:r>
            <w:r>
              <w:rPr>
                <w:rFonts w:hint="default"/>
                <w:color w:val="auto"/>
                <w:sz w:val="24"/>
                <w:szCs w:val="24"/>
              </w:rPr>
              <w:t>表</w:t>
            </w:r>
            <w:r>
              <w:rPr>
                <w:rFonts w:hint="eastAsia"/>
                <w:color w:val="auto"/>
                <w:sz w:val="24"/>
                <w:szCs w:val="24"/>
                <w:lang w:val="en-US" w:eastAsia="zh-CN"/>
              </w:rPr>
              <w:t>3-7</w:t>
            </w:r>
            <w:r>
              <w:rPr>
                <w:rFonts w:hint="eastAsia"/>
                <w:color w:val="auto"/>
                <w:sz w:val="24"/>
                <w:szCs w:val="24"/>
              </w:rPr>
              <w:t>。</w:t>
            </w:r>
          </w:p>
          <w:p w14:paraId="41A58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color w:val="auto"/>
                <w:sz w:val="21"/>
                <w:szCs w:val="21"/>
              </w:rPr>
            </w:pPr>
            <w:r>
              <w:rPr>
                <w:rFonts w:hint="eastAsia"/>
                <w:b/>
                <w:bCs/>
                <w:color w:val="auto"/>
                <w:sz w:val="21"/>
                <w:szCs w:val="21"/>
              </w:rPr>
              <w:t>表</w:t>
            </w:r>
            <w:r>
              <w:rPr>
                <w:rFonts w:hint="eastAsia"/>
                <w:b/>
                <w:bCs/>
                <w:color w:val="auto"/>
                <w:sz w:val="21"/>
                <w:szCs w:val="21"/>
                <w:lang w:val="en-US" w:eastAsia="zh-CN"/>
              </w:rPr>
              <w:t>3-4</w:t>
            </w:r>
            <w:r>
              <w:rPr>
                <w:rFonts w:hint="eastAsia"/>
                <w:b/>
                <w:bCs/>
                <w:color w:val="auto"/>
                <w:sz w:val="21"/>
                <w:szCs w:val="21"/>
              </w:rPr>
              <w:t xml:space="preserve"> </w:t>
            </w:r>
            <w:r>
              <w:rPr>
                <w:rFonts w:hint="eastAsia"/>
                <w:b/>
                <w:bCs/>
                <w:color w:val="auto"/>
                <w:sz w:val="21"/>
                <w:szCs w:val="21"/>
                <w:lang w:val="en-US" w:eastAsia="zh-CN"/>
              </w:rPr>
              <w:t xml:space="preserve"> </w:t>
            </w:r>
            <w:r>
              <w:rPr>
                <w:rFonts w:hint="eastAsia"/>
                <w:b/>
                <w:bCs/>
                <w:color w:val="auto"/>
                <w:sz w:val="21"/>
                <w:szCs w:val="21"/>
                <w:lang w:eastAsia="zh-CN"/>
              </w:rPr>
              <w:t>施工期</w:t>
            </w:r>
            <w:r>
              <w:rPr>
                <w:rFonts w:hint="eastAsia"/>
                <w:b/>
                <w:bCs/>
                <w:color w:val="auto"/>
                <w:sz w:val="21"/>
                <w:szCs w:val="21"/>
              </w:rPr>
              <w:t>大气污染物排放</w:t>
            </w:r>
            <w:r>
              <w:rPr>
                <w:rFonts w:hint="eastAsia"/>
                <w:b/>
                <w:bCs/>
                <w:color w:val="auto"/>
                <w:sz w:val="21"/>
                <w:szCs w:val="21"/>
                <w:lang w:eastAsia="zh-CN"/>
              </w:rPr>
              <w:t>浓度</w:t>
            </w:r>
            <w:r>
              <w:rPr>
                <w:rFonts w:hint="eastAsia"/>
                <w:b/>
                <w:bCs/>
                <w:color w:val="auto"/>
                <w:sz w:val="21"/>
                <w:szCs w:val="21"/>
              </w:rPr>
              <w:t>限值</w:t>
            </w:r>
          </w:p>
          <w:tbl>
            <w:tblPr>
              <w:tblStyle w:val="15"/>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92"/>
              <w:gridCol w:w="2335"/>
              <w:gridCol w:w="3062"/>
            </w:tblGrid>
            <w:tr w14:paraId="179A99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298" w:type="pct"/>
                  <w:vMerge w:val="restart"/>
                  <w:noWrap w:val="0"/>
                  <w:vAlign w:val="center"/>
                </w:tcPr>
                <w:p w14:paraId="5A8B8B2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1"/>
                      <w:szCs w:val="21"/>
                    </w:rPr>
                  </w:pPr>
                  <w:r>
                    <w:rPr>
                      <w:rFonts w:hint="default"/>
                      <w:b/>
                      <w:bCs/>
                      <w:color w:val="auto"/>
                      <w:sz w:val="21"/>
                      <w:szCs w:val="21"/>
                    </w:rPr>
                    <w:t>污染物因子</w:t>
                  </w:r>
                </w:p>
              </w:tc>
              <w:tc>
                <w:tcPr>
                  <w:tcW w:w="3701" w:type="pct"/>
                  <w:gridSpan w:val="2"/>
                  <w:noWrap w:val="0"/>
                  <w:vAlign w:val="center"/>
                </w:tcPr>
                <w:p w14:paraId="1196DED6">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1"/>
                      <w:szCs w:val="21"/>
                    </w:rPr>
                  </w:pPr>
                  <w:r>
                    <w:rPr>
                      <w:rFonts w:hint="default"/>
                      <w:b/>
                      <w:bCs/>
                      <w:color w:val="auto"/>
                      <w:sz w:val="21"/>
                      <w:szCs w:val="21"/>
                    </w:rPr>
                    <w:t>无组织排放监测浓度限值</w:t>
                  </w:r>
                </w:p>
              </w:tc>
            </w:tr>
            <w:tr w14:paraId="2188D5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98" w:type="pct"/>
                  <w:vMerge w:val="continue"/>
                  <w:noWrap w:val="0"/>
                  <w:vAlign w:val="center"/>
                </w:tcPr>
                <w:p w14:paraId="4BC29AC0">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1"/>
                      <w:szCs w:val="21"/>
                    </w:rPr>
                  </w:pPr>
                </w:p>
              </w:tc>
              <w:tc>
                <w:tcPr>
                  <w:tcW w:w="1601" w:type="pct"/>
                  <w:noWrap w:val="0"/>
                  <w:vAlign w:val="center"/>
                </w:tcPr>
                <w:p w14:paraId="14A61FE5">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b/>
                      <w:bCs/>
                      <w:color w:val="auto"/>
                      <w:sz w:val="21"/>
                      <w:szCs w:val="21"/>
                      <w:lang w:eastAsia="zh-CN"/>
                    </w:rPr>
                  </w:pPr>
                  <w:r>
                    <w:rPr>
                      <w:rFonts w:hint="eastAsia"/>
                      <w:b/>
                      <w:bCs/>
                      <w:color w:val="auto"/>
                      <w:sz w:val="21"/>
                      <w:szCs w:val="21"/>
                      <w:lang w:eastAsia="zh-CN"/>
                    </w:rPr>
                    <w:t>监控点</w:t>
                  </w:r>
                </w:p>
              </w:tc>
              <w:tc>
                <w:tcPr>
                  <w:tcW w:w="2100" w:type="pct"/>
                  <w:noWrap w:val="0"/>
                  <w:vAlign w:val="center"/>
                </w:tcPr>
                <w:p w14:paraId="12B0B368">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bCs/>
                      <w:color w:val="auto"/>
                      <w:sz w:val="21"/>
                      <w:szCs w:val="21"/>
                    </w:rPr>
                  </w:pPr>
                  <w:r>
                    <w:rPr>
                      <w:rFonts w:hint="default"/>
                      <w:b/>
                      <w:bCs/>
                      <w:color w:val="auto"/>
                      <w:sz w:val="21"/>
                      <w:szCs w:val="21"/>
                    </w:rPr>
                    <w:t>浓度（mg/m</w:t>
                  </w:r>
                  <w:r>
                    <w:rPr>
                      <w:rFonts w:hint="default"/>
                      <w:b/>
                      <w:bCs/>
                      <w:color w:val="auto"/>
                      <w:sz w:val="21"/>
                      <w:szCs w:val="21"/>
                      <w:vertAlign w:val="superscript"/>
                    </w:rPr>
                    <w:t>3</w:t>
                  </w:r>
                  <w:r>
                    <w:rPr>
                      <w:rFonts w:hint="default"/>
                      <w:b/>
                      <w:bCs/>
                      <w:color w:val="auto"/>
                      <w:sz w:val="21"/>
                      <w:szCs w:val="21"/>
                    </w:rPr>
                    <w:t>）</w:t>
                  </w:r>
                </w:p>
              </w:tc>
            </w:tr>
            <w:tr w14:paraId="3BAE0C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1298" w:type="pct"/>
                  <w:noWrap w:val="0"/>
                  <w:vAlign w:val="center"/>
                </w:tcPr>
                <w:p w14:paraId="72A9A454">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olor w:val="auto"/>
                      <w:sz w:val="21"/>
                      <w:szCs w:val="21"/>
                      <w:lang w:eastAsia="zh-CN"/>
                    </w:rPr>
                  </w:pPr>
                  <w:r>
                    <w:rPr>
                      <w:rFonts w:hint="eastAsia"/>
                      <w:color w:val="auto"/>
                      <w:sz w:val="21"/>
                      <w:szCs w:val="21"/>
                      <w:lang w:eastAsia="zh-CN"/>
                    </w:rPr>
                    <w:t>颗粒物</w:t>
                  </w:r>
                </w:p>
              </w:tc>
              <w:tc>
                <w:tcPr>
                  <w:tcW w:w="1601" w:type="pct"/>
                  <w:noWrap w:val="0"/>
                  <w:vAlign w:val="center"/>
                </w:tcPr>
                <w:p w14:paraId="36B53FB4">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color w:val="auto"/>
                      <w:sz w:val="21"/>
                      <w:szCs w:val="21"/>
                      <w:lang w:eastAsia="zh-CN"/>
                    </w:rPr>
                  </w:pPr>
                  <w:r>
                    <w:rPr>
                      <w:rFonts w:hint="default"/>
                      <w:color w:val="auto"/>
                      <w:sz w:val="21"/>
                      <w:szCs w:val="21"/>
                    </w:rPr>
                    <w:t>周界外浓度最高点</w:t>
                  </w:r>
                </w:p>
              </w:tc>
              <w:tc>
                <w:tcPr>
                  <w:tcW w:w="2100" w:type="pct"/>
                  <w:noWrap w:val="0"/>
                  <w:vAlign w:val="center"/>
                </w:tcPr>
                <w:p w14:paraId="5CD34F81">
                  <w:pPr>
                    <w:pStyle w:val="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21"/>
                      <w:szCs w:val="21"/>
                    </w:rPr>
                  </w:pPr>
                  <w:r>
                    <w:rPr>
                      <w:rFonts w:hint="default"/>
                      <w:color w:val="auto"/>
                      <w:sz w:val="21"/>
                      <w:szCs w:val="21"/>
                    </w:rPr>
                    <w:t>1.0</w:t>
                  </w:r>
                </w:p>
              </w:tc>
            </w:tr>
          </w:tbl>
          <w:p w14:paraId="3914047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（2）运营期</w:t>
            </w:r>
          </w:p>
          <w:p w14:paraId="39129329">
            <w:pPr>
              <w:keepNext w:val="0"/>
              <w:keepLines w:val="0"/>
              <w:pageBreakBefore w:val="0"/>
              <w:widowControl w:val="0"/>
              <w:tabs>
                <w:tab w:val="left" w:pos="1760"/>
                <w:tab w:val="center" w:pos="3647"/>
              </w:tabs>
              <w:kinsoku/>
              <w:wordWrap/>
              <w:overflowPunct/>
              <w:topLinePunct w:val="0"/>
              <w:autoSpaceDE/>
              <w:autoSpaceDN/>
              <w:bidi w:val="0"/>
              <w:adjustRightInd/>
              <w:snapToGrid w:val="0"/>
              <w:ind w:firstLine="480"/>
              <w:textAlignment w:val="auto"/>
              <w:rPr>
                <w:rFonts w:hint="default" w:ascii="Calibri" w:hAnsi="Calibri" w:eastAsia="宋体" w:cs="Calibri"/>
                <w:color w:val="auto"/>
                <w:kern w:val="0"/>
                <w:lang w:val="en-US" w:eastAsia="zh-CN"/>
              </w:rPr>
            </w:pPr>
            <w:r>
              <w:rPr>
                <w:rFonts w:hint="default" w:ascii="Times New Roman" w:hAnsi="Times New Roman" w:eastAsia="宋体" w:cs="Times New Roman"/>
                <w:color w:val="auto"/>
                <w:kern w:val="0"/>
                <w:lang w:val="en-US" w:eastAsia="zh-CN"/>
              </w:rPr>
              <w:t>①</w:t>
            </w:r>
            <w:r>
              <w:rPr>
                <w:rFonts w:hint="eastAsia" w:ascii="Calibri" w:hAnsi="Calibri" w:eastAsia="宋体" w:cs="Calibri"/>
                <w:color w:val="auto"/>
                <w:kern w:val="0"/>
                <w:lang w:val="en-US" w:eastAsia="zh-CN"/>
              </w:rPr>
              <w:t>有组织</w:t>
            </w:r>
          </w:p>
          <w:p w14:paraId="7AC19162">
            <w:pPr>
              <w:keepNext w:val="0"/>
              <w:keepLines w:val="0"/>
              <w:pageBreakBefore w:val="0"/>
              <w:widowControl w:val="0"/>
              <w:tabs>
                <w:tab w:val="left" w:pos="1760"/>
                <w:tab w:val="center" w:pos="3647"/>
              </w:tabs>
              <w:kinsoku/>
              <w:wordWrap/>
              <w:overflowPunct/>
              <w:topLinePunct w:val="0"/>
              <w:autoSpaceDE/>
              <w:autoSpaceDN/>
              <w:bidi w:val="0"/>
              <w:adjustRightInd/>
              <w:snapToGrid w:val="0"/>
              <w:ind w:firstLine="480"/>
              <w:textAlignment w:val="auto"/>
              <w:rPr>
                <w:rFonts w:hint="eastAsia" w:eastAsia="宋体" w:cs="Times New Roman"/>
                <w:color w:val="auto"/>
                <w:sz w:val="24"/>
                <w:lang w:eastAsia="zh-CN"/>
              </w:rPr>
            </w:pPr>
            <w:r>
              <w:rPr>
                <w:rFonts w:hint="eastAsia" w:cs="Times New Roman"/>
                <w:color w:val="auto"/>
                <w:kern w:val="0"/>
                <w:lang w:val="en-US" w:eastAsia="zh-CN"/>
              </w:rPr>
              <w:t>上料、烘干和筛分工段产生废气（</w:t>
            </w:r>
            <w:r>
              <w:rPr>
                <w:rFonts w:hint="eastAsia" w:ascii="Times New Roman" w:hAnsi="Times New Roman" w:eastAsia="宋体" w:cs="Times New Roman"/>
                <w:color w:val="auto"/>
                <w:kern w:val="0"/>
                <w:lang w:val="en-US" w:eastAsia="zh-CN"/>
              </w:rPr>
              <w:t>DA001排气筒</w:t>
            </w:r>
            <w:r>
              <w:rPr>
                <w:rFonts w:hint="eastAsia" w:cs="Times New Roman"/>
                <w:color w:val="auto"/>
                <w:kern w:val="0"/>
                <w:lang w:val="en-US" w:eastAsia="zh-CN"/>
              </w:rPr>
              <w:t>）</w:t>
            </w:r>
            <w:r>
              <w:rPr>
                <w:rFonts w:hint="eastAsia"/>
                <w:color w:val="auto"/>
                <w:lang w:val="en-US" w:eastAsia="zh-CN"/>
              </w:rPr>
              <w:t>中颗粒物、</w:t>
            </w:r>
            <w:r>
              <w:rPr>
                <w:rFonts w:hint="eastAsia" w:eastAsia="宋体" w:cs="Times New Roman"/>
                <w:color w:val="auto"/>
                <w:sz w:val="24"/>
                <w:lang w:val="en-US" w:eastAsia="zh-CN"/>
              </w:rPr>
              <w:t>SO</w:t>
            </w:r>
            <w:r>
              <w:rPr>
                <w:rFonts w:hint="eastAsia" w:eastAsia="宋体" w:cs="Times New Roman"/>
                <w:color w:val="auto"/>
                <w:sz w:val="24"/>
                <w:vertAlign w:val="subscript"/>
                <w:lang w:val="en-US" w:eastAsia="zh-CN"/>
              </w:rPr>
              <w:t>2</w:t>
            </w:r>
            <w:r>
              <w:rPr>
                <w:rFonts w:hint="eastAsia" w:eastAsia="宋体" w:cs="Times New Roman"/>
                <w:color w:val="auto"/>
                <w:sz w:val="24"/>
                <w:lang w:val="en-US" w:eastAsia="zh-CN"/>
              </w:rPr>
              <w:t>和NO</w:t>
            </w:r>
            <w:r>
              <w:rPr>
                <w:rFonts w:hint="eastAsia" w:eastAsia="宋体" w:cs="Times New Roman"/>
                <w:color w:val="auto"/>
                <w:sz w:val="24"/>
                <w:vertAlign w:val="subscript"/>
                <w:lang w:val="en-US" w:eastAsia="zh-CN"/>
              </w:rPr>
              <w:t>x</w:t>
            </w:r>
            <w:r>
              <w:rPr>
                <w:rFonts w:hint="eastAsia" w:ascii="宋体" w:hAnsi="宋体" w:eastAsia="宋体" w:cs="宋体"/>
                <w:color w:val="auto"/>
                <w:kern w:val="0"/>
                <w:lang w:val="en-US" w:eastAsia="zh-CN"/>
              </w:rPr>
              <w:t>排放</w:t>
            </w:r>
            <w:r>
              <w:rPr>
                <w:rFonts w:hint="eastAsia" w:ascii="Times New Roman" w:hAnsi="Times New Roman" w:eastAsia="宋体" w:cs="Times New Roman"/>
                <w:color w:val="auto"/>
                <w:sz w:val="24"/>
              </w:rPr>
              <w:t>执行</w:t>
            </w:r>
            <w:r>
              <w:rPr>
                <w:rFonts w:ascii="Times New Roman" w:hAnsi="Times New Roman" w:eastAsia="宋体" w:cs="Times New Roman"/>
                <w:color w:val="auto"/>
                <w:sz w:val="24"/>
              </w:rPr>
              <w:t>《大气污染物综合排放标准》（GB16297-1996）表2中二级排放标准限值</w:t>
            </w:r>
            <w:r>
              <w:rPr>
                <w:rFonts w:hint="eastAsia" w:eastAsia="宋体" w:cs="Times New Roman"/>
                <w:color w:val="auto"/>
                <w:sz w:val="24"/>
                <w:lang w:eastAsia="zh-CN"/>
              </w:rPr>
              <w:t>；</w:t>
            </w:r>
            <w:r>
              <w:rPr>
                <w:rFonts w:hint="eastAsia" w:cs="Times New Roman"/>
                <w:color w:val="auto"/>
                <w:sz w:val="24"/>
                <w:lang w:val="en-US" w:eastAsia="zh-CN"/>
              </w:rPr>
              <w:t>有机热载体炉废气（</w:t>
            </w:r>
            <w:r>
              <w:rPr>
                <w:rFonts w:hint="eastAsia" w:eastAsia="宋体" w:cs="Times New Roman"/>
                <w:color w:val="auto"/>
                <w:sz w:val="24"/>
                <w:lang w:val="en-US" w:eastAsia="zh-CN"/>
              </w:rPr>
              <w:t>DA002排气筒</w:t>
            </w:r>
            <w:r>
              <w:rPr>
                <w:rFonts w:hint="eastAsia" w:cs="Times New Roman"/>
                <w:color w:val="auto"/>
                <w:sz w:val="24"/>
                <w:lang w:val="en-US" w:eastAsia="zh-CN"/>
              </w:rPr>
              <w:t>）中颗粒物、</w:t>
            </w:r>
            <w:r>
              <w:rPr>
                <w:rFonts w:hint="eastAsia" w:eastAsia="宋体" w:cs="Times New Roman"/>
                <w:color w:val="auto"/>
                <w:sz w:val="24"/>
                <w:lang w:val="en-US" w:eastAsia="zh-CN"/>
              </w:rPr>
              <w:t>SO</w:t>
            </w:r>
            <w:r>
              <w:rPr>
                <w:rFonts w:hint="eastAsia" w:eastAsia="宋体" w:cs="Times New Roman"/>
                <w:color w:val="auto"/>
                <w:sz w:val="24"/>
                <w:vertAlign w:val="subscript"/>
                <w:lang w:val="en-US" w:eastAsia="zh-CN"/>
              </w:rPr>
              <w:t>2</w:t>
            </w:r>
            <w:r>
              <w:rPr>
                <w:rFonts w:hint="eastAsia" w:cs="Times New Roman"/>
                <w:color w:val="auto"/>
                <w:sz w:val="24"/>
                <w:vertAlign w:val="baseline"/>
                <w:lang w:val="en-US" w:eastAsia="zh-CN"/>
              </w:rPr>
              <w:t>和</w:t>
            </w:r>
            <w:r>
              <w:rPr>
                <w:rFonts w:hint="eastAsia" w:eastAsia="宋体" w:cs="Times New Roman"/>
                <w:color w:val="auto"/>
                <w:sz w:val="24"/>
                <w:lang w:val="en-US" w:eastAsia="zh-CN"/>
              </w:rPr>
              <w:t>NO</w:t>
            </w:r>
            <w:r>
              <w:rPr>
                <w:rFonts w:hint="eastAsia" w:eastAsia="宋体" w:cs="Times New Roman"/>
                <w:color w:val="auto"/>
                <w:sz w:val="24"/>
                <w:vertAlign w:val="subscript"/>
                <w:lang w:val="en-US" w:eastAsia="zh-CN"/>
              </w:rPr>
              <w:t>x</w:t>
            </w:r>
            <w:r>
              <w:rPr>
                <w:rFonts w:hint="eastAsia" w:eastAsia="宋体" w:cs="Times New Roman"/>
                <w:color w:val="auto"/>
                <w:sz w:val="24"/>
                <w:lang w:val="en-US" w:eastAsia="zh-CN"/>
              </w:rPr>
              <w:t>排放</w:t>
            </w:r>
            <w:r>
              <w:rPr>
                <w:rFonts w:hint="eastAsia" w:ascii="Times New Roman" w:hAnsi="Times New Roman" w:eastAsia="宋体" w:cs="Times New Roman"/>
                <w:color w:val="auto"/>
                <w:sz w:val="24"/>
              </w:rPr>
              <w:t>执行</w:t>
            </w:r>
            <w:r>
              <w:rPr>
                <w:rFonts w:ascii="Times New Roman" w:hAnsi="Times New Roman" w:eastAsia="宋体" w:cs="Times New Roman"/>
                <w:color w:val="auto"/>
                <w:sz w:val="24"/>
              </w:rPr>
              <w:t>《锅炉大气污染物排放标准》（GB13271-2014）表2新建燃油锅炉大气污染物排放浓度限值</w:t>
            </w:r>
            <w:r>
              <w:rPr>
                <w:rFonts w:hint="eastAsia" w:eastAsia="宋体" w:cs="Times New Roman"/>
                <w:color w:val="auto"/>
                <w:sz w:val="24"/>
                <w:lang w:val="en-US" w:eastAsia="zh-CN"/>
              </w:rPr>
              <w:t>；</w:t>
            </w:r>
            <w:r>
              <w:rPr>
                <w:rFonts w:hint="eastAsia" w:cs="Times New Roman"/>
                <w:color w:val="auto"/>
                <w:sz w:val="24"/>
                <w:lang w:val="en-US" w:eastAsia="zh-CN"/>
              </w:rPr>
              <w:t>沥青加热、搅拌和出料口逸散废气（</w:t>
            </w:r>
            <w:r>
              <w:rPr>
                <w:rFonts w:hint="eastAsia" w:eastAsia="宋体" w:cs="Times New Roman"/>
                <w:color w:val="auto"/>
                <w:sz w:val="24"/>
                <w:lang w:val="en-US" w:eastAsia="zh-CN"/>
              </w:rPr>
              <w:t>DA003排气筒</w:t>
            </w:r>
            <w:r>
              <w:rPr>
                <w:rFonts w:hint="eastAsia" w:cs="Times New Roman"/>
                <w:color w:val="auto"/>
                <w:sz w:val="24"/>
                <w:lang w:val="en-US" w:eastAsia="zh-CN"/>
              </w:rPr>
              <w:t>）中</w:t>
            </w:r>
            <w:r>
              <w:rPr>
                <w:rFonts w:hint="eastAsia" w:ascii="Times New Roman" w:hAnsi="Times New Roman" w:eastAsia="宋体" w:cs="Times New Roman"/>
                <w:color w:val="auto"/>
                <w:sz w:val="24"/>
                <w:lang w:val="en-US" w:eastAsia="zh-CN"/>
              </w:rPr>
              <w:t>非甲烷总烃、苯并[a]芘、沥青烟执行</w:t>
            </w:r>
            <w:r>
              <w:rPr>
                <w:rFonts w:ascii="Times New Roman" w:hAnsi="Times New Roman" w:eastAsia="宋体" w:cs="Times New Roman"/>
                <w:color w:val="auto"/>
                <w:sz w:val="24"/>
              </w:rPr>
              <w:t>《大气污染物综合排放标准》（GB16297-1996）表2中二级排放标准限值</w:t>
            </w:r>
            <w:r>
              <w:rPr>
                <w:rFonts w:hint="eastAsia" w:eastAsia="宋体" w:cs="Times New Roman"/>
                <w:color w:val="auto"/>
                <w:sz w:val="24"/>
                <w:lang w:eastAsia="zh-CN"/>
              </w:rPr>
              <w:t>。</w:t>
            </w:r>
          </w:p>
          <w:p w14:paraId="103EF7FF">
            <w:pPr>
              <w:keepNext w:val="0"/>
              <w:keepLines w:val="0"/>
              <w:pageBreakBefore w:val="0"/>
              <w:widowControl w:val="0"/>
              <w:tabs>
                <w:tab w:val="left" w:pos="1760"/>
                <w:tab w:val="center" w:pos="3647"/>
              </w:tabs>
              <w:kinsoku/>
              <w:wordWrap/>
              <w:overflowPunct/>
              <w:topLinePunct w:val="0"/>
              <w:autoSpaceDE/>
              <w:autoSpaceDN/>
              <w:bidi w:val="0"/>
              <w:adjustRightInd/>
              <w:snapToGrid w:val="0"/>
              <w:ind w:firstLine="480"/>
              <w:textAlignment w:val="auto"/>
              <w:rPr>
                <w:rFonts w:hint="eastAsia" w:eastAsia="宋体" w:cs="Times New Roman"/>
                <w:color w:val="000000" w:themeColor="text1"/>
                <w:sz w:val="24"/>
                <w:lang w:val="en-US" w:eastAsia="zh-CN"/>
                <w14:textFill>
                  <w14:solidFill>
                    <w14:schemeClr w14:val="tx1"/>
                  </w14:solidFill>
                </w14:textFill>
              </w:rPr>
            </w:pPr>
            <w:r>
              <w:rPr>
                <w:rFonts w:hint="eastAsia"/>
                <w:szCs w:val="24"/>
                <w:lang w:val="en-US" w:eastAsia="zh-CN"/>
              </w:rPr>
              <w:t>经现场勘</w:t>
            </w:r>
            <w:r>
              <w:rPr>
                <w:rFonts w:hint="eastAsia"/>
                <w:color w:val="auto"/>
                <w:szCs w:val="24"/>
                <w:lang w:val="en-US" w:eastAsia="zh-CN"/>
              </w:rPr>
              <w:t>查，本项目位置位于采石场内破碎站和3#堆料场之间，3#堆料场棚高10m，项目</w:t>
            </w:r>
            <w:r>
              <w:rPr>
                <w:rFonts w:hint="eastAsia"/>
                <w:color w:val="auto"/>
                <w:szCs w:val="24"/>
              </w:rPr>
              <w:t>排气筒</w:t>
            </w:r>
            <w:r>
              <w:rPr>
                <w:rFonts w:hint="eastAsia"/>
                <w:color w:val="auto"/>
                <w:szCs w:val="24"/>
                <w:lang w:val="en-US" w:eastAsia="zh-CN"/>
              </w:rPr>
              <w:t>DA001、DA003</w:t>
            </w:r>
            <w:r>
              <w:rPr>
                <w:rFonts w:hint="eastAsia"/>
                <w:color w:val="auto"/>
                <w:szCs w:val="24"/>
              </w:rPr>
              <w:t>高度</w:t>
            </w:r>
            <w:r>
              <w:rPr>
                <w:rFonts w:hint="eastAsia"/>
                <w:color w:val="auto"/>
                <w:szCs w:val="24"/>
                <w:lang w:val="en-US" w:eastAsia="zh-CN"/>
              </w:rPr>
              <w:t>满足</w:t>
            </w:r>
            <w:r>
              <w:rPr>
                <w:rFonts w:hint="eastAsia"/>
                <w:color w:val="auto"/>
                <w:szCs w:val="24"/>
              </w:rPr>
              <w:t>《大气污染物综合排放标准》（GB16297-1996）</w:t>
            </w:r>
            <w:r>
              <w:rPr>
                <w:rFonts w:hint="eastAsia"/>
                <w:color w:val="auto"/>
                <w:szCs w:val="24"/>
                <w:lang w:val="en-US" w:eastAsia="zh-CN"/>
              </w:rPr>
              <w:t>中“</w:t>
            </w:r>
            <w:r>
              <w:rPr>
                <w:rFonts w:hint="eastAsia"/>
                <w:color w:val="auto"/>
                <w:szCs w:val="24"/>
              </w:rPr>
              <w:t>高出周围200m半径范围的建筑5m以上</w:t>
            </w:r>
            <w:r>
              <w:rPr>
                <w:rFonts w:hint="eastAsia"/>
                <w:color w:val="auto"/>
                <w:szCs w:val="24"/>
                <w:lang w:val="en-US" w:eastAsia="zh-CN"/>
              </w:rPr>
              <w:t>”要求；DA002高度满足《锅炉大气污染物排放标准》（GB13271-2014）中“燃气锅炉烟囱不低于8m”要求，不满足“新建锅炉房的烟囱周围半径200m距离内有建筑物时，其烟囱应高出最高建筑物3m以上”要求</w:t>
            </w:r>
            <w:r>
              <w:rPr>
                <w:rFonts w:hint="eastAsia"/>
                <w:color w:val="auto"/>
                <w:szCs w:val="24"/>
                <w:lang w:eastAsia="zh-CN"/>
              </w:rPr>
              <w:t>，</w:t>
            </w:r>
            <w:r>
              <w:rPr>
                <w:rFonts w:hint="eastAsia"/>
                <w:color w:val="auto"/>
                <w:szCs w:val="24"/>
              </w:rPr>
              <w:t>排放</w:t>
            </w:r>
            <w:r>
              <w:rPr>
                <w:rFonts w:hint="eastAsia"/>
                <w:szCs w:val="24"/>
              </w:rPr>
              <w:t>速率标准值严格50%执行</w:t>
            </w:r>
            <w:r>
              <w:rPr>
                <w:rFonts w:hint="eastAsia"/>
                <w:szCs w:val="24"/>
                <w:lang w:eastAsia="zh-CN"/>
              </w:rPr>
              <w:t>，</w:t>
            </w:r>
            <w:r>
              <w:rPr>
                <w:rFonts w:hint="eastAsia"/>
                <w:szCs w:val="24"/>
                <w:lang w:val="en-US" w:eastAsia="zh-CN"/>
              </w:rPr>
              <w:t>项目</w:t>
            </w:r>
            <w:r>
              <w:rPr>
                <w:rFonts w:hint="eastAsia" w:eastAsia="宋体" w:cs="Times New Roman"/>
                <w:color w:val="000000" w:themeColor="text1"/>
                <w:sz w:val="24"/>
                <w:lang w:val="en-US" w:eastAsia="zh-CN"/>
                <w14:textFill>
                  <w14:solidFill>
                    <w14:schemeClr w14:val="tx1"/>
                  </w14:solidFill>
                </w14:textFill>
              </w:rPr>
              <w:t>具体详见下表3-</w:t>
            </w:r>
            <w:r>
              <w:rPr>
                <w:rFonts w:hint="eastAsia" w:cs="Times New Roman"/>
                <w:color w:val="000000" w:themeColor="text1"/>
                <w:sz w:val="24"/>
                <w:lang w:val="en-US" w:eastAsia="zh-CN"/>
                <w14:textFill>
                  <w14:solidFill>
                    <w14:schemeClr w14:val="tx1"/>
                  </w14:solidFill>
                </w14:textFill>
              </w:rPr>
              <w:t>5</w:t>
            </w:r>
            <w:r>
              <w:rPr>
                <w:rFonts w:hint="eastAsia" w:eastAsia="宋体" w:cs="Times New Roman"/>
                <w:color w:val="000000" w:themeColor="text1"/>
                <w:sz w:val="24"/>
                <w:lang w:val="en-US" w:eastAsia="zh-CN"/>
                <w14:textFill>
                  <w14:solidFill>
                    <w14:schemeClr w14:val="tx1"/>
                  </w14:solidFill>
                </w14:textFill>
              </w:rPr>
              <w:t>。</w:t>
            </w:r>
          </w:p>
          <w:p w14:paraId="0896D159">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表3-</w:t>
            </w:r>
            <w:r>
              <w:rPr>
                <w:rFonts w:hint="eastAsia" w:ascii="Times New Roman" w:hAnsi="Times New Roman" w:cs="Times New Roman"/>
                <w:b/>
                <w:color w:val="auto"/>
                <w:kern w:val="2"/>
                <w:sz w:val="21"/>
                <w:szCs w:val="21"/>
                <w:lang w:val="en-US" w:eastAsia="zh-CN" w:bidi="ar-SA"/>
              </w:rPr>
              <w:t>5</w:t>
            </w:r>
            <w:r>
              <w:rPr>
                <w:rFonts w:hint="eastAsia" w:ascii="Times New Roman" w:hAnsi="Times New Roman" w:eastAsia="宋体" w:cs="Times New Roman"/>
                <w:b/>
                <w:color w:val="auto"/>
                <w:kern w:val="2"/>
                <w:sz w:val="21"/>
                <w:szCs w:val="21"/>
                <w:lang w:val="en-US" w:eastAsia="zh-CN" w:bidi="ar-SA"/>
              </w:rPr>
              <w:t xml:space="preserve">  </w:t>
            </w:r>
            <w:r>
              <w:rPr>
                <w:rFonts w:hint="eastAsia" w:ascii="Times New Roman" w:hAnsi="Times New Roman" w:cs="Times New Roman"/>
                <w:b/>
                <w:color w:val="auto"/>
                <w:kern w:val="2"/>
                <w:sz w:val="21"/>
                <w:szCs w:val="21"/>
                <w:lang w:val="en-US" w:eastAsia="zh-CN" w:bidi="ar-SA"/>
              </w:rPr>
              <w:t>项目</w:t>
            </w:r>
            <w:r>
              <w:rPr>
                <w:rFonts w:hint="eastAsia" w:ascii="Times New Roman" w:hAnsi="Times New Roman" w:eastAsia="宋体" w:cs="Times New Roman"/>
                <w:b/>
                <w:color w:val="auto"/>
                <w:kern w:val="2"/>
                <w:sz w:val="21"/>
                <w:szCs w:val="21"/>
                <w:lang w:val="en-US" w:eastAsia="zh-CN" w:bidi="ar-SA"/>
              </w:rPr>
              <w:t>排气筒排放标准限值一览表</w:t>
            </w:r>
          </w:p>
          <w:tbl>
            <w:tblPr>
              <w:tblStyle w:val="15"/>
              <w:tblW w:w="7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132"/>
              <w:gridCol w:w="1271"/>
              <w:gridCol w:w="1836"/>
              <w:gridCol w:w="689"/>
              <w:gridCol w:w="1908"/>
            </w:tblGrid>
            <w:tr w14:paraId="7148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atLeast"/>
                <w:jc w:val="center"/>
              </w:trPr>
              <w:tc>
                <w:tcPr>
                  <w:tcW w:w="539" w:type="dxa"/>
                  <w:vAlign w:val="center"/>
                </w:tcPr>
                <w:p w14:paraId="21229DA6">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eastAsia="宋体" w:cs="Times New Roman"/>
                      <w:b/>
                      <w:color w:val="000000" w:themeColor="text1"/>
                      <w:sz w:val="21"/>
                      <w:szCs w:val="21"/>
                      <w:lang w:val="en-US" w:eastAsia="zh-CN"/>
                      <w14:textFill>
                        <w14:solidFill>
                          <w14:schemeClr w14:val="tx1"/>
                        </w14:solidFill>
                      </w14:textFill>
                    </w:rPr>
                    <w:t>排气筒</w:t>
                  </w:r>
                </w:p>
              </w:tc>
              <w:tc>
                <w:tcPr>
                  <w:tcW w:w="1132" w:type="dxa"/>
                  <w:vAlign w:val="center"/>
                </w:tcPr>
                <w:p w14:paraId="58C0725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污染物</w:t>
                  </w:r>
                </w:p>
              </w:tc>
              <w:tc>
                <w:tcPr>
                  <w:tcW w:w="1271" w:type="dxa"/>
                  <w:vAlign w:val="center"/>
                </w:tcPr>
                <w:p w14:paraId="0521229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最高允许排放浓度（</w:t>
                  </w:r>
                  <w:r>
                    <w:rPr>
                      <w:rFonts w:ascii="Times New Roman" w:hAnsi="Times New Roman" w:eastAsia="宋体" w:cs="Times New Roman"/>
                      <w:b/>
                      <w:color w:val="000000" w:themeColor="text1"/>
                      <w:sz w:val="21"/>
                      <w:szCs w:val="21"/>
                      <w14:textFill>
                        <w14:solidFill>
                          <w14:schemeClr w14:val="tx1"/>
                        </w14:solidFill>
                      </w14:textFill>
                    </w:rPr>
                    <w:t>mg/m</w:t>
                  </w:r>
                  <w:r>
                    <w:rPr>
                      <w:rFonts w:ascii="Times New Roman" w:hAnsi="Times New Roman" w:eastAsia="宋体" w:cs="Times New Roman"/>
                      <w:b/>
                      <w:color w:val="000000" w:themeColor="text1"/>
                      <w:sz w:val="21"/>
                      <w:szCs w:val="21"/>
                      <w:vertAlign w:val="superscript"/>
                      <w14:textFill>
                        <w14:solidFill>
                          <w14:schemeClr w14:val="tx1"/>
                        </w14:solidFill>
                      </w14:textFill>
                    </w:rPr>
                    <w:t>3</w:t>
                  </w:r>
                  <w:r>
                    <w:rPr>
                      <w:rFonts w:hint="eastAsia" w:ascii="Times New Roman" w:hAnsi="Times New Roman" w:eastAsia="宋体" w:cs="Times New Roman"/>
                      <w:b/>
                      <w:color w:val="000000" w:themeColor="text1"/>
                      <w:sz w:val="21"/>
                      <w:szCs w:val="21"/>
                      <w14:textFill>
                        <w14:solidFill>
                          <w14:schemeClr w14:val="tx1"/>
                        </w14:solidFill>
                      </w14:textFill>
                    </w:rPr>
                    <w:t>）</w:t>
                  </w:r>
                </w:p>
              </w:tc>
              <w:tc>
                <w:tcPr>
                  <w:tcW w:w="1836" w:type="dxa"/>
                  <w:vAlign w:val="center"/>
                </w:tcPr>
                <w:p w14:paraId="1842690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最高允许排放</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速率（kg/h）</w:t>
                  </w:r>
                </w:p>
              </w:tc>
              <w:tc>
                <w:tcPr>
                  <w:tcW w:w="689" w:type="dxa"/>
                  <w:vAlign w:val="center"/>
                </w:tcPr>
                <w:p w14:paraId="6D96E06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排气筒高度</w:t>
                  </w:r>
                </w:p>
              </w:tc>
              <w:tc>
                <w:tcPr>
                  <w:tcW w:w="1908" w:type="dxa"/>
                  <w:vAlign w:val="center"/>
                </w:tcPr>
                <w:p w14:paraId="22B6FCE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执行标准</w:t>
                  </w:r>
                </w:p>
              </w:tc>
            </w:tr>
            <w:tr w14:paraId="7246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539" w:type="dxa"/>
                  <w:vMerge w:val="restart"/>
                  <w:vAlign w:val="center"/>
                </w:tcPr>
                <w:p w14:paraId="36B2D508">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DA001</w:t>
                  </w:r>
                </w:p>
              </w:tc>
              <w:tc>
                <w:tcPr>
                  <w:tcW w:w="1132" w:type="dxa"/>
                  <w:vAlign w:val="center"/>
                </w:tcPr>
                <w:p w14:paraId="5129622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颗粒物</w:t>
                  </w:r>
                </w:p>
              </w:tc>
              <w:tc>
                <w:tcPr>
                  <w:tcW w:w="1271" w:type="dxa"/>
                  <w:vAlign w:val="center"/>
                </w:tcPr>
                <w:p w14:paraId="57F046A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1836" w:type="dxa"/>
                  <w:vAlign w:val="center"/>
                </w:tcPr>
                <w:p w14:paraId="296F7AB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eastAsia" w:cs="Times New Roman"/>
                      <w:bCs/>
                      <w:color w:val="auto"/>
                      <w:sz w:val="21"/>
                      <w:szCs w:val="21"/>
                      <w:lang w:val="en-US" w:eastAsia="zh-CN"/>
                    </w:rPr>
                    <w:t>3.5</w:t>
                  </w:r>
                </w:p>
              </w:tc>
              <w:tc>
                <w:tcPr>
                  <w:tcW w:w="689" w:type="dxa"/>
                  <w:vMerge w:val="restart"/>
                  <w:vAlign w:val="center"/>
                </w:tcPr>
                <w:p w14:paraId="43395D0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15</w:t>
                  </w:r>
                  <w:r>
                    <w:rPr>
                      <w:rFonts w:hint="eastAsia" w:eastAsia="宋体" w:cs="Times New Roman"/>
                      <w:bCs/>
                      <w:color w:val="000000" w:themeColor="text1"/>
                      <w:sz w:val="21"/>
                      <w:szCs w:val="21"/>
                      <w:lang w:val="en-US" w:eastAsia="zh-CN"/>
                      <w14:textFill>
                        <w14:solidFill>
                          <w14:schemeClr w14:val="tx1"/>
                        </w14:solidFill>
                      </w14:textFill>
                    </w:rPr>
                    <w:t>m</w:t>
                  </w:r>
                </w:p>
              </w:tc>
              <w:tc>
                <w:tcPr>
                  <w:tcW w:w="1908" w:type="dxa"/>
                  <w:vMerge w:val="restart"/>
                  <w:vAlign w:val="center"/>
                </w:tcPr>
                <w:p w14:paraId="4CC4DDA8">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《大气污染物综合排放标准》（GB16297-1996）</w:t>
                  </w:r>
                </w:p>
              </w:tc>
            </w:tr>
            <w:tr w14:paraId="49B9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539" w:type="dxa"/>
                  <w:vMerge w:val="continue"/>
                  <w:vAlign w:val="center"/>
                </w:tcPr>
                <w:p w14:paraId="3CAA4547">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p>
              </w:tc>
              <w:tc>
                <w:tcPr>
                  <w:tcW w:w="1132" w:type="dxa"/>
                  <w:shd w:val="clear" w:color="auto" w:fill="auto"/>
                  <w:vAlign w:val="center"/>
                </w:tcPr>
                <w:p w14:paraId="67781E1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SO</w:t>
                  </w:r>
                  <w:r>
                    <w:rPr>
                      <w:rFonts w:ascii="Times New Roman" w:hAnsi="Times New Roman" w:eastAsia="宋体" w:cs="Times New Roman"/>
                      <w:color w:val="000000" w:themeColor="text1"/>
                      <w:sz w:val="21"/>
                      <w:szCs w:val="21"/>
                      <w:vertAlign w:val="subscript"/>
                      <w14:textFill>
                        <w14:solidFill>
                          <w14:schemeClr w14:val="tx1"/>
                        </w14:solidFill>
                      </w14:textFill>
                    </w:rPr>
                    <w:t>2</w:t>
                  </w:r>
                </w:p>
              </w:tc>
              <w:tc>
                <w:tcPr>
                  <w:tcW w:w="1271" w:type="dxa"/>
                  <w:vAlign w:val="center"/>
                </w:tcPr>
                <w:p w14:paraId="5FACC8A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550</w:t>
                  </w:r>
                </w:p>
              </w:tc>
              <w:tc>
                <w:tcPr>
                  <w:tcW w:w="1836" w:type="dxa"/>
                  <w:vAlign w:val="center"/>
                </w:tcPr>
                <w:p w14:paraId="75B6295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2.6</w:t>
                  </w:r>
                </w:p>
              </w:tc>
              <w:tc>
                <w:tcPr>
                  <w:tcW w:w="689" w:type="dxa"/>
                  <w:vMerge w:val="continue"/>
                  <w:vAlign w:val="center"/>
                </w:tcPr>
                <w:p w14:paraId="6C9E38D6">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c>
                <w:tcPr>
                  <w:tcW w:w="1908" w:type="dxa"/>
                  <w:vMerge w:val="continue"/>
                  <w:vAlign w:val="center"/>
                </w:tcPr>
                <w:p w14:paraId="5D7EBAF9">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116F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539" w:type="dxa"/>
                  <w:vMerge w:val="continue"/>
                  <w:vAlign w:val="center"/>
                </w:tcPr>
                <w:p w14:paraId="6F3135D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p>
              </w:tc>
              <w:tc>
                <w:tcPr>
                  <w:tcW w:w="1132" w:type="dxa"/>
                  <w:shd w:val="clear" w:color="auto" w:fill="auto"/>
                  <w:vAlign w:val="center"/>
                </w:tcPr>
                <w:p w14:paraId="0AFA9BB7">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NOx</w:t>
                  </w:r>
                </w:p>
              </w:tc>
              <w:tc>
                <w:tcPr>
                  <w:tcW w:w="1271" w:type="dxa"/>
                  <w:vAlign w:val="center"/>
                </w:tcPr>
                <w:p w14:paraId="28FAE7B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240</w:t>
                  </w:r>
                </w:p>
              </w:tc>
              <w:tc>
                <w:tcPr>
                  <w:tcW w:w="1836" w:type="dxa"/>
                  <w:vAlign w:val="center"/>
                </w:tcPr>
                <w:p w14:paraId="7D255EA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0.77</w:t>
                  </w:r>
                </w:p>
              </w:tc>
              <w:tc>
                <w:tcPr>
                  <w:tcW w:w="689" w:type="dxa"/>
                  <w:vMerge w:val="continue"/>
                  <w:vAlign w:val="center"/>
                </w:tcPr>
                <w:p w14:paraId="7E4BC90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c>
                <w:tcPr>
                  <w:tcW w:w="1908" w:type="dxa"/>
                  <w:vMerge w:val="continue"/>
                  <w:vAlign w:val="center"/>
                </w:tcPr>
                <w:p w14:paraId="056F040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36565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539" w:type="dxa"/>
                  <w:vMerge w:val="restart"/>
                  <w:vAlign w:val="center"/>
                </w:tcPr>
                <w:p w14:paraId="09207EA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DA002</w:t>
                  </w:r>
                </w:p>
              </w:tc>
              <w:tc>
                <w:tcPr>
                  <w:tcW w:w="1132" w:type="dxa"/>
                  <w:vAlign w:val="center"/>
                </w:tcPr>
                <w:p w14:paraId="315FE677">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颗粒物</w:t>
                  </w:r>
                </w:p>
              </w:tc>
              <w:tc>
                <w:tcPr>
                  <w:tcW w:w="1271" w:type="dxa"/>
                  <w:vAlign w:val="center"/>
                </w:tcPr>
                <w:p w14:paraId="6BD1313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30</w:t>
                  </w:r>
                </w:p>
              </w:tc>
              <w:tc>
                <w:tcPr>
                  <w:tcW w:w="1836" w:type="dxa"/>
                  <w:vAlign w:val="center"/>
                </w:tcPr>
                <w:p w14:paraId="6019524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c>
                <w:tcPr>
                  <w:tcW w:w="689" w:type="dxa"/>
                  <w:vMerge w:val="restart"/>
                  <w:vAlign w:val="center"/>
                </w:tcPr>
                <w:p w14:paraId="6167F018">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8</w:t>
                  </w:r>
                  <w:r>
                    <w:rPr>
                      <w:rFonts w:hint="eastAsia" w:eastAsia="宋体" w:cs="Times New Roman"/>
                      <w:bCs/>
                      <w:color w:val="000000" w:themeColor="text1"/>
                      <w:sz w:val="21"/>
                      <w:szCs w:val="21"/>
                      <w:lang w:val="en-US" w:eastAsia="zh-CN"/>
                      <w14:textFill>
                        <w14:solidFill>
                          <w14:schemeClr w14:val="tx1"/>
                        </w14:solidFill>
                      </w14:textFill>
                    </w:rPr>
                    <w:t>m</w:t>
                  </w:r>
                </w:p>
              </w:tc>
              <w:tc>
                <w:tcPr>
                  <w:tcW w:w="1908" w:type="dxa"/>
                  <w:vMerge w:val="restart"/>
                  <w:vAlign w:val="center"/>
                </w:tcPr>
                <w:p w14:paraId="161391E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《锅炉大气污染物排放标准》（GB13271-2014）</w:t>
                  </w:r>
                </w:p>
              </w:tc>
            </w:tr>
            <w:tr w14:paraId="2BC6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539" w:type="dxa"/>
                  <w:vMerge w:val="continue"/>
                  <w:vAlign w:val="center"/>
                </w:tcPr>
                <w:p w14:paraId="4EC2352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p>
              </w:tc>
              <w:tc>
                <w:tcPr>
                  <w:tcW w:w="1132" w:type="dxa"/>
                  <w:shd w:val="clear" w:color="auto" w:fill="auto"/>
                  <w:vAlign w:val="center"/>
                </w:tcPr>
                <w:p w14:paraId="501105CF">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SO</w:t>
                  </w:r>
                  <w:r>
                    <w:rPr>
                      <w:rFonts w:ascii="Times New Roman" w:hAnsi="Times New Roman" w:eastAsia="宋体" w:cs="Times New Roman"/>
                      <w:color w:val="000000" w:themeColor="text1"/>
                      <w:sz w:val="21"/>
                      <w:szCs w:val="21"/>
                      <w:vertAlign w:val="subscript"/>
                      <w14:textFill>
                        <w14:solidFill>
                          <w14:schemeClr w14:val="tx1"/>
                        </w14:solidFill>
                      </w14:textFill>
                    </w:rPr>
                    <w:t>2</w:t>
                  </w:r>
                </w:p>
              </w:tc>
              <w:tc>
                <w:tcPr>
                  <w:tcW w:w="1271" w:type="dxa"/>
                  <w:shd w:val="clear" w:color="auto" w:fill="auto"/>
                  <w:vAlign w:val="center"/>
                </w:tcPr>
                <w:p w14:paraId="400772B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200</w:t>
                  </w:r>
                </w:p>
              </w:tc>
              <w:tc>
                <w:tcPr>
                  <w:tcW w:w="1836" w:type="dxa"/>
                  <w:vAlign w:val="center"/>
                </w:tcPr>
                <w:p w14:paraId="44B8216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c>
                <w:tcPr>
                  <w:tcW w:w="689" w:type="dxa"/>
                  <w:vMerge w:val="continue"/>
                  <w:vAlign w:val="center"/>
                </w:tcPr>
                <w:p w14:paraId="4842E06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p>
              </w:tc>
              <w:tc>
                <w:tcPr>
                  <w:tcW w:w="1908" w:type="dxa"/>
                  <w:vMerge w:val="continue"/>
                  <w:vAlign w:val="center"/>
                </w:tcPr>
                <w:p w14:paraId="102FD04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14:textFill>
                        <w14:solidFill>
                          <w14:schemeClr w14:val="tx1"/>
                        </w14:solidFill>
                      </w14:textFill>
                    </w:rPr>
                  </w:pPr>
                </w:p>
              </w:tc>
            </w:tr>
            <w:tr w14:paraId="6432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539" w:type="dxa"/>
                  <w:vMerge w:val="continue"/>
                  <w:vAlign w:val="center"/>
                </w:tcPr>
                <w:p w14:paraId="024D76D7">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c>
                <w:tcPr>
                  <w:tcW w:w="1132" w:type="dxa"/>
                  <w:vAlign w:val="center"/>
                </w:tcPr>
                <w:p w14:paraId="389176FF">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NOx</w:t>
                  </w:r>
                </w:p>
              </w:tc>
              <w:tc>
                <w:tcPr>
                  <w:tcW w:w="1271" w:type="dxa"/>
                  <w:vAlign w:val="center"/>
                </w:tcPr>
                <w:p w14:paraId="430BCAE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250</w:t>
                  </w:r>
                </w:p>
              </w:tc>
              <w:tc>
                <w:tcPr>
                  <w:tcW w:w="1836" w:type="dxa"/>
                  <w:vAlign w:val="center"/>
                </w:tcPr>
                <w:p w14:paraId="3DDBBEFE">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c>
                <w:tcPr>
                  <w:tcW w:w="689" w:type="dxa"/>
                  <w:vMerge w:val="continue"/>
                  <w:vAlign w:val="center"/>
                </w:tcPr>
                <w:p w14:paraId="28198F8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08" w:type="dxa"/>
                  <w:vMerge w:val="continue"/>
                  <w:vAlign w:val="center"/>
                </w:tcPr>
                <w:p w14:paraId="632AFA37">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r>
            <w:tr w14:paraId="2AD0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539" w:type="dxa"/>
                  <w:vMerge w:val="continue"/>
                  <w:vAlign w:val="center"/>
                </w:tcPr>
                <w:p w14:paraId="17D93ADF">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c>
                <w:tcPr>
                  <w:tcW w:w="1132" w:type="dxa"/>
                  <w:vAlign w:val="center"/>
                </w:tcPr>
                <w:p w14:paraId="37B3876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烟气黑度</w:t>
                  </w:r>
                </w:p>
              </w:tc>
              <w:tc>
                <w:tcPr>
                  <w:tcW w:w="1271" w:type="dxa"/>
                  <w:vAlign w:val="center"/>
                </w:tcPr>
                <w:p w14:paraId="5ADFF21E">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1</w:t>
                  </w:r>
                </w:p>
              </w:tc>
              <w:tc>
                <w:tcPr>
                  <w:tcW w:w="1836" w:type="dxa"/>
                  <w:vAlign w:val="center"/>
                </w:tcPr>
                <w:p w14:paraId="4CA1B0A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w:t>
                  </w:r>
                </w:p>
              </w:tc>
              <w:tc>
                <w:tcPr>
                  <w:tcW w:w="689" w:type="dxa"/>
                  <w:vMerge w:val="continue"/>
                  <w:vAlign w:val="center"/>
                </w:tcPr>
                <w:p w14:paraId="2B6846CE">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08" w:type="dxa"/>
                  <w:vMerge w:val="continue"/>
                  <w:vAlign w:val="center"/>
                </w:tcPr>
                <w:p w14:paraId="04C64576">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r>
            <w:tr w14:paraId="0769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539" w:type="dxa"/>
                  <w:vMerge w:val="restart"/>
                  <w:vAlign w:val="center"/>
                </w:tcPr>
                <w:p w14:paraId="1858CDB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DA003</w:t>
                  </w:r>
                </w:p>
              </w:tc>
              <w:tc>
                <w:tcPr>
                  <w:tcW w:w="1132" w:type="dxa"/>
                  <w:vAlign w:val="center"/>
                </w:tcPr>
                <w:p w14:paraId="16B902F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1271" w:type="dxa"/>
                  <w:vAlign w:val="center"/>
                </w:tcPr>
                <w:p w14:paraId="0EBED1E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120</w:t>
                  </w:r>
                </w:p>
              </w:tc>
              <w:tc>
                <w:tcPr>
                  <w:tcW w:w="1836" w:type="dxa"/>
                  <w:vAlign w:val="center"/>
                </w:tcPr>
                <w:p w14:paraId="285C3ED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w:t>
                  </w:r>
                </w:p>
              </w:tc>
              <w:tc>
                <w:tcPr>
                  <w:tcW w:w="689" w:type="dxa"/>
                  <w:vMerge w:val="restart"/>
                  <w:vAlign w:val="center"/>
                </w:tcPr>
                <w:p w14:paraId="6435D49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15m</w:t>
                  </w:r>
                </w:p>
              </w:tc>
              <w:tc>
                <w:tcPr>
                  <w:tcW w:w="1908" w:type="dxa"/>
                  <w:vMerge w:val="restart"/>
                  <w:vAlign w:val="center"/>
                </w:tcPr>
                <w:p w14:paraId="35307C4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《大气污染物综合排放标准》（GB16297-1996）</w:t>
                  </w:r>
                </w:p>
              </w:tc>
            </w:tr>
            <w:tr w14:paraId="1FDE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539" w:type="dxa"/>
                  <w:vMerge w:val="continue"/>
                  <w:vAlign w:val="center"/>
                </w:tcPr>
                <w:p w14:paraId="7CCC2A8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c>
                <w:tcPr>
                  <w:tcW w:w="1132" w:type="dxa"/>
                  <w:vAlign w:val="center"/>
                </w:tcPr>
                <w:p w14:paraId="33991316">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苯并[a]芘</w:t>
                  </w:r>
                </w:p>
              </w:tc>
              <w:tc>
                <w:tcPr>
                  <w:tcW w:w="1271" w:type="dxa"/>
                  <w:vAlign w:val="center"/>
                </w:tcPr>
                <w:p w14:paraId="0F9F127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3</w:t>
                  </w:r>
                  <w:r>
                    <w:rPr>
                      <w:rFonts w:hint="eastAsia" w:eastAsia="宋体" w:cs="Times New Roman"/>
                      <w:bCs/>
                      <w:color w:val="000000" w:themeColor="text1"/>
                      <w:sz w:val="21"/>
                      <w:szCs w:val="21"/>
                      <w:lang w:val="en-US" w:eastAsia="zh-CN"/>
                      <w14:textFill>
                        <w14:solidFill>
                          <w14:schemeClr w14:val="tx1"/>
                        </w14:solidFill>
                      </w14:textFill>
                    </w:rPr>
                    <w:t>0</w:t>
                  </w:r>
                  <w:r>
                    <w:rPr>
                      <w:rFonts w:hint="default" w:ascii="Arial" w:hAnsi="Arial" w:eastAsia="宋体" w:cs="Arial"/>
                      <w:bCs/>
                      <w:color w:val="000000" w:themeColor="text1"/>
                      <w:sz w:val="21"/>
                      <w:szCs w:val="21"/>
                      <w:lang w:val="en-US" w:eastAsia="zh-CN"/>
                      <w14:textFill>
                        <w14:solidFill>
                          <w14:schemeClr w14:val="tx1"/>
                        </w14:solidFill>
                      </w14:textFill>
                    </w:rPr>
                    <w:t>×</w:t>
                  </w:r>
                  <w:r>
                    <w:rPr>
                      <w:rFonts w:hint="eastAsia" w:eastAsia="宋体" w:cs="Times New Roman"/>
                      <w:bCs/>
                      <w:color w:val="000000" w:themeColor="text1"/>
                      <w:sz w:val="21"/>
                      <w:szCs w:val="21"/>
                      <w:lang w:val="en-US" w:eastAsia="zh-CN"/>
                      <w14:textFill>
                        <w14:solidFill>
                          <w14:schemeClr w14:val="tx1"/>
                        </w14:solidFill>
                      </w14:textFill>
                    </w:rPr>
                    <w:t>10</w:t>
                  </w:r>
                  <w:r>
                    <w:rPr>
                      <w:rFonts w:hint="eastAsia" w:eastAsia="宋体" w:cs="Times New Roman"/>
                      <w:bCs/>
                      <w:color w:val="000000" w:themeColor="text1"/>
                      <w:sz w:val="21"/>
                      <w:szCs w:val="21"/>
                      <w:vertAlign w:val="superscript"/>
                      <w:lang w:val="en-US" w:eastAsia="zh-CN"/>
                      <w14:textFill>
                        <w14:solidFill>
                          <w14:schemeClr w14:val="tx1"/>
                        </w14:solidFill>
                      </w14:textFill>
                    </w:rPr>
                    <w:t>-3</w:t>
                  </w:r>
                </w:p>
              </w:tc>
              <w:tc>
                <w:tcPr>
                  <w:tcW w:w="1836" w:type="dxa"/>
                  <w:vAlign w:val="center"/>
                </w:tcPr>
                <w:p w14:paraId="22D1C9B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0.050</w:t>
                  </w:r>
                  <w:r>
                    <w:rPr>
                      <w:rFonts w:hint="default" w:ascii="Arial" w:hAnsi="Arial" w:eastAsia="宋体" w:cs="Arial"/>
                      <w:bCs/>
                      <w:color w:val="000000" w:themeColor="text1"/>
                      <w:sz w:val="21"/>
                      <w:szCs w:val="21"/>
                      <w:lang w:val="en-US" w:eastAsia="zh-CN"/>
                      <w14:textFill>
                        <w14:solidFill>
                          <w14:schemeClr w14:val="tx1"/>
                        </w14:solidFill>
                      </w14:textFill>
                    </w:rPr>
                    <w:t>×</w:t>
                  </w:r>
                  <w:r>
                    <w:rPr>
                      <w:rFonts w:hint="eastAsia" w:eastAsia="宋体" w:cs="Times New Roman"/>
                      <w:bCs/>
                      <w:color w:val="000000" w:themeColor="text1"/>
                      <w:sz w:val="21"/>
                      <w:szCs w:val="21"/>
                      <w:lang w:val="en-US" w:eastAsia="zh-CN"/>
                      <w14:textFill>
                        <w14:solidFill>
                          <w14:schemeClr w14:val="tx1"/>
                        </w14:solidFill>
                      </w14:textFill>
                    </w:rPr>
                    <w:t>10</w:t>
                  </w:r>
                  <w:r>
                    <w:rPr>
                      <w:rFonts w:hint="eastAsia" w:eastAsia="宋体" w:cs="Times New Roman"/>
                      <w:bCs/>
                      <w:color w:val="000000" w:themeColor="text1"/>
                      <w:sz w:val="21"/>
                      <w:szCs w:val="21"/>
                      <w:vertAlign w:val="superscript"/>
                      <w:lang w:val="en-US" w:eastAsia="zh-CN"/>
                      <w14:textFill>
                        <w14:solidFill>
                          <w14:schemeClr w14:val="tx1"/>
                        </w14:solidFill>
                      </w14:textFill>
                    </w:rPr>
                    <w:t>-3</w:t>
                  </w:r>
                </w:p>
              </w:tc>
              <w:tc>
                <w:tcPr>
                  <w:tcW w:w="689" w:type="dxa"/>
                  <w:vMerge w:val="continue"/>
                  <w:vAlign w:val="center"/>
                </w:tcPr>
                <w:p w14:paraId="2569AF7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08" w:type="dxa"/>
                  <w:vMerge w:val="continue"/>
                  <w:vAlign w:val="center"/>
                </w:tcPr>
                <w:p w14:paraId="6913504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r>
            <w:tr w14:paraId="507F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539" w:type="dxa"/>
                  <w:vMerge w:val="continue"/>
                  <w:vAlign w:val="center"/>
                </w:tcPr>
                <w:p w14:paraId="05A0D2A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c>
                <w:tcPr>
                  <w:tcW w:w="1132" w:type="dxa"/>
                  <w:vAlign w:val="center"/>
                </w:tcPr>
                <w:p w14:paraId="5861E62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沥青烟</w:t>
                  </w:r>
                </w:p>
              </w:tc>
              <w:tc>
                <w:tcPr>
                  <w:tcW w:w="1271" w:type="dxa"/>
                  <w:vAlign w:val="center"/>
                </w:tcPr>
                <w:p w14:paraId="510470A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75</w:t>
                  </w:r>
                </w:p>
              </w:tc>
              <w:tc>
                <w:tcPr>
                  <w:tcW w:w="1836" w:type="dxa"/>
                  <w:vAlign w:val="center"/>
                </w:tcPr>
                <w:p w14:paraId="6AFE613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0.18</w:t>
                  </w:r>
                </w:p>
              </w:tc>
              <w:tc>
                <w:tcPr>
                  <w:tcW w:w="689" w:type="dxa"/>
                  <w:vMerge w:val="continue"/>
                  <w:vAlign w:val="center"/>
                </w:tcPr>
                <w:p w14:paraId="59BBDB19">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08" w:type="dxa"/>
                  <w:vMerge w:val="continue"/>
                  <w:vAlign w:val="center"/>
                </w:tcPr>
                <w:p w14:paraId="7D30B47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r>
            <w:tr w14:paraId="4632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539" w:type="dxa"/>
                  <w:vMerge w:val="continue"/>
                  <w:vAlign w:val="center"/>
                </w:tcPr>
                <w:p w14:paraId="3CB03D29">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c>
                <w:tcPr>
                  <w:tcW w:w="1132" w:type="dxa"/>
                  <w:vAlign w:val="center"/>
                </w:tcPr>
                <w:p w14:paraId="7CF8723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颗粒物</w:t>
                  </w:r>
                </w:p>
              </w:tc>
              <w:tc>
                <w:tcPr>
                  <w:tcW w:w="1271" w:type="dxa"/>
                  <w:vAlign w:val="center"/>
                </w:tcPr>
                <w:p w14:paraId="4094AFB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cs="Times New Roman"/>
                      <w:bCs/>
                      <w:color w:val="000000" w:themeColor="text1"/>
                      <w:sz w:val="21"/>
                      <w:szCs w:val="21"/>
                      <w:lang w:val="en-US" w:eastAsia="zh-CN"/>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1836" w:type="dxa"/>
                  <w:vAlign w:val="center"/>
                </w:tcPr>
                <w:p w14:paraId="2FEDED8F">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3.5</w:t>
                  </w:r>
                </w:p>
              </w:tc>
              <w:tc>
                <w:tcPr>
                  <w:tcW w:w="689" w:type="dxa"/>
                  <w:vMerge w:val="continue"/>
                  <w:vAlign w:val="center"/>
                </w:tcPr>
                <w:p w14:paraId="3EC3B46E">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1908" w:type="dxa"/>
                  <w:vMerge w:val="continue"/>
                  <w:vAlign w:val="center"/>
                </w:tcPr>
                <w:p w14:paraId="2919034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p>
              </w:tc>
            </w:tr>
            <w:tr w14:paraId="4AD0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7375" w:type="dxa"/>
                  <w:gridSpan w:val="6"/>
                  <w:vAlign w:val="center"/>
                </w:tcPr>
                <w:p w14:paraId="48F9A030">
                  <w:pPr>
                    <w:keepNext w:val="0"/>
                    <w:keepLines w:val="0"/>
                    <w:pageBreakBefore w:val="0"/>
                    <w:widowControl/>
                    <w:kinsoku/>
                    <w:wordWrap/>
                    <w:overflowPunct w:val="0"/>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color w:val="000000" w:themeColor="text1"/>
                      <w:spacing w:val="7"/>
                      <w:sz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备注：</w:t>
                  </w:r>
                  <w:r>
                    <w:rPr>
                      <w:rFonts w:hint="eastAsia" w:ascii="Times New Roman" w:hAnsi="Times New Roman" w:eastAsia="宋体" w:cs="Times New Roman"/>
                      <w:color w:val="000000" w:themeColor="text1"/>
                      <w:spacing w:val="7"/>
                      <w:sz w:val="21"/>
                      <w:lang w:val="en-US" w:eastAsia="zh-CN"/>
                      <w14:textFill>
                        <w14:solidFill>
                          <w14:schemeClr w14:val="tx1"/>
                        </w14:solidFill>
                      </w14:textFill>
                    </w:rPr>
                    <w:t>根据《大气污染物综合排放标准》（GB16297-1996）排气筒高度除应遵循表列排放速率标准值外，还应高出周围200m半径范围内的建筑5m以上，不能达到该要求的排气筒，应按其高度对应的表列排放速率标准值严50％执行。</w:t>
                  </w:r>
                </w:p>
                <w:p w14:paraId="1A929500">
                  <w:pPr>
                    <w:keepNext w:val="0"/>
                    <w:keepLines w:val="0"/>
                    <w:pageBreakBefore w:val="0"/>
                    <w:widowControl/>
                    <w:kinsoku/>
                    <w:wordWrap/>
                    <w:overflowPunct w:val="0"/>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000000" w:themeColor="text1"/>
                      <w:spacing w:val="7"/>
                      <w:sz w:val="21"/>
                      <w:lang w:val="en-US" w:eastAsia="zh-CN"/>
                      <w14:textFill>
                        <w14:solidFill>
                          <w14:schemeClr w14:val="tx1"/>
                        </w14:solidFill>
                      </w14:textFill>
                    </w:rPr>
                  </w:pPr>
                  <w:r>
                    <w:rPr>
                      <w:rFonts w:hint="eastAsia" w:cs="Times New Roman"/>
                      <w:color w:val="000000" w:themeColor="text1"/>
                      <w:spacing w:val="7"/>
                      <w:sz w:val="21"/>
                      <w:lang w:val="en-US" w:eastAsia="zh-CN"/>
                      <w14:textFill>
                        <w14:solidFill>
                          <w14:schemeClr w14:val="tx1"/>
                        </w14:solidFill>
                      </w14:textFill>
                    </w:rPr>
                    <w:t>根据《锅炉大气污染物排放标准》（GB13271-2014），燃气锅炉烟囱不低于8m”，新建锅炉房的烟囱周围半径200m距离内有建筑物时，其烟囱应高出最高建筑物3m以上。</w:t>
                  </w:r>
                </w:p>
              </w:tc>
            </w:tr>
          </w:tbl>
          <w:p w14:paraId="7B7538AC">
            <w:pPr>
              <w:keepNext w:val="0"/>
              <w:keepLines w:val="0"/>
              <w:pageBreakBefore w:val="0"/>
              <w:widowControl w:val="0"/>
              <w:tabs>
                <w:tab w:val="left" w:pos="1760"/>
                <w:tab w:val="center" w:pos="3647"/>
              </w:tabs>
              <w:kinsoku/>
              <w:wordWrap/>
              <w:overflowPunct/>
              <w:topLinePunct w:val="0"/>
              <w:autoSpaceDE/>
              <w:autoSpaceDN/>
              <w:bidi w:val="0"/>
              <w:adjustRightInd/>
              <w:snapToGrid w:val="0"/>
              <w:spacing w:before="157" w:beforeLines="50"/>
              <w:ind w:firstLine="480"/>
              <w:textAlignment w:val="auto"/>
              <w:rPr>
                <w:rFonts w:hint="eastAsia" w:ascii="Calibri" w:hAnsi="Calibri" w:eastAsia="宋体" w:cs="Calibri"/>
                <w:color w:val="auto"/>
                <w:kern w:val="0"/>
                <w:lang w:val="en-US" w:eastAsia="zh-CN"/>
              </w:rPr>
            </w:pPr>
            <w:r>
              <w:rPr>
                <w:rFonts w:hint="default" w:ascii="Times New Roman" w:hAnsi="Times New Roman" w:eastAsia="宋体" w:cs="Times New Roman"/>
                <w:color w:val="auto"/>
                <w:kern w:val="0"/>
                <w:lang w:val="en-US" w:eastAsia="zh-CN"/>
              </w:rPr>
              <w:t>②</w:t>
            </w:r>
            <w:r>
              <w:rPr>
                <w:rFonts w:hint="eastAsia" w:ascii="Calibri" w:hAnsi="Calibri" w:eastAsia="宋体" w:cs="Calibri"/>
                <w:color w:val="auto"/>
                <w:kern w:val="0"/>
                <w:lang w:val="en-US" w:eastAsia="zh-CN"/>
              </w:rPr>
              <w:t>无组织</w:t>
            </w:r>
          </w:p>
          <w:p w14:paraId="5291A53F">
            <w:pPr>
              <w:keepNext w:val="0"/>
              <w:keepLines w:val="0"/>
              <w:pageBreakBefore w:val="0"/>
              <w:widowControl w:val="0"/>
              <w:tabs>
                <w:tab w:val="left" w:pos="1760"/>
                <w:tab w:val="center" w:pos="3647"/>
              </w:tabs>
              <w:kinsoku/>
              <w:wordWrap/>
              <w:overflowPunct/>
              <w:topLinePunct w:val="0"/>
              <w:autoSpaceDE/>
              <w:autoSpaceDN/>
              <w:bidi w:val="0"/>
              <w:adjustRightInd/>
              <w:snapToGrid w:val="0"/>
              <w:ind w:firstLine="480"/>
              <w:textAlignment w:val="auto"/>
              <w:rPr>
                <w:rFonts w:hint="eastAsia"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auto"/>
                <w:kern w:val="0"/>
                <w:lang w:val="en-US" w:eastAsia="zh-CN"/>
              </w:rPr>
              <w:t>无组织排放</w:t>
            </w:r>
            <w:r>
              <w:rPr>
                <w:rFonts w:hint="eastAsia" w:eastAsia="宋体" w:cs="Times New Roman"/>
                <w:color w:val="000000" w:themeColor="text1"/>
                <w:sz w:val="24"/>
                <w:lang w:val="en-US" w:eastAsia="zh-CN"/>
                <w14:textFill>
                  <w14:solidFill>
                    <w14:schemeClr w14:val="tx1"/>
                  </w14:solidFill>
                </w14:textFill>
              </w:rPr>
              <w:t>执行</w:t>
            </w:r>
            <w:r>
              <w:rPr>
                <w:rFonts w:ascii="Times New Roman" w:hAnsi="Times New Roman" w:eastAsia="宋体" w:cs="Times New Roman"/>
                <w:color w:val="000000" w:themeColor="text1"/>
                <w:sz w:val="24"/>
                <w14:textFill>
                  <w14:solidFill>
                    <w14:schemeClr w14:val="tx1"/>
                  </w14:solidFill>
                </w14:textFill>
              </w:rPr>
              <w:t>《大气污染物综合排放标准》（GB16297-1996）表2中二级排放标准限值</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具体详见下表3-</w:t>
            </w:r>
            <w:r>
              <w:rPr>
                <w:rFonts w:hint="eastAsia" w:cs="Times New Roman"/>
                <w:color w:val="000000" w:themeColor="text1"/>
                <w:sz w:val="24"/>
                <w:lang w:val="en-US" w:eastAsia="zh-CN"/>
                <w14:textFill>
                  <w14:solidFill>
                    <w14:schemeClr w14:val="tx1"/>
                  </w14:solidFill>
                </w14:textFill>
              </w:rPr>
              <w:t>6</w:t>
            </w:r>
            <w:r>
              <w:rPr>
                <w:rFonts w:hint="eastAsia" w:eastAsia="宋体" w:cs="Times New Roman"/>
                <w:color w:val="000000" w:themeColor="text1"/>
                <w:sz w:val="24"/>
                <w:lang w:val="en-US" w:eastAsia="zh-CN"/>
                <w14:textFill>
                  <w14:solidFill>
                    <w14:schemeClr w14:val="tx1"/>
                  </w14:solidFill>
                </w14:textFill>
              </w:rPr>
              <w:t>。</w:t>
            </w:r>
          </w:p>
          <w:p w14:paraId="48A4D7BF">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表3-</w:t>
            </w:r>
            <w:r>
              <w:rPr>
                <w:rFonts w:hint="eastAsia" w:ascii="Times New Roman" w:hAnsi="Times New Roman" w:cs="Times New Roman"/>
                <w:b/>
                <w:color w:val="auto"/>
                <w:kern w:val="2"/>
                <w:sz w:val="21"/>
                <w:szCs w:val="21"/>
                <w:lang w:val="en-US" w:eastAsia="zh-CN" w:bidi="ar-SA"/>
              </w:rPr>
              <w:t>6</w:t>
            </w:r>
            <w:r>
              <w:rPr>
                <w:rFonts w:hint="eastAsia" w:ascii="Times New Roman" w:hAnsi="Times New Roman" w:eastAsia="宋体" w:cs="Times New Roman"/>
                <w:b/>
                <w:color w:val="auto"/>
                <w:kern w:val="2"/>
                <w:sz w:val="21"/>
                <w:szCs w:val="21"/>
                <w:lang w:val="en-US" w:eastAsia="zh-CN" w:bidi="ar-SA"/>
              </w:rPr>
              <w:t xml:space="preserve">  无组织排放标准限值一览表</w:t>
            </w:r>
          </w:p>
          <w:tbl>
            <w:tblPr>
              <w:tblStyle w:val="15"/>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056"/>
              <w:gridCol w:w="2525"/>
              <w:gridCol w:w="2321"/>
            </w:tblGrid>
            <w:tr w14:paraId="7A05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90" w:type="dxa"/>
                  <w:vAlign w:val="center"/>
                </w:tcPr>
                <w:p w14:paraId="109CD3C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污染物</w:t>
                  </w:r>
                </w:p>
              </w:tc>
              <w:tc>
                <w:tcPr>
                  <w:tcW w:w="1056" w:type="dxa"/>
                  <w:vAlign w:val="center"/>
                </w:tcPr>
                <w:p w14:paraId="7148F66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监控点</w:t>
                  </w:r>
                </w:p>
              </w:tc>
              <w:tc>
                <w:tcPr>
                  <w:tcW w:w="2525" w:type="dxa"/>
                  <w:vAlign w:val="center"/>
                </w:tcPr>
                <w:p w14:paraId="318127C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无组织排放监控浓度限值浓度（mg/m</w:t>
                  </w:r>
                  <w:r>
                    <w:rPr>
                      <w:rFonts w:hint="eastAsia" w:ascii="Times New Roman" w:hAnsi="Times New Roman" w:eastAsia="宋体" w:cs="Times New Roman"/>
                      <w:b/>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b/>
                      <w:color w:val="000000" w:themeColor="text1"/>
                      <w:sz w:val="21"/>
                      <w:szCs w:val="21"/>
                      <w14:textFill>
                        <w14:solidFill>
                          <w14:schemeClr w14:val="tx1"/>
                        </w14:solidFill>
                      </w14:textFill>
                    </w:rPr>
                    <w:t>）</w:t>
                  </w:r>
                </w:p>
              </w:tc>
              <w:tc>
                <w:tcPr>
                  <w:tcW w:w="2321" w:type="dxa"/>
                  <w:vAlign w:val="center"/>
                </w:tcPr>
                <w:p w14:paraId="163B15A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执行标准</w:t>
                  </w:r>
                </w:p>
              </w:tc>
            </w:tr>
            <w:tr w14:paraId="75A4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90" w:type="dxa"/>
                  <w:vAlign w:val="center"/>
                </w:tcPr>
                <w:p w14:paraId="3901B5C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bCs/>
                      <w:color w:val="000000" w:themeColor="text1"/>
                      <w:sz w:val="21"/>
                      <w:szCs w:val="21"/>
                      <w14:textFill>
                        <w14:solidFill>
                          <w14:schemeClr w14:val="tx1"/>
                        </w14:solidFill>
                      </w14:textFill>
                    </w:rPr>
                    <w:t>颗粒物</w:t>
                  </w:r>
                </w:p>
              </w:tc>
              <w:tc>
                <w:tcPr>
                  <w:tcW w:w="1056" w:type="dxa"/>
                  <w:vMerge w:val="restart"/>
                  <w:vAlign w:val="center"/>
                </w:tcPr>
                <w:p w14:paraId="613CF03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周界外浓度最高点</w:t>
                  </w:r>
                </w:p>
              </w:tc>
              <w:tc>
                <w:tcPr>
                  <w:tcW w:w="2525" w:type="dxa"/>
                  <w:vAlign w:val="center"/>
                </w:tcPr>
                <w:p w14:paraId="288AA48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w:t>
                  </w:r>
                </w:p>
              </w:tc>
              <w:tc>
                <w:tcPr>
                  <w:tcW w:w="2321" w:type="dxa"/>
                  <w:vMerge w:val="restart"/>
                  <w:vAlign w:val="center"/>
                </w:tcPr>
                <w:p w14:paraId="4E6D468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bCs/>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《大气污染物综合排放标准》（GB16297-1996）</w:t>
                  </w:r>
                </w:p>
              </w:tc>
            </w:tr>
            <w:tr w14:paraId="0261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90" w:type="dxa"/>
                  <w:vAlign w:val="center"/>
                </w:tcPr>
                <w:p w14:paraId="5355911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非甲烷总烃</w:t>
                  </w:r>
                </w:p>
              </w:tc>
              <w:tc>
                <w:tcPr>
                  <w:tcW w:w="1056" w:type="dxa"/>
                  <w:vMerge w:val="continue"/>
                  <w:vAlign w:val="center"/>
                </w:tcPr>
                <w:p w14:paraId="15E7F809">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525" w:type="dxa"/>
                  <w:vAlign w:val="center"/>
                </w:tcPr>
                <w:p w14:paraId="1FEA7C6E">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4.0</w:t>
                  </w:r>
                </w:p>
              </w:tc>
              <w:tc>
                <w:tcPr>
                  <w:tcW w:w="2321" w:type="dxa"/>
                  <w:vMerge w:val="continue"/>
                  <w:vAlign w:val="center"/>
                </w:tcPr>
                <w:p w14:paraId="596E4E4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6664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90" w:type="dxa"/>
                  <w:vAlign w:val="center"/>
                </w:tcPr>
                <w:p w14:paraId="3D0E223F">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苯并[a]芘</w:t>
                  </w:r>
                </w:p>
              </w:tc>
              <w:tc>
                <w:tcPr>
                  <w:tcW w:w="1056" w:type="dxa"/>
                  <w:vMerge w:val="continue"/>
                  <w:vAlign w:val="center"/>
                </w:tcPr>
                <w:p w14:paraId="6C8F1C6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525" w:type="dxa"/>
                  <w:vAlign w:val="center"/>
                </w:tcPr>
                <w:p w14:paraId="36EA352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0.008</w:t>
                  </w:r>
                  <w:r>
                    <w:rPr>
                      <w:rFonts w:hint="default" w:ascii="Arial" w:hAnsi="Arial" w:eastAsia="宋体" w:cs="Arial"/>
                      <w:bCs/>
                      <w:color w:val="000000" w:themeColor="text1"/>
                      <w:sz w:val="21"/>
                      <w:szCs w:val="21"/>
                      <w:lang w:val="en-US" w:eastAsia="zh-CN"/>
                      <w14:textFill>
                        <w14:solidFill>
                          <w14:schemeClr w14:val="tx1"/>
                        </w14:solidFill>
                      </w14:textFill>
                    </w:rPr>
                    <w:t>×</w:t>
                  </w:r>
                  <w:r>
                    <w:rPr>
                      <w:rFonts w:hint="eastAsia" w:eastAsia="宋体" w:cs="Times New Roman"/>
                      <w:bCs/>
                      <w:color w:val="000000" w:themeColor="text1"/>
                      <w:sz w:val="21"/>
                      <w:szCs w:val="21"/>
                      <w:lang w:val="en-US" w:eastAsia="zh-CN"/>
                      <w14:textFill>
                        <w14:solidFill>
                          <w14:schemeClr w14:val="tx1"/>
                        </w14:solidFill>
                      </w14:textFill>
                    </w:rPr>
                    <w:t>10</w:t>
                  </w:r>
                  <w:r>
                    <w:rPr>
                      <w:rFonts w:hint="eastAsia" w:eastAsia="宋体" w:cs="Times New Roman"/>
                      <w:bCs/>
                      <w:color w:val="000000" w:themeColor="text1"/>
                      <w:sz w:val="21"/>
                      <w:szCs w:val="21"/>
                      <w:vertAlign w:val="superscript"/>
                      <w:lang w:val="en-US" w:eastAsia="zh-CN"/>
                      <w14:textFill>
                        <w14:solidFill>
                          <w14:schemeClr w14:val="tx1"/>
                        </w14:solidFill>
                      </w14:textFill>
                    </w:rPr>
                    <w:t>-3</w:t>
                  </w:r>
                </w:p>
              </w:tc>
              <w:tc>
                <w:tcPr>
                  <w:tcW w:w="2321" w:type="dxa"/>
                  <w:vMerge w:val="continue"/>
                  <w:vAlign w:val="center"/>
                </w:tcPr>
                <w:p w14:paraId="236D0CA9">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1490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90" w:type="dxa"/>
                  <w:vAlign w:val="center"/>
                </w:tcPr>
                <w:p w14:paraId="12BA9B4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沥青烟</w:t>
                  </w:r>
                </w:p>
              </w:tc>
              <w:tc>
                <w:tcPr>
                  <w:tcW w:w="1056" w:type="dxa"/>
                  <w:vMerge w:val="continue"/>
                  <w:vAlign w:val="center"/>
                </w:tcPr>
                <w:p w14:paraId="195C30B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2525" w:type="dxa"/>
                  <w:vAlign w:val="center"/>
                </w:tcPr>
                <w:p w14:paraId="523F109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生产设备不得有明显的无组织排放存在</w:t>
                  </w:r>
                </w:p>
              </w:tc>
              <w:tc>
                <w:tcPr>
                  <w:tcW w:w="2321" w:type="dxa"/>
                  <w:vMerge w:val="continue"/>
                  <w:vAlign w:val="center"/>
                </w:tcPr>
                <w:p w14:paraId="37D22F2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ascii="Times New Roman" w:hAnsi="Times New Roman" w:eastAsia="宋体" w:cs="Times New Roman"/>
                      <w:color w:val="000000" w:themeColor="text1"/>
                      <w:sz w:val="21"/>
                      <w:szCs w:val="21"/>
                      <w14:textFill>
                        <w14:solidFill>
                          <w14:schemeClr w14:val="tx1"/>
                        </w14:solidFill>
                      </w14:textFill>
                    </w:rPr>
                  </w:pPr>
                </w:p>
              </w:tc>
            </w:tr>
            <w:tr w14:paraId="27E2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192" w:type="dxa"/>
                  <w:gridSpan w:val="4"/>
                  <w:vAlign w:val="center"/>
                </w:tcPr>
                <w:p w14:paraId="0D6995B8">
                  <w:pPr>
                    <w:keepNext w:val="0"/>
                    <w:keepLines w:val="0"/>
                    <w:pageBreakBefore w:val="0"/>
                    <w:widowControl/>
                    <w:kinsoku/>
                    <w:wordWrap/>
                    <w:overflowPunct w:val="0"/>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备注：周界外浓度最高点一般应设置於无组织排放源下风向的单位周界外10m范围。</w:t>
                  </w:r>
                </w:p>
              </w:tc>
            </w:tr>
          </w:tbl>
          <w:p w14:paraId="107CD8C7">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二</w:t>
            </w:r>
            <w:r>
              <w:rPr>
                <w:rFonts w:hint="default" w:ascii="Times New Roman" w:hAnsi="Times New Roman" w:eastAsia="宋体" w:cs="Times New Roman"/>
                <w:b/>
                <w:bCs/>
                <w:color w:val="auto"/>
                <w:szCs w:val="21"/>
              </w:rPr>
              <w:t>、环境噪声排放标准</w:t>
            </w:r>
          </w:p>
          <w:p w14:paraId="7585CB29">
            <w:pPr>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）施工期</w:t>
            </w:r>
          </w:p>
          <w:p w14:paraId="5B106F52">
            <w:pPr>
              <w:ind w:firstLine="480"/>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项目</w:t>
            </w:r>
            <w:r>
              <w:rPr>
                <w:rFonts w:hint="default" w:ascii="Times New Roman" w:hAnsi="Times New Roman" w:eastAsia="宋体" w:cs="Times New Roman"/>
                <w:color w:val="auto"/>
              </w:rPr>
              <w:t>施工期噪声执行《建筑施工场界</w:t>
            </w:r>
            <w:r>
              <w:rPr>
                <w:rFonts w:hint="eastAsia" w:ascii="Times New Roman" w:hAnsi="Times New Roman" w:eastAsia="宋体" w:cs="Times New Roman"/>
                <w:color w:val="auto"/>
              </w:rPr>
              <w:t>环境</w:t>
            </w:r>
            <w:r>
              <w:rPr>
                <w:rFonts w:hint="default" w:ascii="Times New Roman" w:hAnsi="Times New Roman" w:eastAsia="宋体" w:cs="Times New Roman"/>
                <w:color w:val="auto"/>
              </w:rPr>
              <w:t>噪声</w:t>
            </w:r>
            <w:r>
              <w:rPr>
                <w:rFonts w:hint="eastAsia" w:ascii="Times New Roman" w:hAnsi="Times New Roman" w:eastAsia="宋体" w:cs="Times New Roman"/>
                <w:color w:val="auto"/>
              </w:rPr>
              <w:t>排放</w:t>
            </w:r>
            <w:r>
              <w:rPr>
                <w:rFonts w:hint="default" w:ascii="Times New Roman" w:hAnsi="Times New Roman" w:eastAsia="宋体" w:cs="Times New Roman"/>
                <w:color w:val="auto"/>
              </w:rPr>
              <w:t>标准》（GB12523-</w:t>
            </w:r>
            <w:r>
              <w:rPr>
                <w:rFonts w:hint="eastAsia" w:ascii="Times New Roman" w:hAnsi="Times New Roman" w:eastAsia="宋体" w:cs="Times New Roman"/>
                <w:color w:val="auto"/>
              </w:rPr>
              <w:t>2011</w:t>
            </w:r>
            <w:r>
              <w:rPr>
                <w:rFonts w:hint="default" w:ascii="Times New Roman" w:hAnsi="Times New Roman" w:eastAsia="宋体" w:cs="Times New Roman"/>
                <w:color w:val="auto"/>
              </w:rPr>
              <w:t>）噪声限值</w:t>
            </w:r>
            <w:r>
              <w:rPr>
                <w:rFonts w:hint="eastAsia" w:ascii="Times New Roman" w:hAnsi="Times New Roman" w:eastAsia="宋体" w:cs="Times New Roman"/>
                <w:color w:val="auto"/>
                <w:lang w:eastAsia="zh-CN"/>
              </w:rPr>
              <w:t>，标准</w:t>
            </w:r>
            <w:r>
              <w:rPr>
                <w:rFonts w:hint="eastAsia" w:ascii="Times New Roman" w:hAnsi="Times New Roman" w:eastAsia="宋体" w:cs="Times New Roman"/>
                <w:color w:val="auto"/>
                <w:lang w:val="en-US" w:eastAsia="zh-CN"/>
              </w:rPr>
              <w:t>限</w:t>
            </w:r>
            <w:r>
              <w:rPr>
                <w:rFonts w:hint="eastAsia" w:ascii="Times New Roman" w:hAnsi="Times New Roman" w:eastAsia="宋体" w:cs="Times New Roman"/>
                <w:color w:val="auto"/>
                <w:lang w:eastAsia="zh-CN"/>
              </w:rPr>
              <w:t>值</w:t>
            </w:r>
            <w:r>
              <w:rPr>
                <w:rFonts w:hint="eastAsia" w:ascii="Times New Roman" w:hAnsi="Times New Roman" w:eastAsia="宋体" w:cs="Times New Roman"/>
                <w:color w:val="auto"/>
                <w:lang w:val="en-US" w:eastAsia="zh-CN"/>
              </w:rPr>
              <w:t>详</w:t>
            </w:r>
            <w:r>
              <w:rPr>
                <w:rFonts w:hint="default" w:ascii="Times New Roman" w:hAnsi="Times New Roman" w:eastAsia="宋体" w:cs="Times New Roman"/>
                <w:color w:val="auto"/>
              </w:rPr>
              <w:t>见</w:t>
            </w:r>
            <w:r>
              <w:rPr>
                <w:rFonts w:hint="eastAsia" w:ascii="Times New Roman" w:hAnsi="Times New Roman" w:eastAsia="宋体" w:cs="Times New Roman"/>
                <w:color w:val="auto"/>
                <w:lang w:val="en-US" w:eastAsia="zh-CN"/>
              </w:rPr>
              <w:t>下</w:t>
            </w:r>
            <w:r>
              <w:rPr>
                <w:rFonts w:hint="default" w:ascii="Times New Roman" w:hAnsi="Times New Roman" w:eastAsia="宋体" w:cs="Times New Roman"/>
                <w:color w:val="auto"/>
              </w:rPr>
              <w:t>表</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7</w:t>
            </w:r>
            <w:r>
              <w:rPr>
                <w:rFonts w:hint="default" w:ascii="Times New Roman" w:hAnsi="Times New Roman" w:eastAsia="宋体" w:cs="Times New Roman"/>
                <w:color w:val="auto"/>
              </w:rPr>
              <w:t>。</w:t>
            </w:r>
          </w:p>
          <w:p w14:paraId="21F8C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b/>
                <w:bCs/>
                <w:color w:val="000000"/>
                <w:sz w:val="21"/>
                <w:szCs w:val="21"/>
              </w:rPr>
            </w:pPr>
            <w:r>
              <w:rPr>
                <w:rFonts w:hint="eastAsia"/>
                <w:b/>
                <w:bCs/>
                <w:color w:val="000000"/>
                <w:sz w:val="21"/>
                <w:szCs w:val="21"/>
              </w:rPr>
              <w:t>表</w:t>
            </w:r>
            <w:r>
              <w:rPr>
                <w:rFonts w:hint="eastAsia"/>
                <w:b/>
                <w:bCs/>
                <w:color w:val="000000"/>
                <w:sz w:val="21"/>
                <w:szCs w:val="21"/>
                <w:lang w:val="en-US" w:eastAsia="zh-CN"/>
              </w:rPr>
              <w:t>3</w:t>
            </w:r>
            <w:r>
              <w:rPr>
                <w:rFonts w:hint="eastAsia"/>
                <w:b/>
                <w:bCs/>
                <w:color w:val="000000"/>
                <w:sz w:val="21"/>
                <w:szCs w:val="21"/>
              </w:rPr>
              <w:t>-</w:t>
            </w:r>
            <w:r>
              <w:rPr>
                <w:rFonts w:hint="eastAsia"/>
                <w:b/>
                <w:bCs/>
                <w:color w:val="000000"/>
                <w:sz w:val="21"/>
                <w:szCs w:val="21"/>
                <w:lang w:val="en-US" w:eastAsia="zh-CN"/>
              </w:rPr>
              <w:t>7</w:t>
            </w:r>
            <w:r>
              <w:rPr>
                <w:rFonts w:hint="eastAsia"/>
                <w:b/>
                <w:bCs/>
                <w:color w:val="000000"/>
                <w:sz w:val="21"/>
                <w:szCs w:val="21"/>
              </w:rPr>
              <w:t xml:space="preserve"> </w:t>
            </w:r>
            <w:r>
              <w:rPr>
                <w:rFonts w:hint="eastAsia"/>
                <w:b/>
                <w:bCs/>
                <w:color w:val="000000"/>
                <w:sz w:val="21"/>
                <w:szCs w:val="21"/>
                <w:lang w:val="en-US" w:eastAsia="zh-CN"/>
              </w:rPr>
              <w:t xml:space="preserve"> </w:t>
            </w:r>
            <w:r>
              <w:rPr>
                <w:rFonts w:hint="eastAsia"/>
                <w:b/>
                <w:bCs/>
                <w:color w:val="000000"/>
                <w:sz w:val="21"/>
                <w:szCs w:val="21"/>
              </w:rPr>
              <w:t>建筑施工场界环境噪声排放标准</w:t>
            </w:r>
            <w:r>
              <w:rPr>
                <w:rFonts w:hint="eastAsia"/>
                <w:b/>
                <w:bCs/>
                <w:color w:val="000000"/>
                <w:sz w:val="21"/>
                <w:szCs w:val="21"/>
                <w:lang w:eastAsia="zh-CN"/>
              </w:rPr>
              <w:t>限值</w:t>
            </w:r>
            <w:r>
              <w:rPr>
                <w:rFonts w:hint="eastAsia"/>
                <w:b/>
                <w:bCs/>
                <w:color w:val="000000"/>
                <w:sz w:val="21"/>
                <w:szCs w:val="21"/>
              </w:rPr>
              <w:t xml:space="preserve"> </w:t>
            </w:r>
            <w:r>
              <w:rPr>
                <w:rFonts w:hint="eastAsia"/>
                <w:b/>
                <w:bCs/>
                <w:color w:val="000000"/>
                <w:sz w:val="21"/>
                <w:szCs w:val="21"/>
                <w:lang w:val="en-US" w:eastAsia="zh-CN"/>
              </w:rPr>
              <w:t xml:space="preserve"> </w:t>
            </w:r>
            <w:r>
              <w:rPr>
                <w:rFonts w:hint="eastAsia"/>
                <w:b/>
                <w:bCs/>
                <w:color w:val="000000"/>
                <w:sz w:val="21"/>
                <w:szCs w:val="21"/>
              </w:rPr>
              <w:t>单位：dB（A）</w:t>
            </w:r>
          </w:p>
          <w:tbl>
            <w:tblPr>
              <w:tblStyle w:val="15"/>
              <w:tblW w:w="49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76"/>
              <w:gridCol w:w="3576"/>
            </w:tblGrid>
            <w:tr w14:paraId="384B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 w:hRule="exact"/>
                <w:jc w:val="center"/>
              </w:trPr>
              <w:tc>
                <w:tcPr>
                  <w:tcW w:w="5000" w:type="pct"/>
                  <w:gridSpan w:val="2"/>
                  <w:noWrap w:val="0"/>
                  <w:vAlign w:val="center"/>
                </w:tcPr>
                <w:p w14:paraId="3557B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时段</w:t>
                  </w:r>
                </w:p>
              </w:tc>
            </w:tr>
            <w:tr w14:paraId="1835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7" w:hRule="exact"/>
                <w:jc w:val="center"/>
              </w:trPr>
              <w:tc>
                <w:tcPr>
                  <w:tcW w:w="2500" w:type="pct"/>
                  <w:noWrap w:val="0"/>
                  <w:vAlign w:val="center"/>
                </w:tcPr>
                <w:p w14:paraId="7E3A29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昼间</w:t>
                  </w:r>
                </w:p>
                <w:p w14:paraId="56533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000000"/>
                      <w:sz w:val="21"/>
                      <w:szCs w:val="21"/>
                    </w:rPr>
                  </w:pPr>
                </w:p>
              </w:tc>
              <w:tc>
                <w:tcPr>
                  <w:tcW w:w="2500" w:type="pct"/>
                  <w:noWrap w:val="0"/>
                  <w:vAlign w:val="center"/>
                </w:tcPr>
                <w:p w14:paraId="290AD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夜间</w:t>
                  </w:r>
                </w:p>
              </w:tc>
            </w:tr>
            <w:tr w14:paraId="11B2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0" w:hRule="exact"/>
                <w:jc w:val="center"/>
              </w:trPr>
              <w:tc>
                <w:tcPr>
                  <w:tcW w:w="2500" w:type="pct"/>
                  <w:noWrap w:val="0"/>
                  <w:vAlign w:val="center"/>
                </w:tcPr>
                <w:p w14:paraId="46316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70</w:t>
                  </w:r>
                </w:p>
              </w:tc>
              <w:tc>
                <w:tcPr>
                  <w:tcW w:w="2500" w:type="pct"/>
                  <w:noWrap w:val="0"/>
                  <w:vAlign w:val="center"/>
                </w:tcPr>
                <w:p w14:paraId="7E97DD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55</w:t>
                  </w:r>
                </w:p>
              </w:tc>
            </w:tr>
          </w:tbl>
          <w:p w14:paraId="34C52697">
            <w:pPr>
              <w:keepNext w:val="0"/>
              <w:keepLines w:val="0"/>
              <w:pageBreakBefore w:val="0"/>
              <w:widowControl w:val="0"/>
              <w:kinsoku/>
              <w:wordWrap/>
              <w:overflowPunct/>
              <w:topLinePunct w:val="0"/>
              <w:autoSpaceDE/>
              <w:autoSpaceDN/>
              <w:bidi w:val="0"/>
              <w:adjustRightInd/>
              <w:snapToGrid/>
              <w:spacing w:before="157" w:beforeLines="50"/>
              <w:ind w:firstLine="48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）运营期</w:t>
            </w:r>
          </w:p>
          <w:p w14:paraId="587070BA">
            <w:pPr>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项目运营期间厂界噪声执行《工业企业厂界环境噪声排放标准》（GB12348-2008）</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rPr>
              <w:t>类标准</w:t>
            </w:r>
            <w:r>
              <w:rPr>
                <w:rFonts w:hint="eastAsia" w:cs="Times New Roman"/>
                <w:color w:val="auto"/>
                <w:lang w:eastAsia="zh-CN"/>
              </w:rPr>
              <w:t>。</w:t>
            </w:r>
          </w:p>
          <w:p w14:paraId="3F324B2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 xml:space="preserve">8  </w:t>
            </w:r>
            <w:r>
              <w:rPr>
                <w:rFonts w:hint="default" w:ascii="Times New Roman" w:hAnsi="Times New Roman" w:eastAsia="宋体" w:cs="Times New Roman"/>
                <w:b/>
                <w:bCs/>
                <w:color w:val="auto"/>
                <w:sz w:val="21"/>
                <w:szCs w:val="21"/>
              </w:rPr>
              <w:t>工业企业厂界环境噪声排放标准</w:t>
            </w:r>
          </w:p>
          <w:tbl>
            <w:tblPr>
              <w:tblStyle w:val="15"/>
              <w:tblW w:w="745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31"/>
              <w:gridCol w:w="2771"/>
              <w:gridCol w:w="1714"/>
              <w:gridCol w:w="1743"/>
            </w:tblGrid>
            <w:tr w14:paraId="385439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1231" w:type="dxa"/>
                  <w:vMerge w:val="restart"/>
                  <w:tcBorders>
                    <w:top w:val="single" w:color="auto" w:sz="2" w:space="0"/>
                    <w:left w:val="single" w:color="auto" w:sz="2" w:space="0"/>
                    <w:right w:val="single" w:color="auto" w:sz="4" w:space="0"/>
                  </w:tcBorders>
                  <w:noWrap w:val="0"/>
                  <w:vAlign w:val="center"/>
                </w:tcPr>
                <w:p w14:paraId="0C4B2F07">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771" w:type="dxa"/>
                  <w:vMerge w:val="restart"/>
                  <w:tcBorders>
                    <w:top w:val="single" w:color="auto" w:sz="2" w:space="0"/>
                    <w:left w:val="single" w:color="auto" w:sz="4" w:space="0"/>
                    <w:right w:val="single" w:color="auto" w:sz="2" w:space="0"/>
                  </w:tcBorders>
                  <w:noWrap w:val="0"/>
                  <w:vAlign w:val="center"/>
                </w:tcPr>
                <w:p w14:paraId="1CE6DE2D">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适用区域</w:t>
                  </w:r>
                </w:p>
              </w:tc>
              <w:tc>
                <w:tcPr>
                  <w:tcW w:w="3457" w:type="dxa"/>
                  <w:gridSpan w:val="2"/>
                  <w:tcBorders>
                    <w:top w:val="single" w:color="auto" w:sz="2" w:space="0"/>
                    <w:left w:val="single" w:color="auto" w:sz="2" w:space="0"/>
                    <w:bottom w:val="single" w:color="auto" w:sz="2" w:space="0"/>
                    <w:right w:val="single" w:color="auto" w:sz="2" w:space="0"/>
                  </w:tcBorders>
                  <w:noWrap w:val="0"/>
                  <w:vAlign w:val="center"/>
                </w:tcPr>
                <w:p w14:paraId="319280DE">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等效声级[dB(A)]</w:t>
                  </w:r>
                </w:p>
              </w:tc>
            </w:tr>
            <w:tr w14:paraId="121F2A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1231" w:type="dxa"/>
                  <w:vMerge w:val="continue"/>
                  <w:tcBorders>
                    <w:left w:val="single" w:color="auto" w:sz="2" w:space="0"/>
                    <w:bottom w:val="single" w:color="auto" w:sz="2" w:space="0"/>
                    <w:right w:val="single" w:color="auto" w:sz="4" w:space="0"/>
                  </w:tcBorders>
                  <w:noWrap w:val="0"/>
                  <w:vAlign w:val="center"/>
                </w:tcPr>
                <w:p w14:paraId="78E84E69">
                  <w:pPr>
                    <w:widowControl/>
                    <w:spacing w:line="240" w:lineRule="auto"/>
                    <w:ind w:firstLine="0" w:firstLineChars="0"/>
                    <w:jc w:val="center"/>
                    <w:rPr>
                      <w:rFonts w:hint="default" w:ascii="Times New Roman" w:hAnsi="Times New Roman" w:eastAsia="宋体" w:cs="Times New Roman"/>
                      <w:b/>
                      <w:bCs/>
                      <w:color w:val="auto"/>
                      <w:sz w:val="21"/>
                      <w:szCs w:val="21"/>
                    </w:rPr>
                  </w:pPr>
                </w:p>
              </w:tc>
              <w:tc>
                <w:tcPr>
                  <w:tcW w:w="2771" w:type="dxa"/>
                  <w:vMerge w:val="continue"/>
                  <w:tcBorders>
                    <w:left w:val="single" w:color="auto" w:sz="4" w:space="0"/>
                    <w:bottom w:val="single" w:color="auto" w:sz="2" w:space="0"/>
                    <w:right w:val="single" w:color="auto" w:sz="2" w:space="0"/>
                  </w:tcBorders>
                  <w:noWrap w:val="0"/>
                  <w:vAlign w:val="center"/>
                </w:tcPr>
                <w:p w14:paraId="7CC16C90">
                  <w:pPr>
                    <w:widowControl/>
                    <w:spacing w:line="240" w:lineRule="auto"/>
                    <w:ind w:firstLine="0" w:firstLineChars="0"/>
                    <w:jc w:val="center"/>
                    <w:rPr>
                      <w:rFonts w:hint="default" w:ascii="Times New Roman" w:hAnsi="Times New Roman" w:eastAsia="宋体" w:cs="Times New Roman"/>
                      <w:b/>
                      <w:bCs/>
                      <w:color w:val="auto"/>
                      <w:sz w:val="21"/>
                      <w:szCs w:val="21"/>
                    </w:rPr>
                  </w:pPr>
                </w:p>
              </w:tc>
              <w:tc>
                <w:tcPr>
                  <w:tcW w:w="1714" w:type="dxa"/>
                  <w:tcBorders>
                    <w:top w:val="single" w:color="auto" w:sz="2" w:space="0"/>
                    <w:left w:val="single" w:color="auto" w:sz="2" w:space="0"/>
                    <w:bottom w:val="single" w:color="auto" w:sz="2" w:space="0"/>
                    <w:right w:val="single" w:color="auto" w:sz="2" w:space="0"/>
                  </w:tcBorders>
                  <w:noWrap w:val="0"/>
                  <w:vAlign w:val="center"/>
                </w:tcPr>
                <w:p w14:paraId="6DD23262">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743" w:type="dxa"/>
                  <w:tcBorders>
                    <w:top w:val="single" w:color="auto" w:sz="2" w:space="0"/>
                    <w:left w:val="single" w:color="auto" w:sz="2" w:space="0"/>
                    <w:bottom w:val="single" w:color="auto" w:sz="2" w:space="0"/>
                    <w:right w:val="single" w:color="auto" w:sz="2" w:space="0"/>
                  </w:tcBorders>
                  <w:noWrap w:val="0"/>
                  <w:vAlign w:val="center"/>
                </w:tcPr>
                <w:p w14:paraId="7F49E98F">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478E2E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4" w:hRule="atLeast"/>
                <w:jc w:val="center"/>
              </w:trPr>
              <w:tc>
                <w:tcPr>
                  <w:tcW w:w="1231" w:type="dxa"/>
                  <w:tcBorders>
                    <w:top w:val="single" w:color="auto" w:sz="2" w:space="0"/>
                    <w:left w:val="single" w:color="auto" w:sz="2" w:space="0"/>
                    <w:bottom w:val="single" w:color="auto" w:sz="2" w:space="0"/>
                    <w:right w:val="single" w:color="auto" w:sz="4" w:space="0"/>
                  </w:tcBorders>
                  <w:noWrap w:val="0"/>
                  <w:vAlign w:val="center"/>
                </w:tcPr>
                <w:p w14:paraId="69797CC3">
                  <w:pPr>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2771" w:type="dxa"/>
                  <w:tcBorders>
                    <w:top w:val="single" w:color="auto" w:sz="2" w:space="0"/>
                    <w:left w:val="single" w:color="auto" w:sz="4" w:space="0"/>
                    <w:bottom w:val="single" w:color="auto" w:sz="2" w:space="0"/>
                    <w:right w:val="single" w:color="auto" w:sz="2" w:space="0"/>
                  </w:tcBorders>
                  <w:noWrap w:val="0"/>
                  <w:vAlign w:val="center"/>
                </w:tcPr>
                <w:p w14:paraId="06AFE785">
                  <w:pPr>
                    <w:spacing w:line="240" w:lineRule="auto"/>
                    <w:ind w:firstLine="0" w:firstLineChars="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项目区</w:t>
                  </w:r>
                </w:p>
              </w:tc>
              <w:tc>
                <w:tcPr>
                  <w:tcW w:w="1714" w:type="dxa"/>
                  <w:tcBorders>
                    <w:top w:val="single" w:color="auto" w:sz="2" w:space="0"/>
                    <w:left w:val="single" w:color="auto" w:sz="2" w:space="0"/>
                    <w:bottom w:val="single" w:color="auto" w:sz="2" w:space="0"/>
                    <w:right w:val="single" w:color="auto" w:sz="2" w:space="0"/>
                  </w:tcBorders>
                  <w:noWrap w:val="0"/>
                  <w:vAlign w:val="center"/>
                </w:tcPr>
                <w:p w14:paraId="2D12876D">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lang w:val="en-US" w:eastAsia="zh-CN"/>
                    </w:rPr>
                    <w:t>0</w:t>
                  </w:r>
                </w:p>
              </w:tc>
              <w:tc>
                <w:tcPr>
                  <w:tcW w:w="1743" w:type="dxa"/>
                  <w:tcBorders>
                    <w:top w:val="single" w:color="auto" w:sz="2" w:space="0"/>
                    <w:left w:val="single" w:color="auto" w:sz="2" w:space="0"/>
                    <w:bottom w:val="single" w:color="auto" w:sz="2" w:space="0"/>
                    <w:right w:val="single" w:color="auto" w:sz="2" w:space="0"/>
                  </w:tcBorders>
                  <w:noWrap w:val="0"/>
                  <w:vAlign w:val="center"/>
                </w:tcPr>
                <w:p w14:paraId="3E45DB46">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lang w:val="en-US" w:eastAsia="zh-CN"/>
                    </w:rPr>
                    <w:t>0</w:t>
                  </w:r>
                </w:p>
              </w:tc>
            </w:tr>
          </w:tbl>
          <w:p w14:paraId="4514AA57">
            <w:pPr>
              <w:keepNext w:val="0"/>
              <w:keepLines w:val="0"/>
              <w:pageBreakBefore w:val="0"/>
              <w:widowControl w:val="0"/>
              <w:kinsoku/>
              <w:wordWrap/>
              <w:overflowPunct/>
              <w:topLinePunct w:val="0"/>
              <w:autoSpaceDE/>
              <w:autoSpaceDN/>
              <w:bidi w:val="0"/>
              <w:adjustRightInd w:val="0"/>
              <w:snapToGrid w:val="0"/>
              <w:spacing w:before="157" w:beforeLines="50"/>
              <w:ind w:firstLine="482"/>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三</w:t>
            </w:r>
            <w:r>
              <w:rPr>
                <w:rFonts w:hint="default" w:ascii="Times New Roman" w:hAnsi="Times New Roman" w:eastAsia="宋体" w:cs="Times New Roman"/>
                <w:b/>
                <w:bCs/>
                <w:color w:val="auto"/>
                <w:szCs w:val="21"/>
              </w:rPr>
              <w:t>、废水排放标准</w:t>
            </w:r>
          </w:p>
          <w:p w14:paraId="0F700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项目施工期无废水产生</w:t>
            </w:r>
            <w:r>
              <w:rPr>
                <w:rFonts w:hint="eastAsia" w:ascii="Times New Roman" w:hAnsi="Times New Roman" w:eastAsia="宋体" w:cs="Times New Roman"/>
                <w:color w:val="auto"/>
                <w:sz w:val="24"/>
                <w:szCs w:val="24"/>
                <w:lang w:val="en-US" w:eastAsia="zh-CN"/>
              </w:rPr>
              <w:t>，不设排放标准。</w:t>
            </w:r>
          </w:p>
          <w:p w14:paraId="64E4A2AC">
            <w:pPr>
              <w:keepNext w:val="0"/>
              <w:keepLines w:val="0"/>
              <w:pageBreakBefore w:val="0"/>
              <w:widowControl w:val="0"/>
              <w:tabs>
                <w:tab w:val="left" w:pos="1760"/>
                <w:tab w:val="center" w:pos="3647"/>
              </w:tabs>
              <w:kinsoku/>
              <w:wordWrap/>
              <w:overflowPunct/>
              <w:topLinePunct w:val="0"/>
              <w:autoSpaceDE/>
              <w:autoSpaceDN/>
              <w:bidi w:val="0"/>
              <w:adjustRightInd/>
              <w:snapToGrid w:val="0"/>
              <w:ind w:firstLine="480"/>
              <w:textAlignment w:val="auto"/>
              <w:rPr>
                <w:rFonts w:hint="default"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运营期</w:t>
            </w:r>
            <w:r>
              <w:rPr>
                <w:rFonts w:hint="eastAsia" w:cs="Times New Roman"/>
                <w:color w:val="auto"/>
                <w:sz w:val="24"/>
                <w:szCs w:val="24"/>
                <w:lang w:val="en-US" w:eastAsia="zh-CN"/>
              </w:rPr>
              <w:t>废水主要为运输车辆清洗废水、办公废水、初期雨水，其中运输车辆清洗废水经洗车池收集后回用于厂区</w:t>
            </w:r>
            <w:r>
              <w:rPr>
                <w:rFonts w:hint="eastAsia" w:cs="Times New Roman"/>
                <w:b w:val="0"/>
                <w:bCs w:val="0"/>
                <w:color w:val="auto"/>
                <w:sz w:val="24"/>
                <w:szCs w:val="24"/>
                <w:lang w:val="en-US" w:eastAsia="zh-CN"/>
              </w:rPr>
              <w:t>洒水降尘，办公废水依托云南龙泉矿业开发有限公司西南侧办公生活区化粪池</w:t>
            </w:r>
            <w:r>
              <w:rPr>
                <w:rFonts w:hint="eastAsia" w:cs="Times New Roman"/>
                <w:color w:val="auto"/>
                <w:sz w:val="24"/>
                <w:szCs w:val="24"/>
                <w:lang w:val="en-US" w:eastAsia="zh-CN"/>
              </w:rPr>
              <w:t>处</w:t>
            </w:r>
            <w:r>
              <w:rPr>
                <w:rFonts w:hint="eastAsia" w:cs="Times New Roman"/>
                <w:b w:val="0"/>
                <w:bCs w:val="0"/>
                <w:color w:val="auto"/>
                <w:sz w:val="24"/>
                <w:szCs w:val="24"/>
                <w:lang w:val="en-US" w:eastAsia="zh-CN"/>
              </w:rPr>
              <w:t>理后定期清掏用作周围农作物施肥，初期</w:t>
            </w:r>
            <w:r>
              <w:rPr>
                <w:rFonts w:hint="eastAsia" w:cs="Times New Roman"/>
                <w:color w:val="auto"/>
                <w:sz w:val="24"/>
                <w:szCs w:val="24"/>
                <w:lang w:val="en-US" w:eastAsia="zh-CN"/>
              </w:rPr>
              <w:t>雨水由</w:t>
            </w:r>
            <w:r>
              <w:rPr>
                <w:rFonts w:hint="eastAsia" w:cs="Times New Roman"/>
                <w:color w:val="auto"/>
                <w:sz w:val="24"/>
                <w:szCs w:val="24"/>
                <w:highlight w:val="none"/>
                <w:lang w:val="en-US" w:eastAsia="zh-CN"/>
              </w:rPr>
              <w:t>1个20m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初期雨水隔油沉淀池收集处理后回用于厂区洒水降尘</w:t>
            </w:r>
            <w:r>
              <w:rPr>
                <w:rFonts w:hint="eastAsia" w:cs="Times New Roman"/>
                <w:color w:val="auto"/>
                <w:sz w:val="24"/>
                <w:szCs w:val="24"/>
                <w:lang w:val="en-US" w:eastAsia="zh-CN"/>
              </w:rPr>
              <w:t>，均不外排。</w:t>
            </w:r>
            <w:r>
              <w:rPr>
                <w:rFonts w:hint="default" w:ascii="Times New Roman" w:hAnsi="Times New Roman" w:eastAsia="宋体" w:cs="Times New Roman"/>
                <w:color w:val="auto"/>
                <w:szCs w:val="21"/>
              </w:rPr>
              <w:t>因此</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项目</w:t>
            </w:r>
            <w:r>
              <w:rPr>
                <w:rFonts w:hint="eastAsia" w:ascii="Times New Roman" w:hAnsi="Times New Roman" w:eastAsia="宋体" w:cs="Times New Roman"/>
                <w:color w:val="000000" w:themeColor="text1"/>
                <w:szCs w:val="21"/>
                <w:lang w:val="en-US" w:eastAsia="zh-CN"/>
                <w14:textFill>
                  <w14:solidFill>
                    <w14:schemeClr w14:val="tx1"/>
                  </w14:solidFill>
                </w14:textFill>
              </w:rPr>
              <w:t>运营期</w:t>
            </w:r>
            <w:r>
              <w:rPr>
                <w:rFonts w:hint="default" w:ascii="Times New Roman" w:hAnsi="Times New Roman" w:eastAsia="宋体" w:cs="Times New Roman"/>
                <w:color w:val="000000" w:themeColor="text1"/>
                <w:szCs w:val="21"/>
                <w14:textFill>
                  <w14:solidFill>
                    <w14:schemeClr w14:val="tx1"/>
                  </w14:solidFill>
                </w14:textFill>
              </w:rPr>
              <w:t>不设废水排放标准。</w:t>
            </w:r>
          </w:p>
          <w:p w14:paraId="574167CA">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val="en-US" w:eastAsia="zh-CN"/>
                <w14:textFill>
                  <w14:solidFill>
                    <w14:schemeClr w14:val="tx1"/>
                  </w14:solidFill>
                </w14:textFill>
              </w:rPr>
              <w:t>四</w:t>
            </w:r>
            <w:r>
              <w:rPr>
                <w:rFonts w:hint="default" w:ascii="Times New Roman" w:hAnsi="Times New Roman" w:eastAsia="宋体" w:cs="Times New Roman"/>
                <w:b/>
                <w:bCs/>
                <w:color w:val="000000" w:themeColor="text1"/>
                <w:szCs w:val="21"/>
                <w14:textFill>
                  <w14:solidFill>
                    <w14:schemeClr w14:val="tx1"/>
                  </w14:solidFill>
                </w14:textFill>
              </w:rPr>
              <w:t>、固体废弃物</w:t>
            </w:r>
          </w:p>
          <w:p w14:paraId="62580650">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项目一般固体废物排放执行《一般工业固体废物贮存和填埋污染控制标准》（GB18599-2020）中的相关规定</w:t>
            </w:r>
            <w:r>
              <w:rPr>
                <w:rFonts w:hint="default" w:ascii="Times New Roman" w:hAnsi="Times New Roman" w:eastAsia="宋体" w:cs="Times New Roman"/>
                <w:color w:val="000000" w:themeColor="text1"/>
                <w:lang w:eastAsia="zh-CN"/>
                <w14:textFill>
                  <w14:solidFill>
                    <w14:schemeClr w14:val="tx1"/>
                  </w14:solidFill>
                </w14:textFill>
              </w:rPr>
              <w:t>。</w:t>
            </w:r>
          </w:p>
          <w:p w14:paraId="7D46691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危险废物暂存、转移执行《危险废物贮存污染控制标准》（GB18597-2023）；</w:t>
            </w:r>
            <w:r>
              <w:rPr>
                <w:rFonts w:hint="default" w:ascii="Times New Roman" w:hAnsi="Times New Roman" w:eastAsia="宋体" w:cs="Times New Roman"/>
                <w:color w:val="000000" w:themeColor="text1"/>
                <w:lang w:val="en-US" w:eastAsia="zh-CN"/>
                <w14:textFill>
                  <w14:solidFill>
                    <w14:schemeClr w14:val="tx1"/>
                  </w14:solidFill>
                </w14:textFill>
              </w:rPr>
              <w:t>危险废物台账执行《危险废物管理计划和管理台账制定技术导则》</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1259-2022）。</w:t>
            </w:r>
          </w:p>
        </w:tc>
      </w:tr>
      <w:tr w14:paraId="79DDC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1" w:type="dxa"/>
            <w:noWrap w:val="0"/>
            <w:vAlign w:val="center"/>
          </w:tcPr>
          <w:p w14:paraId="12887C21">
            <w:pPr>
              <w:ind w:left="0" w:leftChars="0" w:firstLine="0" w:firstLineChars="0"/>
              <w:rPr>
                <w:rFonts w:hint="eastAsia"/>
                <w:lang w:eastAsia="zh-CN"/>
              </w:rPr>
            </w:pPr>
            <w:r>
              <w:rPr>
                <w:rFonts w:hint="eastAsia"/>
                <w:lang w:eastAsia="zh-CN"/>
              </w:rPr>
              <w:t>总量控制指标</w:t>
            </w:r>
          </w:p>
        </w:tc>
        <w:tc>
          <w:tcPr>
            <w:tcW w:w="7511" w:type="dxa"/>
            <w:noWrap w:val="0"/>
            <w:vAlign w:val="center"/>
          </w:tcPr>
          <w:p w14:paraId="13BB098D">
            <w:pPr>
              <w:keepNext w:val="0"/>
              <w:keepLines w:val="0"/>
              <w:pageBreakBefore w:val="0"/>
              <w:widowControl w:val="0"/>
              <w:kinsoku/>
              <w:wordWrap/>
              <w:overflowPunct/>
              <w:topLinePunct w:val="0"/>
              <w:autoSpaceDE w:val="0"/>
              <w:autoSpaceDN/>
              <w:bidi w:val="0"/>
              <w:adjustRightInd/>
              <w:snapToGrid/>
              <w:spacing w:before="157" w:beforeLines="50"/>
              <w:ind w:firstLine="480"/>
              <w:textAlignment w:val="auto"/>
            </w:pPr>
            <w:r>
              <w:rPr>
                <w:lang w:bidi="ar"/>
              </w:rPr>
              <w:t>根据国家关于总量控制指标的相关规定和本项目的实际情况，对本项目产生的总量控制指标建议如下：</w:t>
            </w:r>
          </w:p>
          <w:p w14:paraId="01C1858D">
            <w:pPr>
              <w:ind w:firstLine="482"/>
              <w:rPr>
                <w:b/>
                <w:bCs/>
              </w:rPr>
            </w:pPr>
            <w:r>
              <w:rPr>
                <w:rFonts w:hint="eastAsia"/>
                <w:b/>
                <w:bCs/>
              </w:rPr>
              <w:t>1、废气</w:t>
            </w:r>
          </w:p>
          <w:p w14:paraId="338A27A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highlight w:val="none"/>
                <w:lang w:val="en-US" w:eastAsia="zh-CN"/>
              </w:rPr>
            </w:pPr>
            <w:r>
              <w:rPr>
                <w:rFonts w:hint="eastAsia"/>
                <w:highlight w:val="none"/>
                <w:lang w:val="en-US" w:eastAsia="zh-CN"/>
              </w:rPr>
              <w:t>本项目有组织废气排放中，颗粒物排放量为0.459t/a，SO</w:t>
            </w:r>
            <w:r>
              <w:rPr>
                <w:rFonts w:hint="eastAsia"/>
                <w:highlight w:val="none"/>
                <w:vertAlign w:val="subscript"/>
                <w:lang w:val="en-US" w:eastAsia="zh-CN"/>
              </w:rPr>
              <w:t>2</w:t>
            </w:r>
            <w:r>
              <w:rPr>
                <w:rFonts w:hint="eastAsia"/>
                <w:highlight w:val="none"/>
                <w:lang w:val="en-US" w:eastAsia="zh-CN"/>
              </w:rPr>
              <w:t>排放量为0.3t/a，NO</w:t>
            </w:r>
            <w:r>
              <w:rPr>
                <w:rFonts w:hint="eastAsia"/>
                <w:highlight w:val="none"/>
                <w:vertAlign w:val="subscript"/>
                <w:lang w:val="en-US" w:eastAsia="zh-CN"/>
              </w:rPr>
              <w:t>x</w:t>
            </w:r>
            <w:r>
              <w:rPr>
                <w:rFonts w:hint="eastAsia"/>
                <w:highlight w:val="none"/>
                <w:lang w:val="en-US" w:eastAsia="zh-CN"/>
              </w:rPr>
              <w:t>排放量为0.44t/a，沥青烟排放量为0.009t/a，苯并[a]芘排放量为6.72</w:t>
            </w:r>
            <w:r>
              <w:rPr>
                <w:rFonts w:hint="default" w:ascii="Arial" w:hAnsi="Arial" w:cs="Arial"/>
                <w:highlight w:val="none"/>
                <w:lang w:val="en-US" w:eastAsia="zh-CN"/>
              </w:rPr>
              <w:t>×</w:t>
            </w:r>
            <w:r>
              <w:rPr>
                <w:rFonts w:hint="eastAsia"/>
                <w:highlight w:val="none"/>
                <w:lang w:val="en-US" w:eastAsia="zh-CN"/>
              </w:rPr>
              <w:t>10</w:t>
            </w:r>
            <w:r>
              <w:rPr>
                <w:rFonts w:hint="eastAsia"/>
                <w:highlight w:val="none"/>
                <w:vertAlign w:val="superscript"/>
                <w:lang w:val="en-US" w:eastAsia="zh-CN"/>
              </w:rPr>
              <w:t>-6</w:t>
            </w:r>
            <w:r>
              <w:rPr>
                <w:rFonts w:hint="eastAsia"/>
                <w:highlight w:val="none"/>
                <w:lang w:val="en-US" w:eastAsia="zh-CN"/>
              </w:rPr>
              <w:t>t/a，非甲烷总烃排放量为0.025t/a。</w:t>
            </w:r>
          </w:p>
          <w:p w14:paraId="3C9A42E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highlight w:val="none"/>
                <w:lang w:val="en-US" w:eastAsia="zh-CN"/>
              </w:rPr>
            </w:pPr>
            <w:r>
              <w:rPr>
                <w:rFonts w:hint="eastAsia"/>
                <w:highlight w:val="none"/>
                <w:lang w:val="en-US" w:eastAsia="zh-CN"/>
              </w:rPr>
              <w:t>本项目无组织废气排放中，颗粒物排放量为0.625t/a，沥青烟排放量为0.029，苯并[a]芘排放量为5.6</w:t>
            </w:r>
            <w:r>
              <w:rPr>
                <w:rFonts w:hint="default" w:ascii="Arial" w:hAnsi="Arial" w:cs="Arial"/>
                <w:highlight w:val="none"/>
                <w:lang w:val="en-US" w:eastAsia="zh-CN"/>
              </w:rPr>
              <w:t>×</w:t>
            </w:r>
            <w:r>
              <w:rPr>
                <w:rFonts w:hint="eastAsia"/>
                <w:highlight w:val="none"/>
                <w:lang w:val="en-US" w:eastAsia="zh-CN"/>
              </w:rPr>
              <w:t>10</w:t>
            </w:r>
            <w:r>
              <w:rPr>
                <w:rFonts w:hint="eastAsia"/>
                <w:highlight w:val="none"/>
                <w:vertAlign w:val="superscript"/>
                <w:lang w:val="en-US" w:eastAsia="zh-CN"/>
              </w:rPr>
              <w:t>-5</w:t>
            </w:r>
            <w:r>
              <w:rPr>
                <w:rFonts w:hint="eastAsia"/>
                <w:highlight w:val="none"/>
                <w:lang w:val="en-US" w:eastAsia="zh-CN"/>
              </w:rPr>
              <w:t>t/a，非甲烷总烃排放量为0.020t/a。</w:t>
            </w:r>
          </w:p>
          <w:p w14:paraId="5FE7B87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auto"/>
                <w:highlight w:val="none"/>
                <w:lang w:bidi="ar"/>
              </w:rPr>
            </w:pPr>
            <w:r>
              <w:rPr>
                <w:rFonts w:hint="eastAsia"/>
                <w:highlight w:val="none"/>
                <w:lang w:val="en-US" w:eastAsia="zh-CN"/>
              </w:rPr>
              <w:t>本环评建议，</w:t>
            </w:r>
            <w:r>
              <w:rPr>
                <w:rFonts w:hint="eastAsia"/>
                <w:color w:val="auto"/>
                <w:highlight w:val="none"/>
                <w:lang w:bidi="ar"/>
              </w:rPr>
              <w:t>控制指标为：氮氧化物</w:t>
            </w:r>
            <w:r>
              <w:rPr>
                <w:rFonts w:hint="eastAsia"/>
                <w:color w:val="auto"/>
                <w:kern w:val="32"/>
                <w:highlight w:val="none"/>
                <w:lang w:val="en-US" w:eastAsia="zh-CN"/>
              </w:rPr>
              <w:t>0.44</w:t>
            </w:r>
            <w:r>
              <w:rPr>
                <w:rFonts w:hint="eastAsia"/>
                <w:color w:val="auto"/>
                <w:highlight w:val="none"/>
                <w:lang w:bidi="ar"/>
              </w:rPr>
              <w:t>t</w:t>
            </w:r>
            <w:r>
              <w:rPr>
                <w:color w:val="auto"/>
                <w:highlight w:val="none"/>
                <w:lang w:bidi="ar"/>
              </w:rPr>
              <w:t>/a；非甲烷总烃</w:t>
            </w:r>
            <w:r>
              <w:rPr>
                <w:rFonts w:hint="eastAsia"/>
                <w:color w:val="auto"/>
                <w:kern w:val="32"/>
                <w:highlight w:val="none"/>
                <w:lang w:val="en-US" w:eastAsia="zh-CN"/>
              </w:rPr>
              <w:t>0.025</w:t>
            </w:r>
            <w:r>
              <w:rPr>
                <w:rFonts w:hint="eastAsia"/>
                <w:color w:val="auto"/>
                <w:kern w:val="32"/>
                <w:highlight w:val="none"/>
              </w:rPr>
              <w:t>t/a</w:t>
            </w:r>
            <w:r>
              <w:rPr>
                <w:color w:val="auto"/>
                <w:highlight w:val="none"/>
                <w:lang w:bidi="ar"/>
              </w:rPr>
              <w:t>。</w:t>
            </w:r>
          </w:p>
          <w:p w14:paraId="65F7199C">
            <w:pPr>
              <w:autoSpaceDE w:val="0"/>
              <w:ind w:firstLine="480"/>
              <w:rPr>
                <w:b/>
                <w:bCs/>
                <w:lang w:bidi="ar"/>
              </w:rPr>
            </w:pPr>
            <w:r>
              <w:rPr>
                <w:b/>
                <w:bCs/>
                <w:lang w:bidi="ar"/>
              </w:rPr>
              <w:t>2、废水</w:t>
            </w:r>
          </w:p>
          <w:p w14:paraId="5547A571">
            <w:pPr>
              <w:autoSpaceDE w:val="0"/>
              <w:ind w:firstLine="480"/>
              <w:rPr>
                <w:bCs/>
                <w:color w:val="auto"/>
                <w:kern w:val="0"/>
                <w:lang w:bidi="ar"/>
              </w:rPr>
            </w:pPr>
            <w:r>
              <w:rPr>
                <w:rFonts w:hint="eastAsia"/>
                <w:color w:val="auto"/>
                <w:szCs w:val="24"/>
                <w:highlight w:val="none"/>
                <w:lang w:val="en-US" w:eastAsia="zh-CN" w:bidi="ar"/>
              </w:rPr>
              <w:t>项目</w:t>
            </w:r>
            <w:r>
              <w:rPr>
                <w:rFonts w:hint="eastAsia"/>
                <w:color w:val="auto"/>
                <w:szCs w:val="24"/>
                <w:highlight w:val="none"/>
                <w:lang w:bidi="ar"/>
              </w:rPr>
              <w:t>产生的废水主要为</w:t>
            </w:r>
            <w:r>
              <w:rPr>
                <w:rFonts w:hint="eastAsia"/>
                <w:color w:val="auto"/>
                <w:szCs w:val="24"/>
                <w:highlight w:val="none"/>
                <w:lang w:val="en-US" w:eastAsia="zh-CN" w:bidi="ar"/>
              </w:rPr>
              <w:t>办公</w:t>
            </w:r>
            <w:r>
              <w:rPr>
                <w:rFonts w:hint="eastAsia"/>
                <w:color w:val="auto"/>
                <w:szCs w:val="24"/>
                <w:highlight w:val="none"/>
                <w:lang w:bidi="ar"/>
              </w:rPr>
              <w:t>废水</w:t>
            </w:r>
            <w:r>
              <w:rPr>
                <w:rFonts w:hint="eastAsia"/>
                <w:color w:val="auto"/>
                <w:szCs w:val="24"/>
                <w:highlight w:val="none"/>
                <w:lang w:eastAsia="zh-CN" w:bidi="ar"/>
              </w:rPr>
              <w:t>、</w:t>
            </w:r>
            <w:r>
              <w:rPr>
                <w:rFonts w:hint="eastAsia"/>
                <w:color w:val="auto"/>
                <w:szCs w:val="24"/>
                <w:highlight w:val="none"/>
                <w:lang w:val="en-US" w:eastAsia="zh-CN" w:bidi="ar"/>
              </w:rPr>
              <w:t>洗车废水</w:t>
            </w:r>
            <w:r>
              <w:rPr>
                <w:rFonts w:hint="eastAsia"/>
                <w:color w:val="auto"/>
                <w:szCs w:val="24"/>
                <w:highlight w:val="none"/>
                <w:lang w:eastAsia="zh-CN" w:bidi="ar"/>
              </w:rPr>
              <w:t>、</w:t>
            </w:r>
            <w:r>
              <w:rPr>
                <w:rFonts w:hint="eastAsia"/>
                <w:color w:val="auto"/>
                <w:szCs w:val="24"/>
                <w:highlight w:val="none"/>
                <w:lang w:bidi="ar"/>
              </w:rPr>
              <w:t>初期雨水。</w:t>
            </w:r>
            <w:r>
              <w:rPr>
                <w:rFonts w:hint="eastAsia"/>
                <w:color w:val="auto"/>
                <w:szCs w:val="24"/>
                <w:highlight w:val="none"/>
                <w:lang w:val="en-US" w:eastAsia="zh-CN" w:bidi="ar"/>
              </w:rPr>
              <w:t>办公</w:t>
            </w:r>
            <w:r>
              <w:rPr>
                <w:rFonts w:hint="eastAsia"/>
                <w:color w:val="auto"/>
                <w:szCs w:val="24"/>
                <w:highlight w:val="none"/>
                <w:lang w:bidi="ar"/>
              </w:rPr>
              <w:t>废水</w:t>
            </w:r>
            <w:r>
              <w:rPr>
                <w:rFonts w:hint="eastAsia" w:ascii="Times New Roman" w:hAnsi="Times New Roman" w:eastAsia="宋体" w:cs="Times New Roman"/>
                <w:color w:val="auto"/>
                <w:spacing w:val="0"/>
                <w:kern w:val="2"/>
                <w:sz w:val="24"/>
                <w:szCs w:val="22"/>
                <w:lang w:val="en-US" w:eastAsia="zh-CN" w:bidi="ar-SA"/>
              </w:rPr>
              <w:t>依托云南龙泉矿业开发有限公司</w:t>
            </w:r>
            <w:r>
              <w:rPr>
                <w:rFonts w:hint="eastAsia" w:cs="Times New Roman"/>
                <w:color w:val="auto"/>
                <w:spacing w:val="0"/>
                <w:kern w:val="2"/>
                <w:sz w:val="24"/>
                <w:szCs w:val="22"/>
                <w:lang w:val="en-US" w:eastAsia="zh-CN" w:bidi="ar-SA"/>
              </w:rPr>
              <w:t>西南侧</w:t>
            </w:r>
            <w:r>
              <w:rPr>
                <w:rFonts w:hint="eastAsia" w:ascii="Times New Roman" w:hAnsi="Times New Roman" w:eastAsia="宋体" w:cs="Times New Roman"/>
                <w:color w:val="auto"/>
                <w:spacing w:val="0"/>
                <w:kern w:val="2"/>
                <w:sz w:val="24"/>
                <w:szCs w:val="22"/>
                <w:lang w:val="en-US" w:eastAsia="zh-CN" w:bidi="ar-SA"/>
              </w:rPr>
              <w:t>办公区1个</w:t>
            </w:r>
            <w:r>
              <w:rPr>
                <w:rFonts w:hint="eastAsia" w:cs="Times New Roman"/>
                <w:color w:val="auto"/>
                <w:spacing w:val="0"/>
                <w:kern w:val="2"/>
                <w:sz w:val="24"/>
                <w:szCs w:val="22"/>
                <w:lang w:val="en-US" w:eastAsia="zh-CN" w:bidi="ar-SA"/>
              </w:rPr>
              <w:t>2</w:t>
            </w:r>
            <w:r>
              <w:rPr>
                <w:rFonts w:hint="eastAsia" w:ascii="Times New Roman" w:hAnsi="Times New Roman" w:eastAsia="宋体" w:cs="Times New Roman"/>
                <w:color w:val="auto"/>
                <w:spacing w:val="0"/>
                <w:kern w:val="2"/>
                <w:sz w:val="24"/>
                <w:szCs w:val="22"/>
                <w:lang w:val="en-US" w:eastAsia="zh-CN" w:bidi="ar-SA"/>
              </w:rPr>
              <w:t>m</w:t>
            </w:r>
            <w:r>
              <w:rPr>
                <w:rFonts w:hint="eastAsia" w:ascii="Times New Roman" w:hAnsi="Times New Roman" w:eastAsia="宋体" w:cs="Times New Roman"/>
                <w:color w:val="auto"/>
                <w:spacing w:val="0"/>
                <w:kern w:val="2"/>
                <w:sz w:val="24"/>
                <w:szCs w:val="22"/>
                <w:vertAlign w:val="superscript"/>
                <w:lang w:val="en-US" w:eastAsia="zh-CN" w:bidi="ar-SA"/>
              </w:rPr>
              <w:t>3</w:t>
            </w:r>
            <w:r>
              <w:rPr>
                <w:rFonts w:hint="eastAsia" w:cs="Times New Roman"/>
                <w:color w:val="auto"/>
                <w:spacing w:val="0"/>
                <w:kern w:val="2"/>
                <w:sz w:val="24"/>
                <w:szCs w:val="22"/>
                <w:lang w:val="en-US" w:eastAsia="zh-CN" w:bidi="ar-SA"/>
              </w:rPr>
              <w:t>化粪</w:t>
            </w:r>
            <w:r>
              <w:rPr>
                <w:rFonts w:hint="eastAsia" w:ascii="Times New Roman" w:hAnsi="Times New Roman" w:eastAsia="宋体" w:cs="Times New Roman"/>
                <w:color w:val="auto"/>
                <w:spacing w:val="0"/>
                <w:kern w:val="2"/>
                <w:sz w:val="24"/>
                <w:szCs w:val="22"/>
                <w:lang w:val="en-US" w:eastAsia="zh-CN" w:bidi="ar-SA"/>
              </w:rPr>
              <w:t>池</w:t>
            </w:r>
            <w:r>
              <w:rPr>
                <w:rFonts w:hint="eastAsia" w:cs="Times New Roman"/>
                <w:color w:val="auto"/>
                <w:spacing w:val="0"/>
                <w:kern w:val="2"/>
                <w:sz w:val="24"/>
                <w:szCs w:val="22"/>
                <w:lang w:val="en-US" w:eastAsia="zh-CN" w:bidi="ar-SA"/>
              </w:rPr>
              <w:t>处理后</w:t>
            </w:r>
            <w:r>
              <w:rPr>
                <w:rFonts w:hint="eastAsia" w:cs="Times New Roman"/>
                <w:b w:val="0"/>
                <w:bCs w:val="0"/>
                <w:color w:val="auto"/>
                <w:sz w:val="24"/>
                <w:szCs w:val="24"/>
                <w:lang w:val="en-US" w:eastAsia="zh-CN"/>
              </w:rPr>
              <w:t>定期清掏用作周围农作物施肥</w:t>
            </w:r>
            <w:r>
              <w:rPr>
                <w:rFonts w:hint="eastAsia"/>
                <w:bCs/>
                <w:color w:val="auto"/>
                <w:kern w:val="0"/>
                <w:lang w:bidi="ar"/>
              </w:rPr>
              <w:t>，不外排</w:t>
            </w:r>
            <w:r>
              <w:rPr>
                <w:rFonts w:hint="eastAsia"/>
                <w:color w:val="auto"/>
                <w:szCs w:val="24"/>
                <w:highlight w:val="none"/>
                <w:lang w:val="en-US" w:eastAsia="zh-CN" w:bidi="ar"/>
              </w:rPr>
              <w:t>；洗车废水经</w:t>
            </w:r>
            <w:r>
              <w:rPr>
                <w:rFonts w:hint="eastAsia" w:cs="Times New Roman"/>
                <w:color w:val="auto"/>
                <w:spacing w:val="0"/>
                <w:kern w:val="2"/>
                <w:sz w:val="24"/>
                <w:szCs w:val="22"/>
                <w:lang w:val="en-US" w:eastAsia="zh-CN" w:bidi="ar-SA"/>
              </w:rPr>
              <w:t>5</w:t>
            </w:r>
            <w:r>
              <w:rPr>
                <w:rFonts w:hint="eastAsia" w:ascii="Times New Roman" w:hAnsi="Times New Roman" w:eastAsia="宋体" w:cs="Times New Roman"/>
                <w:color w:val="auto"/>
                <w:spacing w:val="0"/>
                <w:kern w:val="2"/>
                <w:sz w:val="24"/>
                <w:szCs w:val="22"/>
                <w:lang w:val="en-US" w:eastAsia="zh-CN" w:bidi="ar-SA"/>
              </w:rPr>
              <w:t>m</w:t>
            </w:r>
            <w:r>
              <w:rPr>
                <w:rFonts w:hint="eastAsia" w:ascii="Times New Roman" w:hAnsi="Times New Roman" w:eastAsia="宋体" w:cs="Times New Roman"/>
                <w:color w:val="auto"/>
                <w:spacing w:val="0"/>
                <w:kern w:val="2"/>
                <w:sz w:val="24"/>
                <w:szCs w:val="22"/>
                <w:vertAlign w:val="superscript"/>
                <w:lang w:val="en-US" w:eastAsia="zh-CN" w:bidi="ar-SA"/>
              </w:rPr>
              <w:t>3</w:t>
            </w:r>
            <w:r>
              <w:rPr>
                <w:rFonts w:hint="eastAsia" w:cs="Times New Roman"/>
                <w:color w:val="auto"/>
                <w:spacing w:val="0"/>
                <w:kern w:val="2"/>
                <w:sz w:val="24"/>
                <w:szCs w:val="22"/>
                <w:lang w:val="en-US" w:eastAsia="zh-CN" w:bidi="ar-SA"/>
              </w:rPr>
              <w:t>洗车</w:t>
            </w:r>
            <w:r>
              <w:rPr>
                <w:rFonts w:hint="eastAsia" w:ascii="Times New Roman" w:hAnsi="Times New Roman" w:eastAsia="宋体" w:cs="Times New Roman"/>
                <w:color w:val="auto"/>
                <w:spacing w:val="0"/>
                <w:kern w:val="2"/>
                <w:sz w:val="24"/>
                <w:szCs w:val="22"/>
                <w:lang w:val="en-US" w:eastAsia="zh-CN" w:bidi="ar-SA"/>
              </w:rPr>
              <w:t>池</w:t>
            </w:r>
            <w:r>
              <w:rPr>
                <w:rFonts w:hint="eastAsia" w:cs="Times New Roman"/>
                <w:color w:val="auto"/>
                <w:spacing w:val="0"/>
                <w:kern w:val="2"/>
                <w:sz w:val="24"/>
                <w:szCs w:val="22"/>
                <w:lang w:val="en-US" w:eastAsia="zh-CN" w:bidi="ar-SA"/>
              </w:rPr>
              <w:t>收集处理后</w:t>
            </w:r>
            <w:r>
              <w:rPr>
                <w:rFonts w:hint="eastAsia"/>
                <w:bCs/>
                <w:color w:val="auto"/>
                <w:kern w:val="0"/>
                <w:lang w:bidi="ar"/>
              </w:rPr>
              <w:t>循环使用，当不能满足洗车条件后用于厂区洒水降尘，不外排</w:t>
            </w:r>
            <w:r>
              <w:rPr>
                <w:rFonts w:hint="eastAsia"/>
                <w:bCs/>
                <w:color w:val="auto"/>
                <w:kern w:val="0"/>
                <w:lang w:eastAsia="zh-CN" w:bidi="ar"/>
              </w:rPr>
              <w:t>；</w:t>
            </w:r>
            <w:r>
              <w:rPr>
                <w:rFonts w:hint="eastAsia"/>
                <w:color w:val="auto"/>
                <w:szCs w:val="24"/>
                <w:highlight w:val="none"/>
                <w:lang w:val="en-US" w:eastAsia="zh-CN" w:bidi="ar"/>
              </w:rPr>
              <w:t>初期雨水</w:t>
            </w:r>
            <w:r>
              <w:rPr>
                <w:rFonts w:hint="eastAsia" w:cs="Times New Roman"/>
                <w:color w:val="auto"/>
                <w:sz w:val="24"/>
                <w:szCs w:val="24"/>
                <w:lang w:val="en-US" w:eastAsia="zh-CN"/>
              </w:rPr>
              <w:t>由</w:t>
            </w:r>
            <w:r>
              <w:rPr>
                <w:rFonts w:hint="eastAsia" w:cs="Times New Roman"/>
                <w:color w:val="auto"/>
                <w:sz w:val="24"/>
                <w:szCs w:val="24"/>
                <w:highlight w:val="none"/>
                <w:lang w:val="en-US" w:eastAsia="zh-CN"/>
              </w:rPr>
              <w:t>1个20m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初期雨水隔油沉淀池收集处理后回用于厂区洒水降尘</w:t>
            </w:r>
            <w:r>
              <w:rPr>
                <w:rFonts w:hint="eastAsia"/>
                <w:bCs/>
                <w:color w:val="auto"/>
                <w:kern w:val="0"/>
                <w:lang w:bidi="ar"/>
              </w:rPr>
              <w:t>，不外排。</w:t>
            </w:r>
          </w:p>
          <w:p w14:paraId="0B7257D4">
            <w:pPr>
              <w:autoSpaceDE w:val="0"/>
              <w:ind w:firstLine="480"/>
              <w:rPr>
                <w:rFonts w:hint="eastAsia"/>
                <w:bCs/>
                <w:kern w:val="0"/>
                <w:lang w:bidi="ar"/>
              </w:rPr>
            </w:pPr>
            <w:r>
              <w:rPr>
                <w:rFonts w:hint="eastAsia"/>
                <w:bCs/>
                <w:kern w:val="0"/>
                <w:lang w:bidi="ar"/>
              </w:rPr>
              <w:t>因此废水不设总量控制指标。</w:t>
            </w:r>
          </w:p>
          <w:p w14:paraId="1B9117EE">
            <w:pPr>
              <w:autoSpaceDE w:val="0"/>
              <w:ind w:firstLine="480"/>
              <w:rPr>
                <w:b/>
                <w:bCs/>
              </w:rPr>
            </w:pPr>
            <w:r>
              <w:rPr>
                <w:b/>
                <w:bCs/>
                <w:lang w:bidi="ar"/>
              </w:rPr>
              <w:t>3、固体废物</w:t>
            </w:r>
          </w:p>
          <w:p w14:paraId="15215BFF">
            <w:pPr>
              <w:keepNext w:val="0"/>
              <w:keepLines w:val="0"/>
              <w:pageBreakBefore w:val="0"/>
              <w:widowControl w:val="0"/>
              <w:kinsoku/>
              <w:wordWrap/>
              <w:overflowPunct/>
              <w:topLinePunct w:val="0"/>
              <w:autoSpaceDE/>
              <w:autoSpaceDN/>
              <w:bidi w:val="0"/>
              <w:adjustRightInd/>
              <w:snapToGrid/>
              <w:ind w:firstLine="480" w:firstLineChars="200"/>
              <w:textAlignment w:val="auto"/>
              <w:rPr>
                <w:lang w:bidi="ar"/>
              </w:rPr>
            </w:pPr>
            <w:r>
              <w:rPr>
                <w:lang w:bidi="ar"/>
              </w:rPr>
              <w:t>固体废物分类收集和妥善处置，收集处置率达100%。</w:t>
            </w:r>
          </w:p>
          <w:p w14:paraId="64359C26">
            <w:pPr>
              <w:ind w:left="0" w:leftChars="0" w:firstLine="0" w:firstLineChars="0"/>
            </w:pPr>
          </w:p>
        </w:tc>
      </w:tr>
    </w:tbl>
    <w:p w14:paraId="479E1653">
      <w:pPr>
        <w:pStyle w:val="2"/>
        <w:jc w:val="center"/>
        <w:rPr>
          <w:rFonts w:hint="eastAsia" w:eastAsia="宋体"/>
          <w:lang w:eastAsia="zh-CN"/>
        </w:rPr>
      </w:pPr>
      <w:r>
        <w:rPr>
          <w:rFonts w:hint="eastAsia"/>
        </w:rPr>
        <w:br w:type="page"/>
      </w:r>
      <w:bookmarkStart w:id="15" w:name="_Toc11318"/>
      <w:r>
        <w:rPr>
          <w:rFonts w:hint="eastAsia"/>
        </w:rPr>
        <w:t>四、</w:t>
      </w:r>
      <w:r>
        <w:rPr>
          <w:rFonts w:hint="eastAsia"/>
          <w:lang w:eastAsia="zh-CN"/>
        </w:rPr>
        <w:t>主要环境影响和保护措施</w:t>
      </w:r>
      <w:bookmarkEnd w:id="15"/>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6"/>
        <w:gridCol w:w="7526"/>
      </w:tblGrid>
      <w:tr w14:paraId="1F921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996" w:type="dxa"/>
            <w:noWrap w:val="0"/>
            <w:vAlign w:val="center"/>
          </w:tcPr>
          <w:p w14:paraId="33E889B8">
            <w:pPr>
              <w:ind w:firstLine="0" w:firstLineChars="0"/>
              <w:jc w:val="center"/>
              <w:rPr>
                <w:rFonts w:hint="eastAsia" w:eastAsia="宋体"/>
                <w:lang w:eastAsia="zh-CN"/>
              </w:rPr>
            </w:pPr>
            <w:r>
              <w:rPr>
                <w:rFonts w:hint="eastAsia"/>
                <w:lang w:eastAsia="zh-CN"/>
              </w:rPr>
              <w:t>施工期环境保护措施</w:t>
            </w:r>
          </w:p>
        </w:tc>
        <w:tc>
          <w:tcPr>
            <w:tcW w:w="7526" w:type="dxa"/>
            <w:noWrap w:val="0"/>
            <w:vAlign w:val="center"/>
          </w:tcPr>
          <w:p w14:paraId="060D8A9E">
            <w:pPr>
              <w:keepNext/>
              <w:keepLines/>
              <w:ind w:firstLine="422"/>
              <w:jc w:val="left"/>
              <w:rPr>
                <w:b/>
                <w:bCs/>
                <w:color w:val="auto"/>
                <w:sz w:val="21"/>
                <w:szCs w:val="21"/>
              </w:rPr>
            </w:pPr>
            <w:r>
              <w:rPr>
                <w:rFonts w:hint="default" w:ascii="Times New Roman" w:hAnsi="Times New Roman" w:eastAsia="宋体" w:cs="Times New Roman"/>
                <w:color w:val="auto"/>
                <w:sz w:val="24"/>
                <w:szCs w:val="24"/>
                <w:lang w:val="en-US" w:eastAsia="zh-CN"/>
              </w:rPr>
              <w:t>本项</w:t>
            </w:r>
            <w:r>
              <w:rPr>
                <w:rFonts w:hint="eastAsia" w:ascii="Times New Roman" w:hAnsi="Times New Roman" w:eastAsia="宋体" w:cs="Times New Roman"/>
                <w:color w:val="auto"/>
                <w:sz w:val="24"/>
                <w:szCs w:val="24"/>
                <w:lang w:val="en-US" w:eastAsia="zh-CN"/>
              </w:rPr>
              <w:t>目主要建设内容包括</w:t>
            </w:r>
            <w:r>
              <w:rPr>
                <w:rFonts w:ascii="Times New Roman" w:hAnsi="Times New Roman" w:eastAsia="宋体" w:cs="Times New Roman"/>
                <w:color w:val="000000" w:themeColor="text1"/>
                <w:sz w:val="24"/>
                <w:szCs w:val="20"/>
                <w14:textFill>
                  <w14:solidFill>
                    <w14:schemeClr w14:val="tx1"/>
                  </w14:solidFill>
                </w14:textFill>
              </w:rPr>
              <w:t>沥青混凝土生产线、</w:t>
            </w:r>
            <w:r>
              <w:rPr>
                <w:rFonts w:hint="eastAsia" w:cs="Times New Roman"/>
                <w:color w:val="000000" w:themeColor="text1"/>
                <w:sz w:val="24"/>
                <w:szCs w:val="20"/>
                <w:lang w:val="en-US" w:eastAsia="zh-CN"/>
                <w14:textFill>
                  <w14:solidFill>
                    <w14:schemeClr w14:val="tx1"/>
                  </w14:solidFill>
                </w14:textFill>
              </w:rPr>
              <w:t>储运工程、环保工程</w:t>
            </w:r>
            <w:r>
              <w:rPr>
                <w:rFonts w:ascii="Times New Roman" w:hAnsi="Times New Roman" w:eastAsia="宋体" w:cs="Times New Roman"/>
                <w:color w:val="000000" w:themeColor="text1"/>
                <w:sz w:val="24"/>
                <w:szCs w:val="20"/>
                <w14:textFill>
                  <w14:solidFill>
                    <w14:schemeClr w14:val="tx1"/>
                  </w14:solidFill>
                </w14:textFill>
              </w:rPr>
              <w:t>等。</w:t>
            </w: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现状</w:t>
            </w:r>
            <w:r>
              <w:rPr>
                <w:rFonts w:hint="eastAsia" w:cs="Times New Roman"/>
                <w:color w:val="auto"/>
                <w:sz w:val="24"/>
                <w:lang w:val="en-US" w:eastAsia="zh-CN"/>
              </w:rPr>
              <w:t>主体工程、储运工程及部分</w:t>
            </w:r>
            <w:r>
              <w:rPr>
                <w:rFonts w:hint="eastAsia" w:cs="Times New Roman"/>
                <w:b w:val="0"/>
                <w:bCs w:val="0"/>
                <w:color w:val="auto"/>
                <w:sz w:val="24"/>
                <w:lang w:val="en-US" w:eastAsia="zh-CN"/>
              </w:rPr>
              <w:t>环保工程</w:t>
            </w:r>
            <w:r>
              <w:rPr>
                <w:rFonts w:hint="eastAsia" w:eastAsia="宋体" w:cs="Times New Roman"/>
                <w:b w:val="0"/>
                <w:bCs w:val="0"/>
                <w:color w:val="auto"/>
                <w:sz w:val="24"/>
                <w:lang w:val="en-US" w:eastAsia="zh-CN"/>
              </w:rPr>
              <w:t>已</w:t>
            </w:r>
            <w:r>
              <w:rPr>
                <w:rFonts w:hint="eastAsia" w:ascii="Times New Roman" w:hAnsi="Times New Roman" w:eastAsia="宋体" w:cs="Times New Roman"/>
                <w:color w:val="auto"/>
                <w:sz w:val="24"/>
                <w:lang w:val="en-US" w:eastAsia="zh-CN"/>
              </w:rPr>
              <w:t>建设完成，后期</w:t>
            </w:r>
            <w:r>
              <w:rPr>
                <w:rFonts w:hint="eastAsia" w:cs="Times New Roman"/>
                <w:color w:val="auto"/>
                <w:sz w:val="24"/>
                <w:szCs w:val="24"/>
                <w:lang w:val="en-US" w:eastAsia="zh-CN"/>
              </w:rPr>
              <w:t>施工期</w:t>
            </w:r>
            <w:r>
              <w:rPr>
                <w:rFonts w:hint="eastAsia" w:cs="Times New Roman"/>
                <w:color w:val="auto"/>
                <w:sz w:val="24"/>
                <w:lang w:val="en-US" w:eastAsia="zh-CN"/>
              </w:rPr>
              <w:t>建设内容</w:t>
            </w:r>
            <w:r>
              <w:rPr>
                <w:rFonts w:hint="eastAsia" w:ascii="Times New Roman" w:hAnsi="Times New Roman" w:eastAsia="宋体" w:cs="Times New Roman"/>
                <w:color w:val="auto"/>
                <w:sz w:val="24"/>
                <w:lang w:val="en-US" w:eastAsia="zh-CN"/>
              </w:rPr>
              <w:t>主要为</w:t>
            </w:r>
            <w:r>
              <w:rPr>
                <w:rFonts w:hint="default" w:ascii="Times New Roman" w:hAnsi="Times New Roman" w:eastAsia="宋体" w:cs="Times New Roman"/>
                <w:color w:val="auto"/>
                <w:sz w:val="24"/>
                <w:lang w:val="en-US" w:eastAsia="zh-CN"/>
              </w:rPr>
              <w:t>沥青罐</w:t>
            </w:r>
            <w:r>
              <w:rPr>
                <w:rFonts w:hint="eastAsia" w:ascii="Times New Roman" w:hAnsi="Times New Roman" w:eastAsia="宋体" w:cs="Times New Roman"/>
                <w:color w:val="auto"/>
                <w:sz w:val="24"/>
                <w:lang w:val="en-US" w:eastAsia="zh-CN"/>
              </w:rPr>
              <w:t>顶部呼吸口</w:t>
            </w:r>
            <w:r>
              <w:rPr>
                <w:rFonts w:hint="default" w:ascii="Times New Roman" w:hAnsi="Times New Roman" w:eastAsia="宋体" w:cs="Times New Roman"/>
                <w:color w:val="auto"/>
                <w:sz w:val="24"/>
                <w:lang w:val="en-US" w:eastAsia="zh-CN"/>
              </w:rPr>
              <w:t>、搅拌</w:t>
            </w:r>
            <w:r>
              <w:rPr>
                <w:rFonts w:hint="eastAsia" w:ascii="Times New Roman" w:hAnsi="Times New Roman" w:eastAsia="宋体" w:cs="Times New Roman"/>
                <w:color w:val="auto"/>
                <w:sz w:val="24"/>
                <w:lang w:val="en-US" w:eastAsia="zh-CN"/>
              </w:rPr>
              <w:t>设备</w:t>
            </w:r>
            <w:r>
              <w:rPr>
                <w:rFonts w:hint="default" w:ascii="Times New Roman" w:hAnsi="Times New Roman" w:eastAsia="宋体" w:cs="Times New Roman"/>
                <w:color w:val="auto"/>
                <w:sz w:val="24"/>
                <w:lang w:val="en-US" w:eastAsia="zh-CN"/>
              </w:rPr>
              <w:t>呼吸口</w:t>
            </w:r>
            <w:r>
              <w:rPr>
                <w:rFonts w:hint="eastAsia" w:ascii="Times New Roman" w:hAnsi="Times New Roman" w:eastAsia="宋体" w:cs="Times New Roman"/>
                <w:color w:val="auto"/>
                <w:sz w:val="24"/>
                <w:lang w:val="en-US" w:eastAsia="zh-CN"/>
              </w:rPr>
              <w:t>安装管道负压收集，产品出料口废气建设集气罩负压收集，安装“电捕焦油器+活性炭吸附”装置，皮带输送机廊道密封</w:t>
            </w:r>
            <w:r>
              <w:rPr>
                <w:rFonts w:hint="eastAsia" w:cs="Times New Roman"/>
                <w:color w:val="auto"/>
                <w:sz w:val="24"/>
                <w:lang w:val="en-US" w:eastAsia="zh-CN"/>
              </w:rPr>
              <w:t>，初期雨水隔油沉淀池建设。</w:t>
            </w:r>
          </w:p>
          <w:p w14:paraId="13F171BD">
            <w:pPr>
              <w:ind w:firstLine="480"/>
              <w:rPr>
                <w:color w:val="auto"/>
              </w:rPr>
            </w:pPr>
            <w:r>
              <w:rPr>
                <w:rFonts w:hint="eastAsia"/>
                <w:color w:val="auto"/>
              </w:rPr>
              <w:t>1、废气治理措施</w:t>
            </w:r>
          </w:p>
          <w:p w14:paraId="30A50AAC">
            <w:pPr>
              <w:ind w:firstLine="480"/>
              <w:rPr>
                <w:color w:val="auto"/>
              </w:rPr>
            </w:pPr>
            <w:r>
              <w:rPr>
                <w:rFonts w:hint="eastAsia"/>
                <w:color w:val="auto"/>
                <w:lang w:eastAsia="zh-CN"/>
              </w:rPr>
              <w:t>项目施工期</w:t>
            </w:r>
            <w:r>
              <w:rPr>
                <w:rFonts w:hint="eastAsia"/>
                <w:color w:val="auto"/>
              </w:rPr>
              <w:t>工程内容</w:t>
            </w:r>
            <w:r>
              <w:rPr>
                <w:rFonts w:hint="eastAsia"/>
                <w:color w:val="auto"/>
                <w:lang w:eastAsia="zh-CN"/>
              </w:rPr>
              <w:t>主要</w:t>
            </w:r>
            <w:r>
              <w:rPr>
                <w:rFonts w:hint="eastAsia"/>
                <w:color w:val="auto"/>
              </w:rPr>
              <w:t>为</w:t>
            </w:r>
            <w:r>
              <w:rPr>
                <w:rFonts w:hint="default" w:ascii="Times New Roman" w:hAnsi="Times New Roman" w:eastAsia="宋体" w:cs="Times New Roman"/>
                <w:color w:val="auto"/>
                <w:sz w:val="24"/>
                <w:lang w:val="en-US" w:eastAsia="zh-CN"/>
              </w:rPr>
              <w:t>沥青罐</w:t>
            </w:r>
            <w:r>
              <w:rPr>
                <w:rFonts w:hint="eastAsia" w:ascii="Times New Roman" w:hAnsi="Times New Roman" w:eastAsia="宋体" w:cs="Times New Roman"/>
                <w:color w:val="auto"/>
                <w:sz w:val="24"/>
                <w:lang w:val="en-US" w:eastAsia="zh-CN"/>
              </w:rPr>
              <w:t>顶部呼吸口</w:t>
            </w:r>
            <w:r>
              <w:rPr>
                <w:rFonts w:hint="default" w:ascii="Times New Roman" w:hAnsi="Times New Roman" w:eastAsia="宋体" w:cs="Times New Roman"/>
                <w:color w:val="auto"/>
                <w:sz w:val="24"/>
                <w:lang w:val="en-US" w:eastAsia="zh-CN"/>
              </w:rPr>
              <w:t>、搅拌</w:t>
            </w:r>
            <w:r>
              <w:rPr>
                <w:rFonts w:hint="eastAsia" w:ascii="Times New Roman" w:hAnsi="Times New Roman" w:eastAsia="宋体" w:cs="Times New Roman"/>
                <w:color w:val="auto"/>
                <w:sz w:val="24"/>
                <w:lang w:val="en-US" w:eastAsia="zh-CN"/>
              </w:rPr>
              <w:t>设备</w:t>
            </w:r>
            <w:r>
              <w:rPr>
                <w:rFonts w:hint="default" w:ascii="Times New Roman" w:hAnsi="Times New Roman" w:eastAsia="宋体" w:cs="Times New Roman"/>
                <w:color w:val="auto"/>
                <w:sz w:val="24"/>
                <w:lang w:val="en-US" w:eastAsia="zh-CN"/>
              </w:rPr>
              <w:t>呼吸口</w:t>
            </w:r>
            <w:r>
              <w:rPr>
                <w:rFonts w:hint="eastAsia" w:ascii="Times New Roman" w:hAnsi="Times New Roman" w:eastAsia="宋体" w:cs="Times New Roman"/>
                <w:color w:val="auto"/>
                <w:sz w:val="24"/>
                <w:lang w:val="en-US" w:eastAsia="zh-CN"/>
              </w:rPr>
              <w:t>安装管道负压收集，产品出料口废气建设集气罩负压收集，安装“电捕焦油器+活性炭吸附”装置，皮带输送机廊道密封</w:t>
            </w:r>
            <w:r>
              <w:rPr>
                <w:rFonts w:hint="eastAsia" w:cs="Times New Roman"/>
                <w:color w:val="auto"/>
                <w:sz w:val="24"/>
                <w:lang w:val="en-US" w:eastAsia="zh-CN"/>
              </w:rPr>
              <w:t>，初期雨水隔油沉淀池建设</w:t>
            </w:r>
            <w:r>
              <w:rPr>
                <w:rFonts w:hint="eastAsia"/>
                <w:color w:val="auto"/>
              </w:rPr>
              <w:t>，产生的废气包括施工</w:t>
            </w:r>
            <w:r>
              <w:rPr>
                <w:rFonts w:hint="eastAsia"/>
                <w:color w:val="auto"/>
                <w:lang w:val="en-US" w:eastAsia="zh-CN"/>
              </w:rPr>
              <w:t>焊接</w:t>
            </w:r>
            <w:r>
              <w:rPr>
                <w:rFonts w:hint="eastAsia"/>
                <w:color w:val="auto"/>
              </w:rPr>
              <w:t>废气、运输车辆尾气</w:t>
            </w:r>
            <w:r>
              <w:rPr>
                <w:rFonts w:hint="eastAsia"/>
                <w:color w:val="auto"/>
                <w:lang w:eastAsia="zh-CN"/>
              </w:rPr>
              <w:t>、</w:t>
            </w:r>
            <w:r>
              <w:rPr>
                <w:rFonts w:hint="eastAsia"/>
                <w:color w:val="auto"/>
                <w:lang w:val="en-US" w:eastAsia="zh-CN"/>
              </w:rPr>
              <w:t>施工扬尘</w:t>
            </w:r>
            <w:r>
              <w:rPr>
                <w:rFonts w:hint="eastAsia"/>
                <w:color w:val="auto"/>
              </w:rPr>
              <w:t>。</w:t>
            </w:r>
          </w:p>
          <w:p w14:paraId="46972600">
            <w:pPr>
              <w:ind w:firstLine="480"/>
              <w:rPr>
                <w:color w:val="000000" w:themeColor="text1"/>
                <w14:textFill>
                  <w14:solidFill>
                    <w14:schemeClr w14:val="tx1"/>
                  </w14:solidFill>
                </w14:textFill>
              </w:rPr>
            </w:pPr>
            <w:r>
              <w:rPr>
                <w:rFonts w:hint="eastAsia"/>
                <w:color w:val="auto"/>
              </w:rPr>
              <w:t>针对施工期产生的废气，定期洒水降</w:t>
            </w:r>
            <w:r>
              <w:rPr>
                <w:rFonts w:hint="eastAsia"/>
                <w:color w:val="000000" w:themeColor="text1"/>
                <w14:textFill>
                  <w14:solidFill>
                    <w14:schemeClr w14:val="tx1"/>
                  </w14:solidFill>
                </w14:textFill>
              </w:rPr>
              <w:t>尘、使用合格燃料、加强车辆及施工机械维修保养、加强施工管理等措施，以减轻施工期对环境空气的影响。</w:t>
            </w:r>
          </w:p>
          <w:p w14:paraId="2F99ACB6">
            <w:pPr>
              <w:numPr>
                <w:ilvl w:val="0"/>
                <w:numId w:val="2"/>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废水防治措施</w:t>
            </w:r>
          </w:p>
          <w:p w14:paraId="35838C5F">
            <w:pPr>
              <w:ind w:firstLine="480"/>
              <w:rPr>
                <w:color w:val="000000" w:themeColor="text1"/>
                <w14:textFill>
                  <w14:solidFill>
                    <w14:schemeClr w14:val="tx1"/>
                  </w14:solidFill>
                </w14:textFill>
              </w:rPr>
            </w:pPr>
            <w:r>
              <w:rPr>
                <w:color w:val="000000" w:themeColor="text1"/>
                <w14:textFill>
                  <w14:solidFill>
                    <w14:schemeClr w14:val="tx1"/>
                  </w14:solidFill>
                </w14:textFill>
              </w:rPr>
              <w:t>施工期废水主要是施工人员产生的生活污水，主要污染物为SS、COD、氨氮等。施工人员按平均每天5人计算，用水量按照《建筑给水排水设计规范》</w:t>
            </w:r>
            <w:r>
              <w:rPr>
                <w:bCs/>
                <w:color w:val="000000" w:themeColor="text1"/>
                <w:kern w:val="0"/>
                <w14:textFill>
                  <w14:solidFill>
                    <w14:schemeClr w14:val="tx1"/>
                  </w14:solidFill>
                </w14:textFill>
              </w:rPr>
              <w:t>（</w:t>
            </w:r>
            <w:r>
              <w:rPr>
                <w:color w:val="000000" w:themeColor="text1"/>
                <w14:textFill>
                  <w14:solidFill>
                    <w14:schemeClr w14:val="tx1"/>
                  </w14:solidFill>
                </w14:textFill>
              </w:rPr>
              <w:t>GB50015-2003</w:t>
            </w:r>
            <w:r>
              <w:rPr>
                <w:bCs/>
                <w:color w:val="000000" w:themeColor="text1"/>
                <w:kern w:val="0"/>
                <w14:textFill>
                  <w14:solidFill>
                    <w14:schemeClr w14:val="tx1"/>
                  </w14:solidFill>
                </w14:textFill>
              </w:rPr>
              <w:t>）</w:t>
            </w:r>
            <w:r>
              <w:rPr>
                <w:color w:val="000000" w:themeColor="text1"/>
                <w14:textFill>
                  <w14:solidFill>
                    <w14:schemeClr w14:val="tx1"/>
                  </w14:solidFill>
                </w14:textFill>
              </w:rPr>
              <w:t>，按50L/d·人计算，排放系数0.8，用水量为0.25t/d，产生的生活污水量为0.2t/d，依托</w:t>
            </w:r>
            <w:bookmarkStart w:id="16" w:name="_Hlk194587436"/>
            <w:r>
              <w:rPr>
                <w:rFonts w:hint="eastAsia"/>
                <w:color w:val="000000" w:themeColor="text1"/>
                <w:lang w:val="en-US" w:eastAsia="zh-CN"/>
                <w14:textFill>
                  <w14:solidFill>
                    <w14:schemeClr w14:val="tx1"/>
                  </w14:solidFill>
                </w14:textFill>
              </w:rPr>
              <w:t>采石场办公区</w:t>
            </w:r>
            <w:bookmarkEnd w:id="16"/>
            <w:r>
              <w:rPr>
                <w:rFonts w:hint="eastAsia"/>
                <w:color w:val="000000" w:themeColor="text1"/>
                <w:lang w:val="en-US" w:eastAsia="zh-CN"/>
                <w14:textFill>
                  <w14:solidFill>
                    <w14:schemeClr w14:val="tx1"/>
                  </w14:solidFill>
                </w14:textFill>
              </w:rPr>
              <w:t>化粪池处理后用作周围农作物施肥</w:t>
            </w:r>
            <w:r>
              <w:rPr>
                <w:color w:val="000000" w:themeColor="text1"/>
                <w14:textFill>
                  <w14:solidFill>
                    <w14:schemeClr w14:val="tx1"/>
                  </w14:solidFill>
                </w14:textFill>
              </w:rPr>
              <w:t>。</w:t>
            </w:r>
          </w:p>
          <w:p w14:paraId="12ACF294">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r>
              <w:rPr>
                <w:bCs/>
                <w:color w:val="000000" w:themeColor="text1"/>
                <w14:textFill>
                  <w14:solidFill>
                    <w14:schemeClr w14:val="tx1"/>
                  </w14:solidFill>
                </w14:textFill>
              </w:rPr>
              <w:t>、噪声防治措施</w:t>
            </w:r>
          </w:p>
          <w:p w14:paraId="0FE2D7FC">
            <w:pPr>
              <w:ind w:firstLine="480"/>
              <w:rPr>
                <w:color w:val="000000" w:themeColor="text1"/>
                <w:lang w:val="zh-CN"/>
                <w14:textFill>
                  <w14:solidFill>
                    <w14:schemeClr w14:val="tx1"/>
                  </w14:solidFill>
                </w14:textFill>
              </w:rPr>
            </w:pPr>
            <w:r>
              <w:rPr>
                <w:color w:val="000000" w:themeColor="text1"/>
                <w:lang w:val="zh-CN"/>
                <w14:textFill>
                  <w14:solidFill>
                    <w14:schemeClr w14:val="tx1"/>
                  </w14:solidFill>
                </w14:textFill>
              </w:rPr>
              <w:t>项目施工期噪声主要为运输车辆噪声及设备安装调试时产生的噪声，噪声具有间歇性且持续时间较短，且施工期较短，随着施工期的结束，施工期噪声的影响也随之消失，对周围环境的影响不大。为减缓施工噪声的影响，本环评提出如下措施：</w:t>
            </w:r>
          </w:p>
          <w:p w14:paraId="0C848537">
            <w:pPr>
              <w:ind w:firstLine="480"/>
              <w:rPr>
                <w:lang w:val="zh-CN"/>
              </w:rPr>
            </w:pPr>
            <w:r>
              <w:rPr>
                <w:bCs/>
                <w:kern w:val="0"/>
              </w:rPr>
              <w:t>（1）</w:t>
            </w:r>
            <w:r>
              <w:t>从装修设备选型上尽量采用低噪声设备</w:t>
            </w:r>
            <w:r>
              <w:rPr>
                <w:lang w:val="zh-CN"/>
              </w:rPr>
              <w:t>；</w:t>
            </w:r>
          </w:p>
          <w:p w14:paraId="52F737F7">
            <w:pPr>
              <w:ind w:firstLine="480"/>
              <w:rPr>
                <w:lang w:val="zh-CN"/>
              </w:rPr>
            </w:pPr>
            <w:r>
              <w:rPr>
                <w:bCs/>
                <w:kern w:val="0"/>
              </w:rPr>
              <w:t>（2）</w:t>
            </w:r>
            <w:r>
              <w:rPr>
                <w:lang w:val="zh-CN"/>
              </w:rPr>
              <w:t>施工方应合理安排施工时间（禁止在昼间12:00</w:t>
            </w:r>
            <w:r>
              <w:t>～14</w:t>
            </w:r>
            <w:r>
              <w:rPr>
                <w:lang w:val="zh-CN"/>
              </w:rPr>
              <w:t>:00、夜间22:00</w:t>
            </w:r>
            <w:r>
              <w:t>～</w:t>
            </w:r>
            <w:r>
              <w:rPr>
                <w:lang w:val="zh-CN"/>
              </w:rPr>
              <w:t>6:00施工）；</w:t>
            </w:r>
          </w:p>
          <w:p w14:paraId="712AE647">
            <w:pPr>
              <w:ind w:firstLine="480"/>
              <w:rPr>
                <w:lang w:val="zh-CN"/>
              </w:rPr>
            </w:pPr>
            <w:r>
              <w:rPr>
                <w:bCs/>
                <w:kern w:val="0"/>
              </w:rPr>
              <w:t>（3）</w:t>
            </w:r>
            <w:r>
              <w:t>制定施工计划时，应尽量避免大量高噪声设备同时施工等方面降低装修噪声对周边环境的影响；</w:t>
            </w:r>
          </w:p>
          <w:p w14:paraId="15D1330C">
            <w:pPr>
              <w:ind w:firstLine="480"/>
              <w:rPr>
                <w:b/>
                <w:color w:val="000000" w:themeColor="text1"/>
                <w14:textFill>
                  <w14:solidFill>
                    <w14:schemeClr w14:val="tx1"/>
                  </w14:solidFill>
                </w14:textFill>
              </w:rPr>
            </w:pPr>
            <w:r>
              <w:rPr>
                <w:rFonts w:hint="eastAsia"/>
                <w:bCs/>
                <w:color w:val="000000" w:themeColor="text1"/>
                <w14:textFill>
                  <w14:solidFill>
                    <w14:schemeClr w14:val="tx1"/>
                  </w14:solidFill>
                </w14:textFill>
              </w:rPr>
              <w:t>4</w:t>
            </w:r>
            <w:r>
              <w:rPr>
                <w:bCs/>
                <w:color w:val="000000" w:themeColor="text1"/>
                <w14:textFill>
                  <w14:solidFill>
                    <w14:schemeClr w14:val="tx1"/>
                  </w14:solidFill>
                </w14:textFill>
              </w:rPr>
              <w:t>、施工期固废防治措施</w:t>
            </w:r>
          </w:p>
          <w:p w14:paraId="15A013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施工期产生的固废包括</w:t>
            </w:r>
            <w:r>
              <w:rPr>
                <w:rFonts w:hint="eastAsia"/>
                <w:color w:val="000000" w:themeColor="text1"/>
                <w:lang w:val="en-US" w:eastAsia="zh-CN"/>
                <w14:textFill>
                  <w14:solidFill>
                    <w14:schemeClr w14:val="tx1"/>
                  </w14:solidFill>
                </w14:textFill>
              </w:rPr>
              <w:t>废土石</w:t>
            </w:r>
            <w:r>
              <w:rPr>
                <w:rFonts w:hint="eastAsia"/>
                <w:color w:val="000000" w:themeColor="text1"/>
                <w14:textFill>
                  <w14:solidFill>
                    <w14:schemeClr w14:val="tx1"/>
                  </w14:solidFill>
                </w14:textFill>
              </w:rPr>
              <w:t>、废弃包装材料和生活垃圾。</w:t>
            </w:r>
          </w:p>
          <w:p w14:paraId="5E17A2A7">
            <w:pPr>
              <w:ind w:firstLine="0" w:firstLineChars="0"/>
            </w:pPr>
            <w:r>
              <w:rPr>
                <w:rFonts w:hint="eastAsia" w:ascii="Times New Roman" w:hAnsi="Times New Roman" w:eastAsia="宋体" w:cs="Times New Roman"/>
                <w:color w:val="000000" w:themeColor="text1"/>
                <w14:textFill>
                  <w14:solidFill>
                    <w14:schemeClr w14:val="tx1"/>
                  </w14:solidFill>
                </w14:textFill>
              </w:rPr>
              <w:t>生活垃圾集中收集后委托环卫部门清运处理，废弃包装材料收集后外售废品</w:t>
            </w:r>
            <w:r>
              <w:rPr>
                <w:rFonts w:hint="default" w:ascii="Times New Roman" w:hAnsi="Times New Roman" w:eastAsia="宋体" w:cs="Times New Roman"/>
                <w:color w:val="000000" w:themeColor="text1"/>
                <w:lang w:eastAsia="zh-CN"/>
                <w14:textFill>
                  <w14:solidFill>
                    <w14:schemeClr w14:val="tx1"/>
                  </w14:solidFill>
                </w14:textFill>
              </w:rPr>
              <w:t>回收</w:t>
            </w:r>
            <w:r>
              <w:rPr>
                <w:rFonts w:hint="eastAsia" w:ascii="Times New Roman" w:hAnsi="Times New Roman" w:eastAsia="宋体" w:cs="Times New Roman"/>
                <w:color w:val="000000" w:themeColor="text1"/>
                <w14:textFill>
                  <w14:solidFill>
                    <w14:schemeClr w14:val="tx1"/>
                  </w14:solidFill>
                </w14:textFill>
              </w:rPr>
              <w:t>站。施工中产生的</w:t>
            </w:r>
            <w:r>
              <w:rPr>
                <w:rFonts w:hint="eastAsia" w:ascii="Times New Roman" w:hAnsi="Times New Roman" w:eastAsia="宋体" w:cs="Times New Roman"/>
                <w:color w:val="000000" w:themeColor="text1"/>
                <w:lang w:val="en-US" w:eastAsia="zh-CN"/>
                <w14:textFill>
                  <w14:solidFill>
                    <w14:schemeClr w14:val="tx1"/>
                  </w14:solidFill>
                </w14:textFill>
              </w:rPr>
              <w:t>废土石</w:t>
            </w:r>
            <w:r>
              <w:rPr>
                <w:rFonts w:hint="eastAsia"/>
                <w:lang w:val="en-US" w:eastAsia="zh-CN"/>
              </w:rPr>
              <w:t>用于采石场绿化覆土</w:t>
            </w:r>
            <w:r>
              <w:rPr>
                <w:rFonts w:hint="eastAsia" w:ascii="Times New Roman" w:hAnsi="Times New Roman" w:eastAsia="宋体" w:cs="Times New Roman"/>
                <w:color w:val="000000" w:themeColor="text1"/>
                <w14:textFill>
                  <w14:solidFill>
                    <w14:schemeClr w14:val="tx1"/>
                  </w14:solidFill>
                </w14:textFill>
              </w:rPr>
              <w:t>。</w:t>
            </w:r>
          </w:p>
        </w:tc>
      </w:tr>
      <w:tr w14:paraId="60ABD9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96" w:type="dxa"/>
            <w:noWrap w:val="0"/>
            <w:vAlign w:val="center"/>
          </w:tcPr>
          <w:p w14:paraId="1FAA402E">
            <w:pPr>
              <w:ind w:firstLine="0" w:firstLineChars="0"/>
              <w:jc w:val="center"/>
              <w:rPr>
                <w:rFonts w:hint="eastAsia" w:eastAsia="宋体"/>
                <w:lang w:eastAsia="zh-CN"/>
              </w:rPr>
            </w:pPr>
            <w:r>
              <w:rPr>
                <w:rFonts w:hint="eastAsia"/>
                <w:lang w:eastAsia="zh-CN"/>
              </w:rPr>
              <w:t>运营期环境影响和保护措施</w:t>
            </w:r>
          </w:p>
        </w:tc>
        <w:tc>
          <w:tcPr>
            <w:tcW w:w="7526" w:type="dxa"/>
            <w:noWrap w:val="0"/>
            <w:vAlign w:val="center"/>
          </w:tcPr>
          <w:p w14:paraId="3BFBEB1F">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Cs w:val="21"/>
                <w:lang w:val="en-US" w:eastAsia="zh-CN"/>
                <w14:textFill>
                  <w14:solidFill>
                    <w14:schemeClr w14:val="tx1"/>
                  </w14:solidFill>
                </w14:textFill>
              </w:rPr>
              <w:t>一、废气环境影响及保护措施</w:t>
            </w:r>
          </w:p>
          <w:p w14:paraId="47B34DDA">
            <w:pPr>
              <w:keepNext w:val="0"/>
              <w:keepLines w:val="0"/>
              <w:pageBreakBefore w:val="0"/>
              <w:widowControl w:val="0"/>
              <w:tabs>
                <w:tab w:val="left" w:pos="1760"/>
                <w:tab w:val="center" w:pos="3647"/>
              </w:tabs>
              <w:kinsoku/>
              <w:wordWrap/>
              <w:overflowPunct/>
              <w:topLinePunct w:val="0"/>
              <w:autoSpaceDE/>
              <w:autoSpaceDN/>
              <w:bidi w:val="0"/>
              <w:adjustRightInd/>
              <w:snapToGrid w:val="0"/>
              <w:spacing w:before="157" w:beforeLines="50"/>
              <w:ind w:firstLine="480"/>
              <w:textAlignment w:val="auto"/>
              <w:rPr>
                <w:rFonts w:hint="eastAsia" w:ascii="Times New Roman" w:hAnsi="Times New Roman" w:eastAsia="宋体" w:cs="Times New Roman"/>
                <w:color w:val="auto"/>
                <w:kern w:val="0"/>
                <w:lang w:val="en-US" w:eastAsia="zh-CN"/>
              </w:rPr>
            </w:pPr>
            <w:r>
              <w:rPr>
                <w:rFonts w:hint="eastAsia" w:ascii="Times New Roman" w:hAnsi="Times New Roman" w:eastAsia="宋体" w:cs="Times New Roman"/>
                <w:color w:val="auto"/>
                <w:kern w:val="0"/>
                <w:lang w:val="en-US" w:eastAsia="zh-CN"/>
              </w:rPr>
              <w:t>本项目运营期产生废气主要为</w:t>
            </w:r>
            <w:r>
              <w:rPr>
                <w:rFonts w:hint="eastAsia" w:ascii="Times New Roman" w:hAnsi="Times New Roman" w:eastAsia="宋体" w:cs="Times New Roman"/>
                <w:color w:val="auto"/>
                <w:kern w:val="0"/>
                <w:lang w:val="en-US" w:eastAsia="zh-CN"/>
              </w:rPr>
              <w:tab/>
            </w:r>
            <w:r>
              <w:rPr>
                <w:rFonts w:hint="eastAsia" w:cs="Times New Roman"/>
                <w:color w:val="auto"/>
                <w:kern w:val="0"/>
                <w:lang w:val="en-US" w:eastAsia="zh-CN"/>
              </w:rPr>
              <w:t>砂石料装卸废气、</w:t>
            </w:r>
            <w:r>
              <w:rPr>
                <w:rFonts w:hint="eastAsia" w:ascii="Times New Roman" w:hAnsi="Times New Roman" w:eastAsia="宋体" w:cs="Times New Roman"/>
                <w:color w:val="auto"/>
                <w:kern w:val="0"/>
                <w:lang w:val="en-US" w:eastAsia="zh-CN"/>
              </w:rPr>
              <w:t>上料</w:t>
            </w:r>
            <w:r>
              <w:rPr>
                <w:rFonts w:hint="eastAsia" w:cs="Times New Roman"/>
                <w:color w:val="auto"/>
                <w:kern w:val="0"/>
                <w:lang w:val="en-US" w:eastAsia="zh-CN"/>
              </w:rPr>
              <w:t>扬</w:t>
            </w:r>
            <w:r>
              <w:rPr>
                <w:rFonts w:hint="eastAsia" w:ascii="Times New Roman" w:hAnsi="Times New Roman" w:eastAsia="宋体" w:cs="Times New Roman"/>
                <w:color w:val="auto"/>
                <w:kern w:val="0"/>
                <w:lang w:val="en-US" w:eastAsia="zh-CN"/>
              </w:rPr>
              <w:t>尘、</w:t>
            </w:r>
            <w:r>
              <w:rPr>
                <w:rFonts w:hint="eastAsia" w:cs="Times New Roman"/>
                <w:color w:val="auto"/>
                <w:kern w:val="0"/>
                <w:lang w:val="en-US" w:eastAsia="zh-CN"/>
              </w:rPr>
              <w:t>皮带输送扬尘、</w:t>
            </w:r>
            <w:r>
              <w:rPr>
                <w:rFonts w:hint="eastAsia" w:ascii="Times New Roman" w:hAnsi="Times New Roman" w:eastAsia="宋体" w:cs="Times New Roman"/>
                <w:color w:val="auto"/>
                <w:kern w:val="0"/>
                <w:lang w:val="en-US" w:eastAsia="zh-CN"/>
              </w:rPr>
              <w:t>烘干滚筒</w:t>
            </w:r>
            <w:r>
              <w:rPr>
                <w:rFonts w:hint="eastAsia" w:cs="Times New Roman"/>
                <w:color w:val="auto"/>
                <w:kern w:val="0"/>
                <w:lang w:val="en-US" w:eastAsia="zh-CN"/>
              </w:rPr>
              <w:t>燃烧</w:t>
            </w:r>
            <w:r>
              <w:rPr>
                <w:rFonts w:hint="eastAsia" w:ascii="Times New Roman" w:hAnsi="Times New Roman" w:eastAsia="宋体" w:cs="Times New Roman"/>
                <w:color w:val="auto"/>
                <w:kern w:val="0"/>
                <w:lang w:val="en-US" w:eastAsia="zh-CN"/>
              </w:rPr>
              <w:t>废气</w:t>
            </w:r>
            <w:r>
              <w:rPr>
                <w:rFonts w:hint="eastAsia" w:cs="Times New Roman"/>
                <w:color w:val="auto"/>
                <w:kern w:val="0"/>
                <w:lang w:val="en-US" w:eastAsia="zh-CN"/>
              </w:rPr>
              <w:t>、烘干滚筒石料滚动扬尘、筛分扬尘</w:t>
            </w:r>
            <w:r>
              <w:rPr>
                <w:rFonts w:hint="eastAsia" w:ascii="Times New Roman" w:hAnsi="Times New Roman" w:eastAsia="宋体" w:cs="Times New Roman"/>
                <w:color w:val="auto"/>
                <w:kern w:val="0"/>
                <w:lang w:val="en-US" w:eastAsia="zh-CN"/>
              </w:rPr>
              <w:t>、</w:t>
            </w:r>
            <w:r>
              <w:rPr>
                <w:rFonts w:hint="eastAsia" w:cs="Times New Roman"/>
                <w:color w:val="auto"/>
                <w:kern w:val="0"/>
                <w:lang w:val="en-US" w:eastAsia="zh-CN"/>
              </w:rPr>
              <w:t>沥青加热、搅拌和出料口逸散废气</w:t>
            </w:r>
            <w:r>
              <w:rPr>
                <w:rFonts w:hint="eastAsia" w:ascii="Times New Roman" w:hAnsi="Times New Roman" w:eastAsia="宋体" w:cs="Times New Roman"/>
                <w:color w:val="auto"/>
                <w:kern w:val="0"/>
                <w:lang w:val="en-US" w:eastAsia="zh-CN"/>
              </w:rPr>
              <w:t>、有机热载体炉</w:t>
            </w:r>
            <w:r>
              <w:rPr>
                <w:rFonts w:hint="eastAsia" w:cs="Times New Roman"/>
                <w:color w:val="auto"/>
                <w:kern w:val="0"/>
                <w:lang w:val="en-US" w:eastAsia="zh-CN"/>
              </w:rPr>
              <w:t>废</w:t>
            </w:r>
            <w:r>
              <w:rPr>
                <w:rFonts w:hint="eastAsia" w:ascii="Times New Roman" w:hAnsi="Times New Roman" w:eastAsia="宋体" w:cs="Times New Roman"/>
                <w:color w:val="auto"/>
                <w:kern w:val="0"/>
                <w:lang w:val="en-US" w:eastAsia="zh-CN"/>
              </w:rPr>
              <w:t>气</w:t>
            </w:r>
            <w:r>
              <w:rPr>
                <w:rFonts w:hint="eastAsia" w:cs="Times New Roman"/>
                <w:color w:val="auto"/>
                <w:kern w:val="0"/>
                <w:lang w:val="en-US" w:eastAsia="zh-CN"/>
              </w:rPr>
              <w:t>、运输扬尘、矿粉筒仓废气</w:t>
            </w:r>
            <w:r>
              <w:rPr>
                <w:rFonts w:hint="eastAsia" w:ascii="Times New Roman" w:hAnsi="Times New Roman" w:eastAsia="宋体" w:cs="Times New Roman"/>
                <w:color w:val="auto"/>
                <w:kern w:val="0"/>
                <w:lang w:val="en-US" w:eastAsia="zh-CN"/>
              </w:rPr>
              <w:t>。</w:t>
            </w:r>
          </w:p>
          <w:p w14:paraId="6E587B2E">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lang w:val="en-US" w:eastAsia="zh-CN"/>
              </w:rPr>
            </w:pPr>
            <w:r>
              <w:rPr>
                <w:rFonts w:hint="eastAsia" w:cs="Times New Roman"/>
                <w:b/>
                <w:bCs/>
                <w:lang w:val="en-US" w:eastAsia="zh-CN"/>
              </w:rPr>
              <w:t>（一）废气源强核算</w:t>
            </w:r>
          </w:p>
          <w:p w14:paraId="1620B1C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lang w:val="en-US" w:eastAsia="zh-CN"/>
              </w:rPr>
              <w:t>1、</w:t>
            </w:r>
            <w:r>
              <w:rPr>
                <w:rFonts w:hint="eastAsia" w:ascii="Times New Roman" w:hAnsi="Times New Roman" w:eastAsia="宋体" w:cs="Times New Roman"/>
                <w:b/>
                <w:bCs/>
                <w:color w:val="auto"/>
                <w:lang w:val="en-US" w:eastAsia="zh-CN"/>
              </w:rPr>
              <w:t>有组织废气</w:t>
            </w:r>
          </w:p>
          <w:p w14:paraId="662153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（1）</w:t>
            </w:r>
            <w:r>
              <w:rPr>
                <w:rFonts w:hint="eastAsia" w:cs="Times New Roman"/>
                <w:b/>
                <w:bCs/>
                <w:color w:val="auto"/>
                <w:kern w:val="0"/>
                <w:lang w:val="en-US" w:eastAsia="zh-CN"/>
              </w:rPr>
              <w:t>上料扬</w:t>
            </w:r>
            <w:r>
              <w:rPr>
                <w:rFonts w:hint="eastAsia" w:ascii="Times New Roman" w:hAnsi="Times New Roman" w:eastAsia="宋体" w:cs="Times New Roman"/>
                <w:b/>
                <w:bCs/>
                <w:color w:val="auto"/>
                <w:kern w:val="0"/>
                <w:lang w:val="en-US" w:eastAsia="zh-CN"/>
              </w:rPr>
              <w:t>尘、烘干滚筒燃烧废气、烘干滚筒石料滚动扬尘、</w:t>
            </w:r>
            <w:r>
              <w:rPr>
                <w:rFonts w:hint="eastAsia" w:ascii="Times New Roman" w:hAnsi="Times New Roman" w:eastAsia="宋体" w:cs="Times New Roman"/>
                <w:b/>
                <w:bCs/>
                <w:i w:val="0"/>
                <w:color w:val="auto"/>
                <w:kern w:val="0"/>
                <w:sz w:val="24"/>
                <w:szCs w:val="22"/>
                <w:lang w:val="en-US" w:eastAsia="zh-CN" w:bidi="ar"/>
              </w:rPr>
              <w:t>筛</w:t>
            </w:r>
            <w:r>
              <w:rPr>
                <w:rFonts w:hint="eastAsia" w:ascii="Times New Roman" w:hAnsi="Times New Roman" w:eastAsia="宋体" w:cs="Times New Roman"/>
                <w:b/>
                <w:bCs/>
                <w:color w:val="auto"/>
                <w:kern w:val="0"/>
                <w:lang w:val="en-US" w:eastAsia="zh-CN"/>
              </w:rPr>
              <w:t>分扬尘</w:t>
            </w:r>
            <w:r>
              <w:rPr>
                <w:rFonts w:hint="eastAsia" w:ascii="Times New Roman" w:hAnsi="Times New Roman" w:eastAsia="宋体" w:cs="Times New Roman"/>
                <w:b/>
                <w:bCs/>
                <w:i w:val="0"/>
                <w:color w:val="auto"/>
                <w:kern w:val="0"/>
                <w:sz w:val="24"/>
                <w:szCs w:val="22"/>
                <w:lang w:val="en-US" w:eastAsia="zh-CN" w:bidi="ar"/>
              </w:rPr>
              <w:t>（</w:t>
            </w:r>
            <w:r>
              <w:rPr>
                <w:rFonts w:hint="eastAsia" w:ascii="Times New Roman" w:hAnsi="Times New Roman" w:eastAsia="宋体" w:cs="Times New Roman"/>
                <w:b/>
                <w:bCs/>
                <w:color w:val="auto"/>
                <w:kern w:val="0"/>
                <w:lang w:val="en-US" w:eastAsia="zh-CN"/>
              </w:rPr>
              <w:t>DA001）</w:t>
            </w:r>
          </w:p>
          <w:p w14:paraId="577AC978">
            <w:pPr>
              <w:pStyle w:val="5"/>
              <w:keepNext w:val="0"/>
              <w:keepLines w:val="0"/>
              <w:pageBreakBefore w:val="0"/>
              <w:widowControl w:val="0"/>
              <w:kinsoku/>
              <w:wordWrap/>
              <w:overflowPunct/>
              <w:topLinePunct w:val="0"/>
              <w:autoSpaceDE/>
              <w:autoSpaceDN/>
              <w:bidi w:val="0"/>
              <w:adjustRightInd w:val="0"/>
              <w:snapToGrid/>
              <w:spacing w:after="0" w:line="360" w:lineRule="auto"/>
              <w:ind w:firstLine="482" w:firstLineChars="200"/>
              <w:textAlignment w:val="auto"/>
              <w:rPr>
                <w:rFonts w:hint="default" w:ascii="Times New Roman" w:hAnsi="Times New Roman" w:eastAsia="宋体" w:cs="Times New Roman"/>
                <w:b/>
                <w:bCs/>
                <w:color w:val="auto"/>
                <w:kern w:val="0"/>
                <w:sz w:val="24"/>
                <w:szCs w:val="22"/>
                <w:lang w:val="en-US" w:eastAsia="zh-CN" w:bidi="ar-SA"/>
              </w:rPr>
            </w:pPr>
            <w:r>
              <w:rPr>
                <w:rFonts w:hint="default" w:ascii="Times New Roman" w:hAnsi="Times New Roman" w:eastAsia="宋体" w:cs="Times New Roman"/>
                <w:b/>
                <w:bCs/>
                <w:color w:val="auto"/>
                <w:kern w:val="0"/>
                <w:sz w:val="24"/>
                <w:szCs w:val="22"/>
                <w:lang w:val="en-US" w:eastAsia="zh-CN" w:bidi="ar-SA"/>
              </w:rPr>
              <w:t>①</w:t>
            </w:r>
            <w:r>
              <w:rPr>
                <w:rFonts w:hint="eastAsia" w:cs="Times New Roman"/>
                <w:b/>
                <w:bCs/>
                <w:color w:val="auto"/>
                <w:kern w:val="0"/>
                <w:sz w:val="24"/>
                <w:szCs w:val="22"/>
                <w:lang w:val="en-US" w:eastAsia="zh-CN" w:bidi="ar-SA"/>
              </w:rPr>
              <w:t>上料</w:t>
            </w:r>
            <w:r>
              <w:rPr>
                <w:rFonts w:hint="eastAsia" w:ascii="Times New Roman" w:hAnsi="Times New Roman" w:eastAsia="宋体" w:cs="Times New Roman"/>
                <w:b/>
                <w:bCs/>
                <w:color w:val="auto"/>
                <w:kern w:val="0"/>
                <w:sz w:val="24"/>
                <w:szCs w:val="22"/>
                <w:lang w:val="en-US" w:eastAsia="zh-CN" w:bidi="ar-SA"/>
              </w:rPr>
              <w:t>扬尘</w:t>
            </w:r>
          </w:p>
          <w:p w14:paraId="5D439A5C">
            <w:pPr>
              <w:pStyle w:val="5"/>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投料口上方设置集气罩，投料废气经集气罩收集通过管道与烘干废气一起进入“旋风除尘器+布袋除尘器”处理后通过1根15m高、直径约0.5m的排气筒（DA001）排放。</w:t>
            </w:r>
          </w:p>
          <w:p w14:paraId="3AC7D77E">
            <w:pPr>
              <w:widowControl/>
              <w:overflowPunct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rPr>
              <w:t>由于《排放源统计调查产排污核算方法和系数手册》中“3091石墨及碳素制品制造行业系数手册”系数表中没有相关产污系数，本项目根据《逸散性工业粉尘控制技术》原文 P326-327中“表 21-1 沥青混凝土制造厂的逸散性粉尘排放因</w:t>
            </w:r>
            <w:r>
              <w:rPr>
                <w:rFonts w:hint="eastAsia"/>
                <w:color w:val="auto"/>
              </w:rPr>
              <w:t>子”，</w:t>
            </w:r>
            <w:r>
              <w:rPr>
                <w:rFonts w:hint="eastAsia" w:cs="Times New Roman"/>
                <w:color w:val="auto"/>
                <w:kern w:val="0"/>
                <w:sz w:val="24"/>
                <w:lang w:val="en-US" w:eastAsia="zh-CN" w:bidi="ar"/>
              </w:rPr>
              <w:t>送料过程中</w:t>
            </w:r>
            <w:r>
              <w:rPr>
                <w:rFonts w:hint="eastAsia"/>
                <w:color w:val="auto"/>
              </w:rPr>
              <w:t>逸散粉尘排放因子为0.0</w:t>
            </w:r>
            <w:r>
              <w:rPr>
                <w:rFonts w:hint="eastAsia"/>
                <w:color w:val="auto"/>
                <w:lang w:val="en-US" w:eastAsia="zh-CN"/>
              </w:rPr>
              <w:t>2</w:t>
            </w:r>
            <w:r>
              <w:rPr>
                <w:rFonts w:hint="eastAsia"/>
                <w:color w:val="auto"/>
              </w:rPr>
              <w:t>kg/t</w:t>
            </w:r>
            <w:r>
              <w:rPr>
                <w:rFonts w:hint="eastAsia"/>
                <w:color w:val="auto"/>
                <w:lang w:val="en-US" w:eastAsia="zh-CN"/>
              </w:rPr>
              <w:t>-</w:t>
            </w:r>
            <w:r>
              <w:rPr>
                <w:rFonts w:ascii="Times New Roman" w:hAnsi="Times New Roman" w:eastAsia="宋体" w:cs="Times New Roman"/>
                <w:color w:val="auto"/>
                <w:kern w:val="0"/>
                <w:sz w:val="24"/>
                <w:lang w:bidi="ar"/>
              </w:rPr>
              <w:t>原料</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本项目砂石料使用量为</w:t>
            </w:r>
            <w:r>
              <w:rPr>
                <w:rFonts w:hint="eastAsia" w:cs="Times New Roman"/>
                <w:color w:val="auto"/>
                <w:kern w:val="0"/>
                <w:sz w:val="24"/>
                <w:lang w:val="en-US" w:eastAsia="zh-CN" w:bidi="ar"/>
              </w:rPr>
              <w:t>92000</w:t>
            </w:r>
            <w:r>
              <w:rPr>
                <w:rFonts w:hint="eastAsia" w:ascii="Times New Roman" w:hAnsi="Times New Roman" w:eastAsia="宋体" w:cs="Times New Roman"/>
                <w:color w:val="auto"/>
                <w:kern w:val="0"/>
                <w:sz w:val="24"/>
                <w:lang w:val="en-US" w:eastAsia="zh-CN" w:bidi="ar"/>
              </w:rPr>
              <w:t>t/a，则</w:t>
            </w:r>
            <w:r>
              <w:rPr>
                <w:rFonts w:hint="eastAsia"/>
                <w:color w:val="auto"/>
                <w:lang w:val="en-US" w:eastAsia="zh-CN"/>
              </w:rPr>
              <w:t>上料扬尘</w:t>
            </w:r>
            <w:r>
              <w:rPr>
                <w:rFonts w:hint="eastAsia" w:ascii="Times New Roman" w:hAnsi="Times New Roman" w:eastAsia="宋体" w:cs="Times New Roman"/>
                <w:color w:val="auto"/>
                <w:kern w:val="0"/>
                <w:sz w:val="24"/>
                <w:lang w:val="en-US" w:eastAsia="zh-CN" w:bidi="ar"/>
              </w:rPr>
              <w:t>产生量为</w:t>
            </w:r>
            <w:r>
              <w:rPr>
                <w:rFonts w:hint="eastAsia" w:cs="Times New Roman"/>
                <w:color w:val="auto"/>
                <w:kern w:val="0"/>
                <w:sz w:val="24"/>
                <w:lang w:val="en-US" w:eastAsia="zh-CN" w:bidi="ar"/>
              </w:rPr>
              <w:t>1.84</w:t>
            </w:r>
            <w:r>
              <w:rPr>
                <w:rFonts w:hint="eastAsia" w:ascii="Times New Roman" w:hAnsi="Times New Roman" w:eastAsia="宋体" w:cs="Times New Roman"/>
                <w:color w:val="auto"/>
                <w:kern w:val="0"/>
                <w:sz w:val="24"/>
                <w:lang w:val="en-US" w:eastAsia="zh-CN" w:bidi="ar"/>
              </w:rPr>
              <w:t>t/a</w:t>
            </w:r>
            <w:r>
              <w:rPr>
                <w:rFonts w:hint="eastAsia" w:cs="Times New Roman"/>
                <w:color w:val="auto"/>
                <w:kern w:val="0"/>
                <w:sz w:val="24"/>
                <w:lang w:val="en-US" w:eastAsia="zh-CN" w:bidi="ar"/>
              </w:rPr>
              <w:t>，</w:t>
            </w:r>
            <w:r>
              <w:rPr>
                <w:rFonts w:hint="eastAsia"/>
                <w:color w:val="auto"/>
              </w:rPr>
              <w:t>产生速率为</w:t>
            </w:r>
            <w:r>
              <w:rPr>
                <w:rFonts w:hint="eastAsia"/>
                <w:color w:val="auto"/>
                <w:lang w:val="en-US" w:eastAsia="zh-CN"/>
              </w:rPr>
              <w:t>1.278</w:t>
            </w:r>
            <w:r>
              <w:rPr>
                <w:rFonts w:hint="eastAsia"/>
                <w:color w:val="auto"/>
              </w:rPr>
              <w:t>kg</w:t>
            </w:r>
            <w:r>
              <w:rPr>
                <w:color w:val="auto"/>
              </w:rPr>
              <w:t>/</w:t>
            </w:r>
            <w:r>
              <w:rPr>
                <w:rFonts w:hint="eastAsia"/>
                <w:color w:val="auto"/>
              </w:rPr>
              <w:t>h</w:t>
            </w:r>
            <w:r>
              <w:rPr>
                <w:rFonts w:hint="eastAsia"/>
                <w:color w:val="auto"/>
                <w:lang w:eastAsia="zh-CN"/>
              </w:rPr>
              <w:t>（</w:t>
            </w:r>
            <w:r>
              <w:rPr>
                <w:rFonts w:hint="eastAsia"/>
                <w:color w:val="auto"/>
              </w:rPr>
              <w:t>年工作</w:t>
            </w:r>
            <w:r>
              <w:rPr>
                <w:color w:val="auto"/>
              </w:rPr>
              <w:t>180</w:t>
            </w:r>
            <w:r>
              <w:rPr>
                <w:rFonts w:hint="eastAsia"/>
                <w:color w:val="auto"/>
              </w:rPr>
              <w:t>天，每天工作8h</w:t>
            </w:r>
            <w:r>
              <w:rPr>
                <w:rFonts w:hint="eastAsia"/>
                <w:color w:val="auto"/>
                <w:lang w:eastAsia="zh-CN"/>
              </w:rPr>
              <w:t>）</w:t>
            </w:r>
            <w:r>
              <w:rPr>
                <w:rFonts w:hint="eastAsia" w:ascii="Times New Roman" w:hAnsi="Times New Roman" w:eastAsia="宋体" w:cs="Times New Roman"/>
                <w:color w:val="auto"/>
                <w:kern w:val="0"/>
                <w:sz w:val="24"/>
                <w:szCs w:val="22"/>
                <w:lang w:val="en-US" w:eastAsia="zh-CN" w:bidi="ar-SA"/>
              </w:rPr>
              <w:t>。</w:t>
            </w:r>
            <w:r>
              <w:rPr>
                <w:rFonts w:hint="eastAsia" w:cs="Times New Roman"/>
                <w:color w:val="auto"/>
                <w:kern w:val="0"/>
                <w:sz w:val="24"/>
                <w:szCs w:val="22"/>
                <w:lang w:val="en-US" w:eastAsia="zh-CN" w:bidi="ar-SA"/>
              </w:rPr>
              <w:t>投料上方设有顶吸集气罩收集（收集效率60％），收集量为1.104</w:t>
            </w:r>
            <w:r>
              <w:rPr>
                <w:rFonts w:hint="eastAsia" w:ascii="Times New Roman" w:hAnsi="Times New Roman" w:eastAsia="宋体" w:cs="Times New Roman"/>
                <w:color w:val="auto"/>
                <w:kern w:val="0"/>
                <w:sz w:val="24"/>
                <w:lang w:val="en-US" w:eastAsia="zh-CN" w:bidi="ar"/>
              </w:rPr>
              <w:t>t/a</w:t>
            </w:r>
            <w:r>
              <w:rPr>
                <w:rFonts w:hint="eastAsia" w:cs="Times New Roman"/>
                <w:color w:val="auto"/>
                <w:kern w:val="0"/>
                <w:sz w:val="24"/>
                <w:lang w:val="en-US" w:eastAsia="zh-CN" w:bidi="ar"/>
              </w:rPr>
              <w:t>，</w:t>
            </w:r>
            <w:r>
              <w:rPr>
                <w:rFonts w:hint="eastAsia"/>
                <w:color w:val="auto"/>
              </w:rPr>
              <w:t>产生速率为</w:t>
            </w:r>
            <w:r>
              <w:rPr>
                <w:rFonts w:hint="eastAsia"/>
                <w:color w:val="auto"/>
                <w:lang w:val="en-US" w:eastAsia="zh-CN"/>
              </w:rPr>
              <w:t>0.096</w:t>
            </w:r>
            <w:r>
              <w:rPr>
                <w:rFonts w:hint="eastAsia"/>
                <w:color w:val="auto"/>
              </w:rPr>
              <w:t>kg</w:t>
            </w:r>
            <w:r>
              <w:rPr>
                <w:color w:val="auto"/>
              </w:rPr>
              <w:t>/</w:t>
            </w:r>
            <w:r>
              <w:rPr>
                <w:rFonts w:hint="eastAsia"/>
                <w:color w:val="auto"/>
              </w:rPr>
              <w:t>h</w:t>
            </w:r>
            <w:r>
              <w:rPr>
                <w:rFonts w:hint="eastAsia"/>
                <w:color w:val="auto"/>
                <w:lang w:eastAsia="zh-CN"/>
              </w:rPr>
              <w:t>。</w:t>
            </w:r>
          </w:p>
          <w:p w14:paraId="5B75AA8A">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2" w:firstLineChars="200"/>
              <w:jc w:val="left"/>
              <w:textAlignment w:val="auto"/>
              <w:rPr>
                <w:rFonts w:hint="eastAsia" w:ascii="Times New Roman" w:hAnsi="Times New Roman" w:eastAsia="宋体" w:cs="Times New Roman"/>
                <w:b/>
                <w:bCs/>
                <w:i w:val="0"/>
                <w:iCs w:val="0"/>
                <w:color w:val="auto"/>
                <w:kern w:val="0"/>
                <w:sz w:val="24"/>
                <w:szCs w:val="22"/>
                <w:highlight w:val="none"/>
                <w:lang w:val="en-US" w:eastAsia="zh-CN" w:bidi="ar-SA"/>
              </w:rPr>
            </w:pPr>
            <w:r>
              <w:rPr>
                <w:rFonts w:hint="default" w:ascii="Times New Roman" w:hAnsi="Times New Roman" w:eastAsia="宋体" w:cs="Times New Roman"/>
                <w:b/>
                <w:bCs/>
                <w:i w:val="0"/>
                <w:iCs w:val="0"/>
                <w:color w:val="auto"/>
                <w:kern w:val="0"/>
                <w:sz w:val="24"/>
                <w:szCs w:val="22"/>
                <w:highlight w:val="none"/>
                <w:lang w:val="zh-CN" w:eastAsia="zh-CN" w:bidi="ar-SA"/>
              </w:rPr>
              <w:t>②</w:t>
            </w:r>
            <w:r>
              <w:rPr>
                <w:rFonts w:hint="eastAsia" w:ascii="Times New Roman" w:hAnsi="Times New Roman" w:eastAsia="宋体" w:cs="Times New Roman"/>
                <w:b/>
                <w:bCs/>
                <w:i w:val="0"/>
                <w:color w:val="auto"/>
                <w:kern w:val="0"/>
                <w:sz w:val="24"/>
                <w:szCs w:val="22"/>
                <w:lang w:val="en-US" w:eastAsia="zh-CN" w:bidi="ar-SA"/>
              </w:rPr>
              <w:t>烘干滚筒燃烧废气、烘干滚筒石料滚动扬尘</w:t>
            </w:r>
          </w:p>
          <w:p w14:paraId="6A4F74FC">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left"/>
              <w:textAlignment w:val="auto"/>
              <w:rPr>
                <w:rFonts w:hint="eastAsia"/>
                <w:color w:val="auto"/>
                <w:lang w:val="en-US" w:eastAsia="zh-CN"/>
              </w:rPr>
            </w:pPr>
            <w:r>
              <w:rPr>
                <w:rFonts w:hint="eastAsia" w:ascii="Times New Roman" w:hAnsi="Times New Roman" w:eastAsia="宋体" w:cs="Times New Roman"/>
                <w:i w:val="0"/>
                <w:color w:val="auto"/>
                <w:kern w:val="0"/>
                <w:sz w:val="24"/>
                <w:szCs w:val="22"/>
                <w:lang w:val="en-US" w:eastAsia="zh-CN" w:bidi="ar"/>
              </w:rPr>
              <w:t>本项目烘干滚筒</w:t>
            </w:r>
            <w:r>
              <w:rPr>
                <w:rFonts w:hint="eastAsia" w:cs="Times New Roman"/>
                <w:i w:val="0"/>
                <w:color w:val="auto"/>
                <w:kern w:val="0"/>
                <w:sz w:val="24"/>
                <w:szCs w:val="22"/>
                <w:lang w:val="en-US" w:eastAsia="zh-CN" w:bidi="ar"/>
              </w:rPr>
              <w:t>配备1台燃烧</w:t>
            </w:r>
            <w:r>
              <w:rPr>
                <w:rFonts w:hint="eastAsia" w:cs="Times New Roman"/>
                <w:i w:val="0"/>
                <w:iCs/>
                <w:color w:val="auto"/>
                <w:sz w:val="24"/>
                <w:lang w:val="en-US" w:eastAsia="zh-CN"/>
              </w:rPr>
              <w:t>机</w:t>
            </w:r>
            <w:r>
              <w:rPr>
                <w:rFonts w:hint="eastAsia" w:cs="Times New Roman"/>
                <w:i w:val="0"/>
                <w:color w:val="auto"/>
                <w:kern w:val="0"/>
                <w:sz w:val="24"/>
                <w:szCs w:val="22"/>
                <w:lang w:val="en-US" w:eastAsia="zh-CN" w:bidi="ar"/>
              </w:rPr>
              <w:t>，以</w:t>
            </w:r>
            <w:r>
              <w:rPr>
                <w:rFonts w:hint="eastAsia" w:cs="Times New Roman"/>
                <w:i w:val="0"/>
                <w:iCs/>
                <w:color w:val="auto"/>
                <w:sz w:val="24"/>
                <w:lang w:val="en-US" w:eastAsia="zh-CN"/>
              </w:rPr>
              <w:t>柴</w:t>
            </w:r>
            <w:r>
              <w:rPr>
                <w:rFonts w:hint="eastAsia" w:cs="Times New Roman"/>
                <w:i w:val="0"/>
                <w:color w:val="auto"/>
                <w:kern w:val="0"/>
                <w:sz w:val="24"/>
                <w:szCs w:val="22"/>
                <w:lang w:val="en-US" w:eastAsia="zh-CN" w:bidi="ar"/>
              </w:rPr>
              <w:t>油作为燃料，燃烧烟气进入烘干滚筒</w:t>
            </w:r>
            <w:r>
              <w:rPr>
                <w:rFonts w:hint="eastAsia" w:ascii="Times New Roman" w:hAnsi="Times New Roman" w:eastAsia="宋体" w:cs="Times New Roman"/>
                <w:i w:val="0"/>
                <w:color w:val="auto"/>
                <w:kern w:val="0"/>
                <w:sz w:val="24"/>
                <w:szCs w:val="22"/>
                <w:lang w:val="en-US" w:eastAsia="zh-CN" w:bidi="ar"/>
              </w:rPr>
              <w:t>。根据业主提供资料，</w:t>
            </w:r>
            <w:r>
              <w:rPr>
                <w:rFonts w:hint="eastAsia" w:cs="Times New Roman"/>
                <w:i w:val="0"/>
                <w:color w:val="auto"/>
                <w:kern w:val="0"/>
                <w:sz w:val="24"/>
                <w:szCs w:val="22"/>
                <w:lang w:val="en-US" w:eastAsia="zh-CN" w:bidi="ar"/>
              </w:rPr>
              <w:t>烘干滚筒柴</w:t>
            </w:r>
            <w:r>
              <w:rPr>
                <w:rFonts w:hint="eastAsia" w:ascii="Times New Roman" w:hAnsi="Times New Roman" w:eastAsia="宋体" w:cs="Times New Roman"/>
                <w:i w:val="0"/>
                <w:color w:val="auto"/>
                <w:kern w:val="0"/>
                <w:sz w:val="24"/>
                <w:szCs w:val="22"/>
                <w:lang w:val="en-US" w:eastAsia="zh-CN" w:bidi="ar"/>
              </w:rPr>
              <w:t>油年用量约</w:t>
            </w:r>
            <w:r>
              <w:rPr>
                <w:rFonts w:hint="eastAsia" w:cs="Times New Roman"/>
                <w:i w:val="0"/>
                <w:color w:val="auto"/>
                <w:kern w:val="0"/>
                <w:sz w:val="24"/>
                <w:szCs w:val="22"/>
                <w:highlight w:val="none"/>
                <w:lang w:val="en-US" w:eastAsia="zh-CN" w:bidi="ar"/>
              </w:rPr>
              <w:t>100</w:t>
            </w:r>
            <w:r>
              <w:rPr>
                <w:rFonts w:hint="eastAsia" w:ascii="Times New Roman" w:hAnsi="Times New Roman" w:eastAsia="宋体" w:cs="Times New Roman"/>
                <w:i w:val="0"/>
                <w:color w:val="auto"/>
                <w:kern w:val="0"/>
                <w:sz w:val="24"/>
                <w:szCs w:val="22"/>
                <w:highlight w:val="none"/>
                <w:lang w:val="en-US" w:eastAsia="zh-CN" w:bidi="ar"/>
              </w:rPr>
              <w:t>t</w:t>
            </w:r>
            <w:r>
              <w:rPr>
                <w:rFonts w:hint="eastAsia" w:ascii="Times New Roman" w:hAnsi="Times New Roman" w:eastAsia="宋体" w:cs="Times New Roman"/>
                <w:i w:val="0"/>
                <w:color w:val="auto"/>
                <w:kern w:val="0"/>
                <w:sz w:val="24"/>
                <w:szCs w:val="22"/>
                <w:lang w:val="en-US" w:eastAsia="zh-CN" w:bidi="ar"/>
              </w:rPr>
              <w:t>，主</w:t>
            </w:r>
            <w:r>
              <w:rPr>
                <w:rFonts w:hint="eastAsia" w:cs="Times New Roman"/>
                <w:i w:val="0"/>
                <w:color w:val="auto"/>
                <w:kern w:val="0"/>
                <w:sz w:val="24"/>
                <w:szCs w:val="22"/>
                <w:lang w:val="en-US" w:eastAsia="zh-CN" w:bidi="ar"/>
              </w:rPr>
              <w:t>要污染物为SO</w:t>
            </w:r>
            <w:r>
              <w:rPr>
                <w:rFonts w:hint="eastAsia" w:cs="Times New Roman"/>
                <w:i w:val="0"/>
                <w:color w:val="auto"/>
                <w:kern w:val="0"/>
                <w:sz w:val="24"/>
                <w:szCs w:val="22"/>
                <w:vertAlign w:val="subscript"/>
                <w:lang w:val="en-US" w:eastAsia="zh-CN" w:bidi="ar"/>
              </w:rPr>
              <w:t>2</w:t>
            </w:r>
            <w:r>
              <w:rPr>
                <w:rFonts w:hint="eastAsia" w:cs="Times New Roman"/>
                <w:i w:val="0"/>
                <w:color w:val="auto"/>
                <w:kern w:val="0"/>
                <w:sz w:val="24"/>
                <w:szCs w:val="22"/>
                <w:lang w:val="en-US" w:eastAsia="zh-CN" w:bidi="ar"/>
              </w:rPr>
              <w:t>、NOx和颗粒物，参照《排放源统计调查产排污核算方法和系数手册（2021）》、《排污许可证申请与核发技术规范—锅炉》（HJ953-2018），项目</w:t>
            </w:r>
            <w:r>
              <w:rPr>
                <w:rFonts w:hint="eastAsia" w:cs="Times New Roman"/>
                <w:i w:val="0"/>
                <w:iCs/>
                <w:color w:val="auto"/>
                <w:sz w:val="24"/>
                <w:lang w:val="en-US" w:eastAsia="zh-CN"/>
              </w:rPr>
              <w:t>柴</w:t>
            </w:r>
            <w:r>
              <w:rPr>
                <w:rFonts w:hint="eastAsia" w:cs="Times New Roman"/>
                <w:i w:val="0"/>
                <w:color w:val="auto"/>
                <w:kern w:val="0"/>
                <w:sz w:val="24"/>
                <w:szCs w:val="22"/>
                <w:lang w:val="en-US" w:eastAsia="zh-CN" w:bidi="ar"/>
              </w:rPr>
              <w:t>油燃烧废气参考HJ953-2018表F.2中SO</w:t>
            </w:r>
            <w:r>
              <w:rPr>
                <w:rFonts w:hint="eastAsia" w:cs="Times New Roman"/>
                <w:i w:val="0"/>
                <w:color w:val="auto"/>
                <w:kern w:val="0"/>
                <w:sz w:val="24"/>
                <w:szCs w:val="22"/>
                <w:vertAlign w:val="subscript"/>
                <w:lang w:val="en-US" w:eastAsia="zh-CN" w:bidi="ar"/>
              </w:rPr>
              <w:t>2</w:t>
            </w:r>
            <w:r>
              <w:rPr>
                <w:rFonts w:hint="eastAsia" w:cs="Times New Roman"/>
                <w:i w:val="0"/>
                <w:color w:val="auto"/>
                <w:kern w:val="0"/>
                <w:sz w:val="24"/>
                <w:szCs w:val="22"/>
                <w:vertAlign w:val="baseline"/>
                <w:lang w:val="en-US" w:eastAsia="zh-CN" w:bidi="ar"/>
              </w:rPr>
              <w:t>根据</w:t>
            </w:r>
            <w:r>
              <w:rPr>
                <w:rFonts w:hint="eastAsia" w:cs="Times New Roman"/>
                <w:i w:val="0"/>
                <w:color w:val="auto"/>
                <w:kern w:val="0"/>
                <w:sz w:val="24"/>
                <w:szCs w:val="22"/>
                <w:lang w:val="en-US" w:eastAsia="zh-CN" w:bidi="ar"/>
              </w:rPr>
              <w:t>物料衡算法核算，其他污染物根据普通柴油（轻油）工业锅炉的废气产污系数</w:t>
            </w:r>
            <w:r>
              <w:rPr>
                <w:rFonts w:hint="eastAsia" w:ascii="Times New Roman" w:hAnsi="Times New Roman" w:eastAsia="宋体" w:cs="Times New Roman"/>
                <w:i w:val="0"/>
                <w:color w:val="auto"/>
                <w:kern w:val="0"/>
                <w:sz w:val="24"/>
                <w:szCs w:val="22"/>
                <w:lang w:val="en-US" w:eastAsia="zh-CN" w:bidi="ar"/>
              </w:rPr>
              <w:t>进行核算，</w:t>
            </w:r>
            <w:r>
              <w:rPr>
                <w:rFonts w:hint="eastAsia" w:cs="Times New Roman"/>
                <w:i w:val="0"/>
                <w:color w:val="auto"/>
                <w:kern w:val="0"/>
                <w:sz w:val="24"/>
                <w:szCs w:val="22"/>
                <w:highlight w:val="none"/>
                <w:lang w:val="en-US" w:eastAsia="zh-CN" w:bidi="ar"/>
              </w:rPr>
              <w:t>类比同类型项目，</w:t>
            </w:r>
            <w:r>
              <w:rPr>
                <w:rFonts w:hint="eastAsia" w:cs="Times New Roman"/>
                <w:i w:val="0"/>
                <w:iCs/>
                <w:color w:val="auto"/>
                <w:sz w:val="24"/>
                <w:lang w:val="en-US" w:eastAsia="zh-CN"/>
              </w:rPr>
              <w:t>柴</w:t>
            </w:r>
            <w:r>
              <w:rPr>
                <w:rFonts w:hint="eastAsia" w:cs="Times New Roman"/>
                <w:i w:val="0"/>
                <w:color w:val="auto"/>
                <w:kern w:val="0"/>
                <w:sz w:val="24"/>
                <w:szCs w:val="22"/>
                <w:highlight w:val="none"/>
                <w:lang w:val="en-US" w:eastAsia="zh-CN" w:bidi="ar"/>
              </w:rPr>
              <w:t>油作为燃料，一般含硫量小于0.1％，</w:t>
            </w:r>
            <w:r>
              <w:rPr>
                <w:rFonts w:hint="eastAsia" w:ascii="Times New Roman" w:hAnsi="Times New Roman" w:eastAsia="宋体" w:cs="Times New Roman"/>
                <w:i w:val="0"/>
                <w:color w:val="auto"/>
                <w:kern w:val="0"/>
                <w:sz w:val="24"/>
                <w:szCs w:val="22"/>
                <w:lang w:val="en-US" w:eastAsia="zh-CN" w:bidi="ar"/>
              </w:rPr>
              <w:t>硫含量要求不大于100mg/kg，因此本次评价</w:t>
            </w:r>
            <w:r>
              <w:rPr>
                <w:rFonts w:hint="eastAsia" w:cs="Times New Roman"/>
                <w:i w:val="0"/>
                <w:iCs/>
                <w:color w:val="auto"/>
                <w:sz w:val="24"/>
                <w:lang w:val="en-US" w:eastAsia="zh-CN"/>
              </w:rPr>
              <w:t>柴</w:t>
            </w:r>
            <w:r>
              <w:rPr>
                <w:rFonts w:hint="eastAsia" w:ascii="Times New Roman" w:hAnsi="Times New Roman" w:eastAsia="宋体" w:cs="Times New Roman"/>
                <w:b w:val="0"/>
                <w:bCs w:val="0"/>
                <w:i w:val="0"/>
                <w:color w:val="auto"/>
                <w:kern w:val="0"/>
                <w:sz w:val="24"/>
                <w:szCs w:val="22"/>
                <w:lang w:val="en-US" w:eastAsia="zh-CN" w:bidi="ar"/>
              </w:rPr>
              <w:t>油中</w:t>
            </w:r>
            <w:r>
              <w:rPr>
                <w:rFonts w:hint="eastAsia" w:ascii="Times New Roman" w:hAnsi="Times New Roman" w:eastAsia="宋体" w:cs="Times New Roman"/>
                <w:i w:val="0"/>
                <w:color w:val="auto"/>
                <w:kern w:val="0"/>
                <w:sz w:val="24"/>
                <w:szCs w:val="22"/>
                <w:lang w:val="en-US" w:eastAsia="zh-CN" w:bidi="ar"/>
              </w:rPr>
              <w:t>硫含</w:t>
            </w:r>
            <w:r>
              <w:rPr>
                <w:rFonts w:hint="eastAsia" w:ascii="Times New Roman" w:hAnsi="Times New Roman" w:eastAsia="宋体" w:cs="Times New Roman"/>
                <w:b w:val="0"/>
                <w:bCs w:val="0"/>
                <w:i w:val="0"/>
                <w:color w:val="auto"/>
                <w:kern w:val="0"/>
                <w:sz w:val="24"/>
                <w:szCs w:val="22"/>
                <w:lang w:val="en-US" w:eastAsia="zh-CN" w:bidi="ar"/>
              </w:rPr>
              <w:t>量S取0.1。</w:t>
            </w:r>
            <w:r>
              <w:rPr>
                <w:rFonts w:hint="eastAsia" w:ascii="Times New Roman" w:hAnsi="Times New Roman" w:eastAsia="宋体" w:cs="Times New Roman"/>
                <w:i w:val="0"/>
                <w:color w:val="auto"/>
                <w:kern w:val="0"/>
                <w:sz w:val="24"/>
                <w:szCs w:val="22"/>
                <w:lang w:val="en-US" w:eastAsia="zh-CN" w:bidi="ar"/>
              </w:rPr>
              <w:t>核算过程如下：</w:t>
            </w:r>
          </w:p>
          <w:p w14:paraId="1E450BFD">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left"/>
              <w:textAlignment w:val="auto"/>
              <w:rPr>
                <w:rFonts w:hint="default"/>
                <w:color w:val="auto"/>
                <w:vertAlign w:val="baseline"/>
                <w:lang w:val="en-US" w:eastAsia="zh-CN"/>
              </w:rPr>
            </w:pPr>
            <w:r>
              <w:rPr>
                <w:rFonts w:hint="eastAsia"/>
                <w:i w:val="0"/>
                <w:iCs/>
                <w:color w:val="auto"/>
                <w:sz w:val="24"/>
                <w:szCs w:val="24"/>
                <w:lang w:val="en-US" w:eastAsia="zh-CN"/>
              </w:rPr>
              <w:t>a.</w:t>
            </w:r>
            <w:r>
              <w:rPr>
                <w:rFonts w:hint="eastAsia" w:cs="Times New Roman"/>
                <w:i w:val="0"/>
                <w:color w:val="auto"/>
                <w:kern w:val="0"/>
                <w:sz w:val="24"/>
                <w:szCs w:val="24"/>
                <w:lang w:val="en-US" w:eastAsia="zh-CN" w:bidi="ar"/>
              </w:rPr>
              <w:t>S</w:t>
            </w:r>
            <w:r>
              <w:rPr>
                <w:rFonts w:hint="eastAsia" w:cs="Times New Roman"/>
                <w:i w:val="0"/>
                <w:color w:val="auto"/>
                <w:kern w:val="0"/>
                <w:sz w:val="24"/>
                <w:szCs w:val="22"/>
                <w:lang w:val="en-US" w:eastAsia="zh-CN" w:bidi="ar"/>
              </w:rPr>
              <w:t>O</w:t>
            </w:r>
            <w:r>
              <w:rPr>
                <w:rFonts w:hint="eastAsia" w:cs="Times New Roman"/>
                <w:i w:val="0"/>
                <w:color w:val="auto"/>
                <w:kern w:val="0"/>
                <w:sz w:val="24"/>
                <w:szCs w:val="22"/>
                <w:vertAlign w:val="subscript"/>
                <w:lang w:val="en-US" w:eastAsia="zh-CN" w:bidi="ar"/>
              </w:rPr>
              <w:t>2</w:t>
            </w:r>
            <w:r>
              <w:rPr>
                <w:rFonts w:hint="eastAsia" w:cs="Times New Roman"/>
                <w:i w:val="0"/>
                <w:color w:val="auto"/>
                <w:kern w:val="0"/>
                <w:sz w:val="24"/>
                <w:szCs w:val="22"/>
                <w:vertAlign w:val="baseline"/>
                <w:lang w:val="en-US" w:eastAsia="zh-CN" w:bidi="ar"/>
              </w:rPr>
              <w:t>排放量核算公式：</w:t>
            </w:r>
          </w:p>
          <w:p w14:paraId="1F12241A">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0" w:firstLineChars="0"/>
              <w:jc w:val="center"/>
              <w:textAlignment w:val="auto"/>
              <w:rPr>
                <w:rFonts w:hint="eastAsia"/>
                <w:color w:val="auto"/>
                <w:lang w:val="en-US" w:eastAsia="zh-CN"/>
              </w:rPr>
            </w:pPr>
            <w:r>
              <w:rPr>
                <w:rFonts w:hint="eastAsia"/>
                <w:color w:val="auto"/>
                <w:position w:val="-24"/>
                <w:lang w:val="en-US" w:eastAsia="zh-CN"/>
              </w:rPr>
              <w:object>
                <v:shape id="_x0000_i1030" o:spt="75" type="#_x0000_t75" style="height:39.45pt;width:189.6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p>
          <w:p w14:paraId="6A1B89AD">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ascii="Times New Roman" w:hAnsi="Times New Roman" w:eastAsia="宋体" w:cs="Times New Roman"/>
                <w:i w:val="0"/>
                <w:iCs/>
                <w:color w:val="auto"/>
                <w:kern w:val="2"/>
                <w:sz w:val="24"/>
                <w:szCs w:val="22"/>
                <w:lang w:val="en-US" w:eastAsia="zh-CN" w:bidi="ar-SA"/>
              </w:rPr>
            </w:pPr>
            <w:r>
              <w:rPr>
                <w:rFonts w:hint="eastAsia"/>
                <w:i w:val="0"/>
                <w:iCs/>
                <w:color w:val="auto"/>
                <w:lang w:val="en-US" w:eastAsia="zh-CN"/>
              </w:rPr>
              <w:t>式中</w:t>
            </w:r>
            <w:r>
              <w:rPr>
                <w:rFonts w:hint="eastAsia" w:ascii="Times New Roman" w:hAnsi="Times New Roman" w:eastAsia="宋体" w:cs="Times New Roman"/>
                <w:i w:val="0"/>
                <w:iCs/>
                <w:color w:val="auto"/>
                <w:kern w:val="2"/>
                <w:sz w:val="24"/>
                <w:szCs w:val="22"/>
                <w:lang w:val="en-US" w:eastAsia="zh-CN" w:bidi="ar-SA"/>
              </w:rPr>
              <w:t>：E</w:t>
            </w:r>
            <w:r>
              <w:rPr>
                <w:rFonts w:hint="eastAsia" w:ascii="Times New Roman" w:hAnsi="Times New Roman" w:eastAsia="宋体" w:cs="Times New Roman"/>
                <w:i w:val="0"/>
                <w:iCs/>
                <w:color w:val="auto"/>
                <w:kern w:val="2"/>
                <w:sz w:val="24"/>
                <w:szCs w:val="22"/>
                <w:vertAlign w:val="subscript"/>
                <w:lang w:val="en-US" w:eastAsia="zh-CN" w:bidi="ar-SA"/>
              </w:rPr>
              <w:t>SO2</w:t>
            </w:r>
            <w:r>
              <w:rPr>
                <w:rFonts w:hint="eastAsia" w:ascii="Times New Roman" w:hAnsi="Times New Roman" w:eastAsia="宋体" w:cs="Times New Roman"/>
                <w:i w:val="0"/>
                <w:iCs/>
                <w:color w:val="auto"/>
                <w:kern w:val="2"/>
                <w:sz w:val="24"/>
                <w:szCs w:val="22"/>
                <w:lang w:val="en-US" w:eastAsia="zh-CN" w:bidi="ar-SA"/>
              </w:rPr>
              <w:t>—核算时段内二氧化硫的实际排放量，t；</w:t>
            </w:r>
          </w:p>
          <w:p w14:paraId="0457BFCB">
            <w:pPr>
              <w:rPr>
                <w:rFonts w:hint="eastAsia" w:ascii="Times New Roman" w:hAnsi="Times New Roman" w:eastAsia="宋体" w:cs="Times New Roman"/>
                <w:i w:val="0"/>
                <w:iCs/>
                <w:color w:val="auto"/>
                <w:kern w:val="2"/>
                <w:sz w:val="24"/>
                <w:szCs w:val="22"/>
                <w:lang w:val="en-US" w:eastAsia="zh-CN" w:bidi="ar-SA"/>
              </w:rPr>
            </w:pPr>
            <w:r>
              <w:rPr>
                <w:rFonts w:hint="eastAsia" w:ascii="Times New Roman" w:hAnsi="Times New Roman" w:eastAsia="宋体" w:cs="Times New Roman"/>
                <w:i w:val="0"/>
                <w:iCs/>
                <w:color w:val="auto"/>
                <w:kern w:val="2"/>
                <w:sz w:val="24"/>
                <w:szCs w:val="22"/>
                <w:lang w:val="en-US" w:eastAsia="zh-CN" w:bidi="ar-SA"/>
              </w:rPr>
              <w:t xml:space="preserve">     R—核算时段内锅炉燃料耗量，t；</w:t>
            </w:r>
          </w:p>
          <w:p w14:paraId="7D8F240A">
            <w:pPr>
              <w:pStyle w:val="5"/>
              <w:rPr>
                <w:rFonts w:hint="default" w:ascii="Times New Roman" w:hAnsi="Times New Roman" w:eastAsia="宋体" w:cs="Times New Roman"/>
                <w:i w:val="0"/>
                <w:iCs/>
                <w:color w:val="auto"/>
                <w:kern w:val="2"/>
                <w:sz w:val="24"/>
                <w:szCs w:val="22"/>
                <w:lang w:val="en-US" w:eastAsia="zh-CN" w:bidi="ar-SA"/>
              </w:rPr>
            </w:pPr>
            <w:r>
              <w:rPr>
                <w:rFonts w:hint="eastAsia" w:ascii="Times New Roman" w:hAnsi="Times New Roman" w:eastAsia="宋体" w:cs="Times New Roman"/>
                <w:i w:val="0"/>
                <w:iCs/>
                <w:color w:val="auto"/>
                <w:kern w:val="2"/>
                <w:sz w:val="24"/>
                <w:szCs w:val="22"/>
                <w:lang w:val="en-US" w:eastAsia="zh-CN" w:bidi="ar-SA"/>
              </w:rPr>
              <w:t xml:space="preserve">         S</w:t>
            </w:r>
            <w:r>
              <w:rPr>
                <w:rFonts w:hint="eastAsia" w:ascii="Times New Roman" w:hAnsi="Times New Roman" w:eastAsia="宋体" w:cs="Times New Roman"/>
                <w:i w:val="0"/>
                <w:iCs/>
                <w:color w:val="auto"/>
                <w:kern w:val="2"/>
                <w:sz w:val="24"/>
                <w:szCs w:val="22"/>
                <w:vertAlign w:val="subscript"/>
                <w:lang w:val="en-US" w:eastAsia="zh-CN" w:bidi="ar-SA"/>
              </w:rPr>
              <w:t>ar</w:t>
            </w:r>
            <w:r>
              <w:rPr>
                <w:rFonts w:hint="eastAsia" w:ascii="Times New Roman" w:hAnsi="Times New Roman" w:eastAsia="宋体" w:cs="Times New Roman"/>
                <w:i w:val="0"/>
                <w:iCs/>
                <w:color w:val="auto"/>
                <w:kern w:val="2"/>
                <w:sz w:val="24"/>
                <w:szCs w:val="22"/>
                <w:lang w:val="en-US" w:eastAsia="zh-CN" w:bidi="ar-SA"/>
              </w:rPr>
              <w:t>—燃料收到基硫含量，％；取0.1；</w:t>
            </w:r>
          </w:p>
          <w:p w14:paraId="6CCAE8C2">
            <w:pPr>
              <w:pStyle w:val="5"/>
              <w:rPr>
                <w:rFonts w:hint="default" w:ascii="Times New Roman" w:hAnsi="Times New Roman" w:eastAsia="宋体" w:cs="Times New Roman"/>
                <w:i w:val="0"/>
                <w:iCs/>
                <w:color w:val="auto"/>
                <w:kern w:val="2"/>
                <w:sz w:val="24"/>
                <w:szCs w:val="22"/>
                <w:lang w:val="en-US" w:eastAsia="zh-CN" w:bidi="ar-SA"/>
              </w:rPr>
            </w:pPr>
            <w:r>
              <w:rPr>
                <w:rFonts w:hint="eastAsia" w:ascii="Times New Roman" w:hAnsi="Times New Roman" w:eastAsia="宋体" w:cs="Times New Roman"/>
                <w:i w:val="0"/>
                <w:iCs/>
                <w:color w:val="auto"/>
                <w:kern w:val="2"/>
                <w:sz w:val="24"/>
                <w:szCs w:val="22"/>
                <w:lang w:val="en-US" w:eastAsia="zh-CN" w:bidi="ar-SA"/>
              </w:rPr>
              <w:t xml:space="preserve">         q</w:t>
            </w:r>
            <w:r>
              <w:rPr>
                <w:rFonts w:hint="eastAsia" w:ascii="Times New Roman" w:hAnsi="Times New Roman" w:eastAsia="宋体" w:cs="Times New Roman"/>
                <w:i w:val="0"/>
                <w:iCs/>
                <w:color w:val="auto"/>
                <w:kern w:val="2"/>
                <w:sz w:val="24"/>
                <w:szCs w:val="22"/>
                <w:vertAlign w:val="subscript"/>
                <w:lang w:val="en-US" w:eastAsia="zh-CN" w:bidi="ar-SA"/>
              </w:rPr>
              <w:t>4</w:t>
            </w:r>
            <w:r>
              <w:rPr>
                <w:rFonts w:hint="eastAsia" w:ascii="Times New Roman" w:hAnsi="Times New Roman" w:eastAsia="宋体" w:cs="Times New Roman"/>
                <w:i w:val="0"/>
                <w:iCs/>
                <w:color w:val="auto"/>
                <w:kern w:val="2"/>
                <w:sz w:val="24"/>
                <w:szCs w:val="22"/>
                <w:lang w:val="en-US" w:eastAsia="zh-CN" w:bidi="ar-SA"/>
              </w:rPr>
              <w:t>—锅炉机械不完全燃烧热损失，百分比；取0；</w:t>
            </w:r>
          </w:p>
          <w:p w14:paraId="1DA4D5BF">
            <w:pPr>
              <w:pStyle w:val="5"/>
              <w:rPr>
                <w:rFonts w:hint="default"/>
                <w:color w:val="auto"/>
                <w:lang w:val="en-US" w:eastAsia="zh-CN"/>
              </w:rPr>
            </w:pPr>
            <w:r>
              <w:rPr>
                <w:rFonts w:hint="eastAsia" w:ascii="Times New Roman" w:hAnsi="Times New Roman" w:eastAsia="宋体" w:cs="Times New Roman"/>
                <w:i w:val="0"/>
                <w:iCs/>
                <w:color w:val="auto"/>
                <w:kern w:val="2"/>
                <w:sz w:val="24"/>
                <w:szCs w:val="22"/>
                <w:lang w:val="en-US" w:eastAsia="zh-CN" w:bidi="ar-SA"/>
              </w:rPr>
              <w:t xml:space="preserve">         K—燃料中的硫燃烧后氧化成二氧化硫的份额，无量纲；取1.00。</w:t>
            </w:r>
            <w:r>
              <w:rPr>
                <w:rFonts w:hint="eastAsia"/>
                <w:i w:val="0"/>
                <w:iCs/>
                <w:color w:val="auto"/>
                <w:lang w:val="en-US" w:eastAsia="zh-CN"/>
              </w:rPr>
              <w:t xml:space="preserve"> </w:t>
            </w:r>
          </w:p>
          <w:p w14:paraId="390CCD4B">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left"/>
              <w:textAlignment w:val="auto"/>
              <w:rPr>
                <w:rFonts w:hint="default"/>
                <w:i w:val="0"/>
                <w:iCs/>
                <w:color w:val="auto"/>
                <w:lang w:val="en-US" w:eastAsia="zh-CN"/>
              </w:rPr>
            </w:pPr>
            <w:r>
              <w:rPr>
                <w:rFonts w:hint="eastAsia" w:ascii="Times New Roman" w:hAnsi="Times New Roman" w:eastAsia="宋体" w:cs="Times New Roman"/>
                <w:i w:val="0"/>
                <w:color w:val="auto"/>
                <w:kern w:val="0"/>
                <w:sz w:val="24"/>
                <w:szCs w:val="22"/>
                <w:vertAlign w:val="baseline"/>
                <w:lang w:val="en-US" w:eastAsia="zh-CN" w:bidi="ar"/>
              </w:rPr>
              <w:t>计算得出，S</w:t>
            </w:r>
            <w:r>
              <w:rPr>
                <w:rFonts w:hint="eastAsia" w:cs="Times New Roman"/>
                <w:i w:val="0"/>
                <w:color w:val="auto"/>
                <w:kern w:val="0"/>
                <w:sz w:val="24"/>
                <w:szCs w:val="22"/>
                <w:lang w:val="en-US" w:eastAsia="zh-CN" w:bidi="ar"/>
              </w:rPr>
              <w:t>O</w:t>
            </w:r>
            <w:r>
              <w:rPr>
                <w:rFonts w:hint="eastAsia" w:cs="Times New Roman"/>
                <w:i w:val="0"/>
                <w:color w:val="auto"/>
                <w:kern w:val="0"/>
                <w:sz w:val="24"/>
                <w:szCs w:val="22"/>
                <w:vertAlign w:val="subscript"/>
                <w:lang w:val="en-US" w:eastAsia="zh-CN" w:bidi="ar"/>
              </w:rPr>
              <w:t>2</w:t>
            </w:r>
            <w:r>
              <w:rPr>
                <w:rFonts w:hint="eastAsia" w:cs="Times New Roman"/>
                <w:i w:val="0"/>
                <w:color w:val="auto"/>
                <w:kern w:val="0"/>
                <w:sz w:val="24"/>
                <w:szCs w:val="22"/>
                <w:vertAlign w:val="baseline"/>
                <w:lang w:val="en-US" w:eastAsia="zh-CN" w:bidi="ar"/>
              </w:rPr>
              <w:t>排放量为0.2t/a。</w:t>
            </w:r>
          </w:p>
          <w:p w14:paraId="53C86154">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left"/>
              <w:textAlignment w:val="auto"/>
              <w:rPr>
                <w:rFonts w:hint="eastAsia" w:cs="Times New Roman"/>
                <w:i w:val="0"/>
                <w:color w:val="auto"/>
                <w:kern w:val="0"/>
                <w:sz w:val="24"/>
                <w:szCs w:val="22"/>
                <w:lang w:val="en-US" w:eastAsia="zh-CN" w:bidi="ar"/>
              </w:rPr>
            </w:pPr>
            <w:r>
              <w:rPr>
                <w:rFonts w:hint="eastAsia" w:cs="Times New Roman"/>
                <w:i w:val="0"/>
                <w:color w:val="auto"/>
                <w:kern w:val="0"/>
                <w:sz w:val="24"/>
                <w:szCs w:val="22"/>
                <w:lang w:val="en-US" w:eastAsia="zh-CN" w:bidi="ar"/>
              </w:rPr>
              <w:t>b.NO</w:t>
            </w:r>
            <w:r>
              <w:rPr>
                <w:rFonts w:hint="eastAsia" w:cs="Times New Roman"/>
                <w:i w:val="0"/>
                <w:color w:val="auto"/>
                <w:kern w:val="0"/>
                <w:sz w:val="24"/>
                <w:szCs w:val="22"/>
                <w:vertAlign w:val="subscript"/>
                <w:lang w:val="en-US" w:eastAsia="zh-CN" w:bidi="ar"/>
              </w:rPr>
              <w:t>x</w:t>
            </w:r>
            <w:r>
              <w:rPr>
                <w:rFonts w:hint="eastAsia" w:cs="Times New Roman"/>
                <w:i w:val="0"/>
                <w:color w:val="auto"/>
                <w:kern w:val="0"/>
                <w:sz w:val="24"/>
                <w:szCs w:val="22"/>
                <w:lang w:val="en-US" w:eastAsia="zh-CN" w:bidi="ar"/>
              </w:rPr>
              <w:t>和颗粒物产排污系数见下表4-1。</w:t>
            </w:r>
          </w:p>
          <w:p w14:paraId="4F8A8A98">
            <w:pPr>
              <w:widowControl/>
              <w:ind w:firstLine="0" w:firstLineChars="0"/>
              <w:jc w:val="center"/>
              <w:rPr>
                <w:b/>
                <w:bCs/>
                <w:sz w:val="21"/>
                <w:szCs w:val="20"/>
              </w:rPr>
            </w:pPr>
            <w:r>
              <w:rPr>
                <w:rFonts w:hint="eastAsia"/>
                <w:b/>
                <w:bCs/>
                <w:sz w:val="21"/>
                <w:szCs w:val="20"/>
              </w:rPr>
              <w:t>表 4-</w:t>
            </w:r>
            <w:r>
              <w:rPr>
                <w:rFonts w:hint="eastAsia"/>
                <w:b/>
                <w:bCs/>
                <w:sz w:val="21"/>
                <w:szCs w:val="20"/>
                <w:lang w:val="en-US" w:eastAsia="zh-CN"/>
              </w:rPr>
              <w:t>1</w:t>
            </w:r>
            <w:r>
              <w:rPr>
                <w:rFonts w:hint="eastAsia"/>
                <w:b/>
                <w:bCs/>
                <w:sz w:val="21"/>
                <w:szCs w:val="20"/>
              </w:rPr>
              <w:t xml:space="preserve">  工业锅炉（热力生产和供应行业）产污系数表-燃油工业锅炉</w:t>
            </w:r>
          </w:p>
          <w:tbl>
            <w:tblPr>
              <w:tblStyle w:val="15"/>
              <w:tblW w:w="73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1"/>
              <w:gridCol w:w="991"/>
              <w:gridCol w:w="681"/>
              <w:gridCol w:w="692"/>
              <w:gridCol w:w="1374"/>
              <w:gridCol w:w="1524"/>
              <w:gridCol w:w="1199"/>
            </w:tblGrid>
            <w:tr w14:paraId="4150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8" w:hRule="atLeast"/>
              </w:trPr>
              <w:tc>
                <w:tcPr>
                  <w:tcW w:w="911" w:type="dxa"/>
                  <w:shd w:val="clear" w:color="auto" w:fill="auto"/>
                  <w:vAlign w:val="center"/>
                </w:tcPr>
                <w:p w14:paraId="6B730050">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产品名称</w:t>
                  </w:r>
                </w:p>
              </w:tc>
              <w:tc>
                <w:tcPr>
                  <w:tcW w:w="991" w:type="dxa"/>
                  <w:shd w:val="clear" w:color="auto" w:fill="auto"/>
                  <w:vAlign w:val="center"/>
                </w:tcPr>
                <w:p w14:paraId="6095252B">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原料名称</w:t>
                  </w:r>
                </w:p>
              </w:tc>
              <w:tc>
                <w:tcPr>
                  <w:tcW w:w="681" w:type="dxa"/>
                  <w:shd w:val="clear" w:color="auto" w:fill="auto"/>
                  <w:vAlign w:val="center"/>
                </w:tcPr>
                <w:p w14:paraId="34848874">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工艺名称</w:t>
                  </w:r>
                </w:p>
              </w:tc>
              <w:tc>
                <w:tcPr>
                  <w:tcW w:w="692" w:type="dxa"/>
                  <w:shd w:val="clear" w:color="auto" w:fill="auto"/>
                  <w:vAlign w:val="center"/>
                </w:tcPr>
                <w:p w14:paraId="6D9C7C8A">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规模等级</w:t>
                  </w:r>
                </w:p>
              </w:tc>
              <w:tc>
                <w:tcPr>
                  <w:tcW w:w="1374" w:type="dxa"/>
                  <w:shd w:val="clear" w:color="auto" w:fill="auto"/>
                  <w:vAlign w:val="center"/>
                </w:tcPr>
                <w:p w14:paraId="6689BF1D">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污染物指标</w:t>
                  </w:r>
                </w:p>
              </w:tc>
              <w:tc>
                <w:tcPr>
                  <w:tcW w:w="1524" w:type="dxa"/>
                  <w:shd w:val="clear" w:color="auto" w:fill="auto"/>
                  <w:vAlign w:val="center"/>
                </w:tcPr>
                <w:p w14:paraId="25E06ED2">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单位</w:t>
                  </w:r>
                </w:p>
              </w:tc>
              <w:tc>
                <w:tcPr>
                  <w:tcW w:w="1199" w:type="dxa"/>
                  <w:shd w:val="clear" w:color="auto" w:fill="auto"/>
                  <w:vAlign w:val="center"/>
                </w:tcPr>
                <w:p w14:paraId="56FFCFCD">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b/>
                      <w:bCs/>
                      <w:sz w:val="21"/>
                      <w:szCs w:val="21"/>
                    </w:rPr>
                  </w:pPr>
                  <w:r>
                    <w:rPr>
                      <w:rFonts w:ascii="Times New Roman" w:hAnsi="Times New Roman"/>
                      <w:b/>
                      <w:bCs/>
                      <w:sz w:val="21"/>
                      <w:szCs w:val="21"/>
                    </w:rPr>
                    <w:t>产污系数</w:t>
                  </w:r>
                </w:p>
              </w:tc>
            </w:tr>
            <w:tr w14:paraId="6209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trPr>
              <w:tc>
                <w:tcPr>
                  <w:tcW w:w="911" w:type="dxa"/>
                  <w:vMerge w:val="restart"/>
                  <w:shd w:val="clear" w:color="auto" w:fill="auto"/>
                  <w:vAlign w:val="center"/>
                </w:tcPr>
                <w:p w14:paraId="4C8EDD62">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both"/>
                    <w:textAlignment w:val="auto"/>
                    <w:rPr>
                      <w:rFonts w:ascii="Times New Roman" w:hAnsi="Times New Roman"/>
                      <w:sz w:val="21"/>
                      <w:szCs w:val="21"/>
                    </w:rPr>
                  </w:pPr>
                  <w:r>
                    <w:rPr>
                      <w:rFonts w:ascii="Times New Roman" w:hAnsi="Times New Roman"/>
                      <w:sz w:val="21"/>
                      <w:szCs w:val="21"/>
                    </w:rPr>
                    <w:t>蒸汽/热水/其他</w:t>
                  </w:r>
                </w:p>
              </w:tc>
              <w:tc>
                <w:tcPr>
                  <w:tcW w:w="991" w:type="dxa"/>
                  <w:vMerge w:val="restart"/>
                  <w:shd w:val="clear" w:color="auto" w:fill="auto"/>
                  <w:vAlign w:val="center"/>
                </w:tcPr>
                <w:p w14:paraId="4A18D3E2">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left="0" w:leftChars="0" w:firstLine="0" w:firstLineChars="0"/>
                    <w:jc w:val="both"/>
                    <w:textAlignment w:val="auto"/>
                    <w:rPr>
                      <w:rFonts w:hint="eastAsia" w:ascii="Times New Roman" w:hAnsi="Times New Roman" w:eastAsia="宋体"/>
                      <w:sz w:val="21"/>
                      <w:szCs w:val="21"/>
                      <w:lang w:eastAsia="zh-CN"/>
                    </w:rPr>
                  </w:pPr>
                  <w:r>
                    <w:rPr>
                      <w:rFonts w:hint="eastAsia" w:ascii="Times New Roman" w:hAnsi="Times New Roman"/>
                      <w:sz w:val="21"/>
                      <w:szCs w:val="21"/>
                      <w:lang w:val="en-US" w:eastAsia="zh-CN"/>
                    </w:rPr>
                    <w:t>普通柴</w:t>
                  </w:r>
                  <w:r>
                    <w:rPr>
                      <w:rFonts w:hint="eastAsia" w:ascii="Times New Roman" w:hAnsi="Times New Roman"/>
                      <w:sz w:val="21"/>
                      <w:szCs w:val="21"/>
                    </w:rPr>
                    <w:t>油</w:t>
                  </w:r>
                  <w:r>
                    <w:rPr>
                      <w:rFonts w:hint="eastAsia" w:ascii="Times New Roman" w:hAnsi="Times New Roman"/>
                      <w:sz w:val="21"/>
                      <w:szCs w:val="21"/>
                      <w:lang w:eastAsia="zh-CN"/>
                    </w:rPr>
                    <w:t>（</w:t>
                  </w:r>
                  <w:r>
                    <w:rPr>
                      <w:rFonts w:hint="eastAsia" w:ascii="Times New Roman" w:hAnsi="Times New Roman"/>
                      <w:sz w:val="21"/>
                      <w:szCs w:val="21"/>
                      <w:lang w:val="en-US" w:eastAsia="zh-CN"/>
                    </w:rPr>
                    <w:t>轻油</w:t>
                  </w:r>
                  <w:r>
                    <w:rPr>
                      <w:rFonts w:hint="eastAsia" w:ascii="Times New Roman" w:hAnsi="Times New Roman"/>
                      <w:sz w:val="21"/>
                      <w:szCs w:val="21"/>
                      <w:lang w:eastAsia="zh-CN"/>
                    </w:rPr>
                    <w:t>）</w:t>
                  </w:r>
                </w:p>
              </w:tc>
              <w:tc>
                <w:tcPr>
                  <w:tcW w:w="681" w:type="dxa"/>
                  <w:vMerge w:val="restart"/>
                  <w:shd w:val="clear" w:color="auto" w:fill="auto"/>
                  <w:vAlign w:val="center"/>
                </w:tcPr>
                <w:p w14:paraId="7A21C655">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室燃炉</w:t>
                  </w:r>
                </w:p>
              </w:tc>
              <w:tc>
                <w:tcPr>
                  <w:tcW w:w="692" w:type="dxa"/>
                  <w:vMerge w:val="restart"/>
                  <w:shd w:val="clear" w:color="auto" w:fill="auto"/>
                  <w:vAlign w:val="center"/>
                </w:tcPr>
                <w:p w14:paraId="3C10973B">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所有规模</w:t>
                  </w:r>
                </w:p>
              </w:tc>
              <w:tc>
                <w:tcPr>
                  <w:tcW w:w="1374" w:type="dxa"/>
                  <w:shd w:val="clear" w:color="auto" w:fill="auto"/>
                  <w:vAlign w:val="center"/>
                </w:tcPr>
                <w:p w14:paraId="04BD43AC">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工业废气量</w:t>
                  </w:r>
                </w:p>
              </w:tc>
              <w:tc>
                <w:tcPr>
                  <w:tcW w:w="1524" w:type="dxa"/>
                  <w:shd w:val="clear" w:color="auto" w:fill="auto"/>
                  <w:vAlign w:val="center"/>
                </w:tcPr>
                <w:p w14:paraId="7B7F1156">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Nm</w:t>
                  </w:r>
                  <w:r>
                    <w:rPr>
                      <w:rFonts w:hint="eastAsia" w:ascii="Times New Roman" w:hAnsi="Times New Roman" w:eastAsia="宋体" w:cs="Times New Roman"/>
                      <w:sz w:val="21"/>
                      <w:szCs w:val="21"/>
                      <w:vertAlign w:val="superscript"/>
                      <w:lang w:val="en-US" w:eastAsia="zh-CN"/>
                    </w:rPr>
                    <w:t>3</w:t>
                  </w:r>
                  <w:r>
                    <w:rPr>
                      <w:rFonts w:hint="eastAsia" w:ascii="Times New Roman" w:hAnsi="Times New Roman" w:eastAsia="宋体" w:cs="Times New Roman"/>
                      <w:sz w:val="21"/>
                      <w:szCs w:val="21"/>
                      <w:lang w:val="en-US" w:eastAsia="zh-CN"/>
                    </w:rPr>
                    <w:t>/t-原料</w:t>
                  </w:r>
                </w:p>
              </w:tc>
              <w:tc>
                <w:tcPr>
                  <w:tcW w:w="1199" w:type="dxa"/>
                  <w:shd w:val="clear" w:color="auto" w:fill="auto"/>
                  <w:vAlign w:val="center"/>
                </w:tcPr>
                <w:p w14:paraId="4511BEA2">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17804</w:t>
                  </w:r>
                </w:p>
              </w:tc>
            </w:tr>
            <w:tr w14:paraId="55B3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9" w:hRule="atLeast"/>
              </w:trPr>
              <w:tc>
                <w:tcPr>
                  <w:tcW w:w="911" w:type="dxa"/>
                  <w:vMerge w:val="continue"/>
                  <w:shd w:val="clear" w:color="auto" w:fill="auto"/>
                  <w:vAlign w:val="center"/>
                </w:tcPr>
                <w:p w14:paraId="2241BDC4">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991" w:type="dxa"/>
                  <w:vMerge w:val="continue"/>
                  <w:shd w:val="clear" w:color="auto" w:fill="auto"/>
                  <w:vAlign w:val="center"/>
                </w:tcPr>
                <w:p w14:paraId="6EA17C65">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81" w:type="dxa"/>
                  <w:vMerge w:val="continue"/>
                  <w:shd w:val="clear" w:color="auto" w:fill="auto"/>
                  <w:vAlign w:val="center"/>
                </w:tcPr>
                <w:p w14:paraId="06CF4238">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92" w:type="dxa"/>
                  <w:vMerge w:val="continue"/>
                  <w:shd w:val="clear" w:color="auto" w:fill="auto"/>
                  <w:vAlign w:val="center"/>
                </w:tcPr>
                <w:p w14:paraId="64395C78">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74" w:type="dxa"/>
                  <w:shd w:val="clear" w:color="auto" w:fill="auto"/>
                  <w:vAlign w:val="center"/>
                </w:tcPr>
                <w:p w14:paraId="73AD0085">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二氧化硫</w:t>
                  </w:r>
                </w:p>
              </w:tc>
              <w:tc>
                <w:tcPr>
                  <w:tcW w:w="1524" w:type="dxa"/>
                  <w:shd w:val="clear" w:color="auto" w:fill="auto"/>
                  <w:vAlign w:val="center"/>
                </w:tcPr>
                <w:p w14:paraId="40762EDC">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千克/吨-原料</w:t>
                  </w:r>
                </w:p>
              </w:tc>
              <w:tc>
                <w:tcPr>
                  <w:tcW w:w="1199" w:type="dxa"/>
                  <w:shd w:val="clear" w:color="auto" w:fill="auto"/>
                  <w:vAlign w:val="center"/>
                </w:tcPr>
                <w:p w14:paraId="0FFFA987">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19S</w:t>
                  </w:r>
                </w:p>
              </w:tc>
            </w:tr>
            <w:tr w14:paraId="7233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911" w:type="dxa"/>
                  <w:vMerge w:val="continue"/>
                  <w:shd w:val="clear" w:color="auto" w:fill="auto"/>
                  <w:vAlign w:val="center"/>
                </w:tcPr>
                <w:p w14:paraId="2CB25AC4">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991" w:type="dxa"/>
                  <w:vMerge w:val="continue"/>
                  <w:shd w:val="clear" w:color="auto" w:fill="auto"/>
                  <w:vAlign w:val="center"/>
                </w:tcPr>
                <w:p w14:paraId="374E1E84">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81" w:type="dxa"/>
                  <w:vMerge w:val="continue"/>
                  <w:shd w:val="clear" w:color="auto" w:fill="auto"/>
                  <w:vAlign w:val="center"/>
                </w:tcPr>
                <w:p w14:paraId="0F0B68BE">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92" w:type="dxa"/>
                  <w:vMerge w:val="continue"/>
                  <w:shd w:val="clear" w:color="auto" w:fill="auto"/>
                  <w:vAlign w:val="center"/>
                </w:tcPr>
                <w:p w14:paraId="10219210">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74" w:type="dxa"/>
                  <w:shd w:val="clear" w:color="auto" w:fill="auto"/>
                  <w:vAlign w:val="center"/>
                </w:tcPr>
                <w:p w14:paraId="49345E89">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hint="eastAsia" w:ascii="Times New Roman" w:hAnsi="Times New Roman"/>
                      <w:sz w:val="21"/>
                      <w:szCs w:val="21"/>
                    </w:rPr>
                    <w:t>颗粒物</w:t>
                  </w:r>
                </w:p>
              </w:tc>
              <w:tc>
                <w:tcPr>
                  <w:tcW w:w="1524" w:type="dxa"/>
                  <w:shd w:val="clear" w:color="auto" w:fill="auto"/>
                  <w:vAlign w:val="center"/>
                </w:tcPr>
                <w:p w14:paraId="2D38EC7E">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千克/吨-原料</w:t>
                  </w:r>
                </w:p>
              </w:tc>
              <w:tc>
                <w:tcPr>
                  <w:tcW w:w="1199" w:type="dxa"/>
                  <w:shd w:val="clear" w:color="auto" w:fill="auto"/>
                  <w:vAlign w:val="center"/>
                </w:tcPr>
                <w:p w14:paraId="0A9F103E">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0.26</w:t>
                  </w:r>
                </w:p>
              </w:tc>
            </w:tr>
            <w:tr w14:paraId="512A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6" w:hRule="atLeast"/>
              </w:trPr>
              <w:tc>
                <w:tcPr>
                  <w:tcW w:w="911" w:type="dxa"/>
                  <w:vMerge w:val="continue"/>
                  <w:shd w:val="clear" w:color="auto" w:fill="auto"/>
                  <w:vAlign w:val="center"/>
                </w:tcPr>
                <w:p w14:paraId="1301F800">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991" w:type="dxa"/>
                  <w:vMerge w:val="continue"/>
                  <w:shd w:val="clear" w:color="auto" w:fill="auto"/>
                  <w:vAlign w:val="center"/>
                </w:tcPr>
                <w:p w14:paraId="2B995334">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81" w:type="dxa"/>
                  <w:vMerge w:val="continue"/>
                  <w:shd w:val="clear" w:color="auto" w:fill="auto"/>
                  <w:vAlign w:val="center"/>
                </w:tcPr>
                <w:p w14:paraId="4961C48B">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692" w:type="dxa"/>
                  <w:vMerge w:val="continue"/>
                  <w:shd w:val="clear" w:color="auto" w:fill="auto"/>
                  <w:vAlign w:val="center"/>
                </w:tcPr>
                <w:p w14:paraId="09DF413E">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p>
              </w:tc>
              <w:tc>
                <w:tcPr>
                  <w:tcW w:w="1374" w:type="dxa"/>
                  <w:shd w:val="clear" w:color="auto" w:fill="auto"/>
                  <w:vAlign w:val="center"/>
                </w:tcPr>
                <w:p w14:paraId="3ACC2A41">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sz w:val="21"/>
                      <w:szCs w:val="21"/>
                    </w:rPr>
                  </w:pPr>
                  <w:r>
                    <w:rPr>
                      <w:rFonts w:ascii="Times New Roman" w:hAnsi="Times New Roman"/>
                      <w:sz w:val="21"/>
                      <w:szCs w:val="21"/>
                    </w:rPr>
                    <w:t>氮氧化物</w:t>
                  </w:r>
                </w:p>
              </w:tc>
              <w:tc>
                <w:tcPr>
                  <w:tcW w:w="1524" w:type="dxa"/>
                  <w:shd w:val="clear" w:color="auto" w:fill="auto"/>
                  <w:vAlign w:val="center"/>
                </w:tcPr>
                <w:p w14:paraId="266A661A">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ascii="Times New Roman" w:hAnsi="Times New Roman"/>
                      <w:color w:val="auto"/>
                      <w:sz w:val="21"/>
                      <w:szCs w:val="21"/>
                    </w:rPr>
                  </w:pPr>
                  <w:r>
                    <w:rPr>
                      <w:rFonts w:ascii="Times New Roman" w:hAnsi="Times New Roman"/>
                      <w:color w:val="auto"/>
                      <w:sz w:val="21"/>
                      <w:szCs w:val="21"/>
                    </w:rPr>
                    <w:t>千克/吨-原料</w:t>
                  </w:r>
                </w:p>
              </w:tc>
              <w:tc>
                <w:tcPr>
                  <w:tcW w:w="1199" w:type="dxa"/>
                  <w:shd w:val="clear" w:color="auto" w:fill="auto"/>
                  <w:vAlign w:val="center"/>
                </w:tcPr>
                <w:p w14:paraId="358491A8">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ind w:firstLine="0" w:firstLine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1.84（低氮燃烧）</w:t>
                  </w:r>
                </w:p>
              </w:tc>
            </w:tr>
            <w:tr w14:paraId="2587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3" w:hRule="atLeast"/>
              </w:trPr>
              <w:tc>
                <w:tcPr>
                  <w:tcW w:w="7372" w:type="dxa"/>
                  <w:gridSpan w:val="7"/>
                  <w:shd w:val="clear" w:color="auto" w:fill="auto"/>
                  <w:vAlign w:val="center"/>
                </w:tcPr>
                <w:p w14:paraId="0D70886B">
                  <w:pPr>
                    <w:pStyle w:val="14"/>
                    <w:keepNext w:val="0"/>
                    <w:keepLines w:val="0"/>
                    <w:pageBreakBefore w:val="0"/>
                    <w:widowControl/>
                    <w:kinsoku/>
                    <w:wordWrap/>
                    <w:overflowPunct/>
                    <w:topLinePunct w:val="0"/>
                    <w:autoSpaceDE/>
                    <w:autoSpaceDN/>
                    <w:bidi w:val="0"/>
                    <w:adjustRightInd w:val="0"/>
                    <w:snapToGrid w:val="0"/>
                    <w:spacing w:beforeAutospacing="0" w:afterAutospacing="0" w:line="360" w:lineRule="exact"/>
                    <w:ind w:firstLine="0" w:firstLineChars="0"/>
                    <w:jc w:val="left"/>
                    <w:textAlignment w:val="auto"/>
                    <w:rPr>
                      <w:rFonts w:ascii="Times New Roman" w:hAnsi="Times New Roman"/>
                      <w:sz w:val="21"/>
                      <w:szCs w:val="21"/>
                    </w:rPr>
                  </w:pPr>
                  <w:r>
                    <w:rPr>
                      <w:rFonts w:hint="eastAsia" w:ascii="Times New Roman" w:hAnsi="Times New Roman"/>
                      <w:sz w:val="21"/>
                      <w:szCs w:val="21"/>
                    </w:rPr>
                    <w:t>注：产排污系数表中二氧化硫的产排污系数是以含疏量(S%)的形式表示的，其中含量(S%)是指燃油收到基疏含量，以质量分的形式表示</w:t>
                  </w:r>
                  <w:r>
                    <w:rPr>
                      <w:rFonts w:hint="eastAsia" w:ascii="Times New Roman" w:hAnsi="Times New Roman" w:eastAsia="宋体" w:cs="Times New Roman"/>
                      <w:sz w:val="21"/>
                      <w:szCs w:val="21"/>
                    </w:rPr>
                    <w:t>。例料中含量(S%)为0.1%则S=0.1。</w:t>
                  </w:r>
                </w:p>
              </w:tc>
            </w:tr>
          </w:tbl>
          <w:p w14:paraId="3C97E1E7">
            <w:pPr>
              <w:pStyle w:val="6"/>
              <w:keepNext w:val="0"/>
              <w:keepLines w:val="0"/>
              <w:pageBreakBefore w:val="0"/>
              <w:widowControl/>
              <w:kinsoku/>
              <w:wordWrap w:val="0"/>
              <w:overflowPunct/>
              <w:topLinePunct w:val="0"/>
              <w:autoSpaceDE/>
              <w:autoSpaceDN/>
              <w:bidi w:val="0"/>
              <w:adjustRightInd/>
              <w:snapToGrid/>
              <w:spacing w:before="157" w:beforeLines="50" w:after="0" w:line="360" w:lineRule="auto"/>
              <w:ind w:left="0" w:leftChars="0" w:right="0" w:firstLine="480" w:firstLineChars="200"/>
              <w:jc w:val="left"/>
              <w:textAlignment w:val="auto"/>
              <w:rPr>
                <w:color w:val="0000FF"/>
              </w:rPr>
            </w:pPr>
            <w:r>
              <w:rPr>
                <w:rFonts w:hint="eastAsia" w:ascii="Times New Roman" w:hAnsi="Times New Roman" w:eastAsia="宋体" w:cs="Times New Roman"/>
                <w:i w:val="0"/>
                <w:color w:val="000000" w:themeColor="text1"/>
                <w:kern w:val="0"/>
                <w:sz w:val="24"/>
                <w:szCs w:val="22"/>
                <w:lang w:val="en-US" w:eastAsia="zh-CN" w:bidi="ar"/>
                <w14:textFill>
                  <w14:solidFill>
                    <w14:schemeClr w14:val="tx1"/>
                  </w14:solidFill>
                </w14:textFill>
              </w:rPr>
              <w:t>根据建设单位提供资料，本项目在石料烘干工序中</w:t>
            </w:r>
            <w:r>
              <w:rPr>
                <w:rFonts w:hint="eastAsia" w:cs="Times New Roman"/>
                <w:i w:val="0"/>
                <w:iCs/>
                <w:color w:val="auto"/>
                <w:sz w:val="24"/>
                <w:lang w:val="en-US" w:eastAsia="zh-CN"/>
              </w:rPr>
              <w:t>柴</w:t>
            </w:r>
            <w:r>
              <w:rPr>
                <w:rFonts w:hint="eastAsia" w:ascii="Times New Roman" w:hAnsi="Times New Roman" w:eastAsia="宋体" w:cs="Times New Roman"/>
                <w:i w:val="0"/>
                <w:color w:val="000000" w:themeColor="text1"/>
                <w:kern w:val="0"/>
                <w:sz w:val="24"/>
                <w:szCs w:val="22"/>
                <w:lang w:val="en-US" w:eastAsia="zh-CN" w:bidi="ar"/>
                <w14:textFill>
                  <w14:solidFill>
                    <w14:schemeClr w14:val="tx1"/>
                  </w14:solidFill>
                </w14:textFill>
              </w:rPr>
              <w:t>油的年使用</w:t>
            </w:r>
            <w:r>
              <w:rPr>
                <w:rFonts w:hint="eastAsia" w:ascii="Times New Roman" w:hAnsi="Times New Roman" w:eastAsia="宋体" w:cs="Times New Roman"/>
                <w:i w:val="0"/>
                <w:color w:val="auto"/>
                <w:kern w:val="0"/>
                <w:sz w:val="24"/>
                <w:szCs w:val="22"/>
                <w:lang w:val="en-US" w:eastAsia="zh-CN" w:bidi="ar"/>
              </w:rPr>
              <w:t>量为</w:t>
            </w:r>
            <w:r>
              <w:rPr>
                <w:rFonts w:hint="eastAsia" w:cs="Times New Roman"/>
                <w:i w:val="0"/>
                <w:color w:val="auto"/>
                <w:kern w:val="0"/>
                <w:sz w:val="24"/>
                <w:szCs w:val="22"/>
                <w:lang w:val="en-US" w:eastAsia="zh-CN" w:bidi="ar"/>
              </w:rPr>
              <w:t>100</w:t>
            </w:r>
            <w:r>
              <w:rPr>
                <w:rFonts w:hint="eastAsia" w:ascii="Times New Roman" w:hAnsi="Times New Roman" w:eastAsia="宋体" w:cs="Times New Roman"/>
                <w:i w:val="0"/>
                <w:color w:val="auto"/>
                <w:kern w:val="0"/>
                <w:sz w:val="24"/>
                <w:szCs w:val="22"/>
                <w:lang w:val="en-US" w:eastAsia="zh-CN" w:bidi="ar"/>
              </w:rPr>
              <w:t>t，烘干工序运行时间约</w:t>
            </w:r>
            <w:r>
              <w:rPr>
                <w:rFonts w:hint="eastAsia" w:ascii="Times New Roman" w:hAnsi="Times New Roman" w:eastAsia="宋体" w:cs="Times New Roman"/>
                <w:i w:val="0"/>
                <w:color w:val="auto"/>
                <w:kern w:val="0"/>
                <w:sz w:val="24"/>
                <w:szCs w:val="24"/>
                <w:lang w:val="en-US" w:eastAsia="zh-CN" w:bidi="ar"/>
              </w:rPr>
              <w:t>为</w:t>
            </w:r>
            <w:r>
              <w:rPr>
                <w:rFonts w:hint="eastAsia"/>
                <w:i w:val="0"/>
                <w:iCs/>
                <w:color w:val="auto"/>
                <w:sz w:val="24"/>
                <w:szCs w:val="24"/>
                <w:lang w:val="en-US" w:eastAsia="zh-CN"/>
              </w:rPr>
              <w:t>1440h，</w:t>
            </w:r>
            <w:r>
              <w:rPr>
                <w:rFonts w:hint="eastAsia" w:ascii="Times New Roman" w:hAnsi="Times New Roman" w:eastAsia="宋体" w:cs="Times New Roman"/>
                <w:i w:val="0"/>
                <w:color w:val="auto"/>
                <w:kern w:val="0"/>
                <w:sz w:val="24"/>
                <w:szCs w:val="22"/>
                <w:lang w:val="en-US" w:eastAsia="zh-CN" w:bidi="ar"/>
              </w:rPr>
              <w:t>则</w:t>
            </w:r>
            <w:r>
              <w:rPr>
                <w:rFonts w:hint="eastAsia" w:ascii="Times New Roman" w:hAnsi="Times New Roman" w:eastAsia="宋体" w:cs="Times New Roman"/>
                <w:i w:val="0"/>
                <w:color w:val="000000" w:themeColor="text1"/>
                <w:kern w:val="0"/>
                <w:sz w:val="24"/>
                <w:szCs w:val="22"/>
                <w:lang w:val="en-US" w:eastAsia="zh-CN" w:bidi="ar"/>
                <w14:textFill>
                  <w14:solidFill>
                    <w14:schemeClr w14:val="tx1"/>
                  </w14:solidFill>
                </w14:textFill>
              </w:rPr>
              <w:t>燃烧废气产排量如下：</w:t>
            </w:r>
          </w:p>
          <w:p w14:paraId="0C5ABA7B">
            <w:pPr>
              <w:ind w:firstLine="480"/>
              <w:rPr>
                <w:rFonts w:hint="default" w:eastAsia="宋体"/>
                <w:color w:val="auto"/>
                <w:kern w:val="32"/>
                <w:lang w:val="en-US" w:eastAsia="zh-CN"/>
              </w:rPr>
            </w:pPr>
            <w:r>
              <w:rPr>
                <w:rFonts w:hint="eastAsia"/>
                <w:color w:val="auto"/>
                <w:kern w:val="32"/>
                <w:lang w:val="en-US" w:eastAsia="zh-CN"/>
              </w:rPr>
              <w:t>工业废气量：17804</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/t</w:t>
            </w:r>
            <w:r>
              <w:rPr>
                <w:rFonts w:hint="eastAsia"/>
                <w:color w:val="auto"/>
                <w:kern w:val="32"/>
              </w:rPr>
              <w:t>×</w:t>
            </w:r>
            <w:r>
              <w:rPr>
                <w:rFonts w:hint="eastAsia"/>
                <w:color w:val="auto"/>
                <w:kern w:val="32"/>
                <w:lang w:val="en-US" w:eastAsia="zh-CN"/>
              </w:rPr>
              <w:t>100t=178.04万</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a，</w:t>
            </w:r>
            <w:r>
              <w:rPr>
                <w:rFonts w:hint="eastAsia" w:cs="Times New Roman"/>
                <w:bCs/>
                <w:color w:val="auto"/>
                <w:szCs w:val="21"/>
                <w:highlight w:val="none"/>
                <w:vertAlign w:val="baseline"/>
                <w:lang w:val="en-US" w:eastAsia="zh-CN"/>
              </w:rPr>
              <w:t>1236.389</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h。</w:t>
            </w:r>
          </w:p>
          <w:p w14:paraId="23DCDD6A">
            <w:pPr>
              <w:ind w:firstLine="480"/>
              <w:rPr>
                <w:color w:val="auto"/>
                <w:kern w:val="32"/>
              </w:rPr>
            </w:pPr>
            <w:r>
              <w:rPr>
                <w:rFonts w:hint="eastAsia" w:cs="Times New Roman"/>
                <w:i w:val="0"/>
                <w:color w:val="auto"/>
                <w:kern w:val="0"/>
                <w:sz w:val="24"/>
                <w:szCs w:val="22"/>
                <w:lang w:val="en-US" w:eastAsia="zh-CN" w:bidi="ar"/>
              </w:rPr>
              <w:t>NO</w:t>
            </w:r>
            <w:r>
              <w:rPr>
                <w:rFonts w:hint="eastAsia" w:cs="Times New Roman"/>
                <w:i w:val="0"/>
                <w:color w:val="auto"/>
                <w:kern w:val="0"/>
                <w:sz w:val="24"/>
                <w:szCs w:val="22"/>
                <w:vertAlign w:val="subscript"/>
                <w:lang w:val="en-US" w:eastAsia="zh-CN" w:bidi="ar"/>
              </w:rPr>
              <w:t>x</w:t>
            </w:r>
            <w:r>
              <w:rPr>
                <w:rFonts w:hint="eastAsia"/>
                <w:color w:val="auto"/>
                <w:kern w:val="32"/>
              </w:rPr>
              <w:t>的产生速率为：</w:t>
            </w:r>
            <w:r>
              <w:rPr>
                <w:rFonts w:hint="eastAsia"/>
                <w:color w:val="auto"/>
                <w:kern w:val="32"/>
                <w:lang w:val="en-US" w:eastAsia="zh-CN"/>
              </w:rPr>
              <w:t>1.84</w:t>
            </w:r>
            <w:r>
              <w:rPr>
                <w:rFonts w:hint="eastAsia"/>
                <w:color w:val="auto"/>
                <w:kern w:val="32"/>
              </w:rPr>
              <w:t>千克/吨×（</w:t>
            </w:r>
            <w:r>
              <w:rPr>
                <w:rFonts w:hint="eastAsia"/>
                <w:color w:val="auto"/>
                <w:kern w:val="32"/>
                <w:lang w:val="en-US" w:eastAsia="zh-CN"/>
              </w:rPr>
              <w:t>100</w:t>
            </w:r>
            <w:r>
              <w:rPr>
                <w:rFonts w:hint="eastAsia"/>
                <w:color w:val="auto"/>
                <w:kern w:val="32"/>
              </w:rPr>
              <w:t>÷1440）吨/小时=</w:t>
            </w:r>
            <w:r>
              <w:rPr>
                <w:rFonts w:hint="eastAsia"/>
                <w:color w:val="auto"/>
                <w:kern w:val="32"/>
                <w:lang w:val="en-US" w:eastAsia="zh-CN"/>
              </w:rPr>
              <w:t>0.128</w:t>
            </w:r>
            <w:r>
              <w:rPr>
                <w:rFonts w:hint="eastAsia"/>
                <w:color w:val="auto"/>
                <w:kern w:val="32"/>
              </w:rPr>
              <w:t>kg/h，产生量为</w:t>
            </w:r>
            <w:r>
              <w:rPr>
                <w:rFonts w:hint="eastAsia"/>
                <w:color w:val="auto"/>
                <w:kern w:val="32"/>
                <w:lang w:val="en-US" w:eastAsia="zh-CN"/>
              </w:rPr>
              <w:t>0.184</w:t>
            </w:r>
            <w:r>
              <w:rPr>
                <w:rFonts w:hint="eastAsia"/>
                <w:color w:val="auto"/>
                <w:kern w:val="32"/>
              </w:rPr>
              <w:t>t/a。</w:t>
            </w:r>
          </w:p>
          <w:p w14:paraId="019A4515">
            <w:pPr>
              <w:adjustRightInd w:val="0"/>
              <w:snapToGrid w:val="0"/>
              <w:ind w:firstLine="480"/>
              <w:rPr>
                <w:rFonts w:hint="eastAsia"/>
                <w:color w:val="auto"/>
                <w:kern w:val="32"/>
              </w:rPr>
            </w:pPr>
            <w:r>
              <w:rPr>
                <w:rFonts w:hint="eastAsia"/>
                <w:color w:val="auto"/>
                <w:kern w:val="32"/>
              </w:rPr>
              <w:t>颗粒物的产生速率为：</w:t>
            </w:r>
            <w:r>
              <w:rPr>
                <w:rFonts w:hint="eastAsia"/>
                <w:color w:val="auto"/>
                <w:kern w:val="32"/>
                <w:lang w:val="en-US" w:eastAsia="zh-CN"/>
              </w:rPr>
              <w:t>0.26</w:t>
            </w:r>
            <w:r>
              <w:rPr>
                <w:rFonts w:hint="eastAsia"/>
                <w:color w:val="auto"/>
                <w:kern w:val="32"/>
              </w:rPr>
              <w:t>千克/吨×（</w:t>
            </w:r>
            <w:r>
              <w:rPr>
                <w:rFonts w:hint="eastAsia"/>
                <w:color w:val="auto"/>
                <w:kern w:val="32"/>
                <w:lang w:val="en-US" w:eastAsia="zh-CN"/>
              </w:rPr>
              <w:t>100</w:t>
            </w:r>
            <w:r>
              <w:rPr>
                <w:rFonts w:hint="eastAsia"/>
                <w:color w:val="auto"/>
                <w:kern w:val="32"/>
              </w:rPr>
              <w:t>÷1440）吨/小时=</w:t>
            </w:r>
            <w:r>
              <w:rPr>
                <w:rFonts w:hint="eastAsia"/>
                <w:color w:val="auto"/>
                <w:kern w:val="32"/>
                <w:lang w:val="en-US" w:eastAsia="zh-CN"/>
              </w:rPr>
              <w:t>0.018</w:t>
            </w:r>
            <w:r>
              <w:rPr>
                <w:rFonts w:hint="eastAsia"/>
                <w:color w:val="auto"/>
                <w:kern w:val="32"/>
              </w:rPr>
              <w:t>kg/h，产生量为</w:t>
            </w:r>
            <w:r>
              <w:rPr>
                <w:rFonts w:hint="eastAsia"/>
                <w:color w:val="auto"/>
                <w:kern w:val="32"/>
                <w:lang w:val="en-US" w:eastAsia="zh-CN"/>
              </w:rPr>
              <w:t>0.025</w:t>
            </w:r>
            <w:r>
              <w:rPr>
                <w:rFonts w:hint="eastAsia"/>
                <w:color w:val="auto"/>
                <w:kern w:val="32"/>
              </w:rPr>
              <w:t>t/a。</w:t>
            </w:r>
          </w:p>
          <w:p w14:paraId="1967D088">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i w:val="0"/>
                <w:color w:val="auto"/>
                <w:kern w:val="0"/>
                <w:sz w:val="24"/>
                <w:szCs w:val="22"/>
                <w:lang w:val="en-US" w:eastAsia="zh-CN" w:bidi="ar"/>
              </w:rPr>
            </w:pPr>
            <w:r>
              <w:rPr>
                <w:rFonts w:hint="eastAsia" w:ascii="Times New Roman" w:hAnsi="Times New Roman" w:eastAsia="宋体" w:cs="Times New Roman"/>
                <w:color w:val="auto"/>
                <w:kern w:val="32"/>
                <w:sz w:val="24"/>
                <w:szCs w:val="22"/>
                <w:lang w:val="en-US" w:eastAsia="zh-CN" w:bidi="ar-SA"/>
              </w:rPr>
              <w:t>烘干滚筒石料滚动扬尘没有相关产污系数，参照</w:t>
            </w:r>
            <w:r>
              <w:rPr>
                <w:rFonts w:hint="eastAsia" w:ascii="Times New Roman" w:hAnsi="Times New Roman" w:eastAsia="宋体" w:cs="Times New Roman"/>
                <w:i w:val="0"/>
                <w:color w:val="auto"/>
                <w:kern w:val="0"/>
                <w:sz w:val="24"/>
                <w:szCs w:val="22"/>
                <w:lang w:val="en-US" w:eastAsia="zh-CN" w:bidi="ar"/>
              </w:rPr>
              <w:t>《逸散性工业粉尘控制技术》（中国环境科学出版社）中粒料加工厂砂石破碎和筛</w:t>
            </w:r>
            <w:r>
              <w:rPr>
                <w:rFonts w:hint="eastAsia" w:cs="Times New Roman"/>
                <w:i w:val="0"/>
                <w:color w:val="auto"/>
                <w:kern w:val="0"/>
                <w:sz w:val="24"/>
                <w:szCs w:val="22"/>
                <w:lang w:val="en-US" w:eastAsia="zh-CN" w:bidi="ar"/>
              </w:rPr>
              <w:t>选</w:t>
            </w:r>
            <w:r>
              <w:rPr>
                <w:rFonts w:hint="eastAsia" w:ascii="Times New Roman" w:hAnsi="Times New Roman" w:eastAsia="宋体" w:cs="Times New Roman"/>
                <w:i w:val="0"/>
                <w:color w:val="auto"/>
                <w:kern w:val="0"/>
                <w:sz w:val="24"/>
                <w:szCs w:val="22"/>
                <w:lang w:val="en-US" w:eastAsia="zh-CN" w:bidi="ar"/>
              </w:rPr>
              <w:t>逸散尘源排放因子（0.03~0.08kg/t），</w:t>
            </w:r>
            <w:r>
              <w:rPr>
                <w:rFonts w:hint="eastAsia" w:ascii="Times New Roman" w:hAnsi="Times New Roman" w:eastAsia="宋体" w:cs="Times New Roman"/>
                <w:color w:val="auto"/>
                <w:kern w:val="32"/>
                <w:sz w:val="24"/>
                <w:szCs w:val="22"/>
                <w:lang w:val="en-US" w:eastAsia="zh-CN" w:bidi="ar-SA"/>
              </w:rPr>
              <w:t>烘干滚筒石料滚动扬尘</w:t>
            </w:r>
            <w:r>
              <w:rPr>
                <w:rFonts w:hint="eastAsia" w:ascii="Times New Roman" w:hAnsi="Times New Roman" w:eastAsia="宋体" w:cs="Times New Roman"/>
                <w:i w:val="0"/>
                <w:color w:val="auto"/>
                <w:kern w:val="0"/>
                <w:sz w:val="24"/>
                <w:szCs w:val="22"/>
                <w:lang w:val="en-US" w:eastAsia="zh-CN" w:bidi="ar"/>
              </w:rPr>
              <w:t>产生量取0.08kg/t，骨料量约为</w:t>
            </w:r>
            <w:r>
              <w:rPr>
                <w:rFonts w:hint="eastAsia" w:cs="Times New Roman"/>
                <w:i w:val="0"/>
                <w:color w:val="auto"/>
                <w:kern w:val="0"/>
                <w:sz w:val="24"/>
                <w:szCs w:val="22"/>
                <w:shd w:val="clear"/>
                <w:lang w:val="en-US" w:eastAsia="zh-CN" w:bidi="ar"/>
              </w:rPr>
              <w:t>92000</w:t>
            </w:r>
            <w:r>
              <w:rPr>
                <w:rFonts w:hint="eastAsia" w:ascii="Times New Roman" w:hAnsi="Times New Roman" w:eastAsia="宋体" w:cs="Times New Roman"/>
                <w:i w:val="0"/>
                <w:color w:val="auto"/>
                <w:kern w:val="0"/>
                <w:sz w:val="24"/>
                <w:szCs w:val="22"/>
                <w:lang w:val="en-US" w:eastAsia="zh-CN" w:bidi="ar"/>
              </w:rPr>
              <w:t>t/a，则粉尘产生量约</w:t>
            </w:r>
            <w:r>
              <w:rPr>
                <w:rFonts w:hint="eastAsia" w:cs="Times New Roman"/>
                <w:i w:val="0"/>
                <w:color w:val="auto"/>
                <w:kern w:val="0"/>
                <w:sz w:val="24"/>
                <w:szCs w:val="22"/>
                <w:lang w:val="en-US" w:eastAsia="zh-CN" w:bidi="ar"/>
              </w:rPr>
              <w:t>7.36</w:t>
            </w:r>
            <w:r>
              <w:rPr>
                <w:rFonts w:hint="eastAsia" w:ascii="Times New Roman" w:hAnsi="Times New Roman" w:eastAsia="宋体" w:cs="Times New Roman"/>
                <w:i w:val="0"/>
                <w:color w:val="auto"/>
                <w:kern w:val="0"/>
                <w:sz w:val="24"/>
                <w:szCs w:val="22"/>
                <w:lang w:val="en-US" w:eastAsia="zh-CN" w:bidi="ar"/>
              </w:rPr>
              <w:t>t/a，产生的速率约为</w:t>
            </w:r>
            <w:r>
              <w:rPr>
                <w:rFonts w:hint="eastAsia" w:cs="Times New Roman"/>
                <w:i w:val="0"/>
                <w:color w:val="auto"/>
                <w:kern w:val="0"/>
                <w:sz w:val="24"/>
                <w:szCs w:val="22"/>
                <w:lang w:val="en-US" w:eastAsia="zh-CN" w:bidi="ar"/>
              </w:rPr>
              <w:t>5.111</w:t>
            </w:r>
            <w:r>
              <w:rPr>
                <w:rFonts w:hint="eastAsia" w:ascii="Times New Roman" w:hAnsi="Times New Roman" w:eastAsia="宋体" w:cs="Times New Roman"/>
                <w:i w:val="0"/>
                <w:color w:val="auto"/>
                <w:kern w:val="0"/>
                <w:sz w:val="24"/>
                <w:szCs w:val="22"/>
                <w:lang w:val="en-US" w:eastAsia="zh-CN" w:bidi="ar"/>
              </w:rPr>
              <w:t>kg/h（年工作180天，每天工作8h）。</w:t>
            </w:r>
          </w:p>
          <w:p w14:paraId="411C2A43">
            <w:pPr>
              <w:pStyle w:val="5"/>
              <w:keepNext w:val="0"/>
              <w:keepLines w:val="0"/>
              <w:pageBreakBefore w:val="0"/>
              <w:widowControl w:val="0"/>
              <w:kinsoku/>
              <w:wordWrap/>
              <w:overflowPunct/>
              <w:topLinePunct w:val="0"/>
              <w:autoSpaceDE/>
              <w:autoSpaceDN/>
              <w:bidi w:val="0"/>
              <w:adjustRightInd w:val="0"/>
              <w:snapToGrid/>
              <w:spacing w:after="0" w:line="360" w:lineRule="auto"/>
              <w:ind w:firstLine="482" w:firstLineChars="200"/>
              <w:textAlignment w:val="auto"/>
              <w:rPr>
                <w:rFonts w:hint="eastAsia" w:ascii="Times New Roman" w:hAnsi="Times New Roman" w:eastAsia="宋体" w:cs="Times New Roman"/>
                <w:b/>
                <w:bCs/>
                <w:color w:val="auto"/>
                <w:kern w:val="0"/>
                <w:sz w:val="24"/>
                <w:szCs w:val="22"/>
                <w:lang w:val="en-US" w:eastAsia="zh-CN" w:bidi="ar-SA"/>
              </w:rPr>
            </w:pPr>
            <w:r>
              <w:rPr>
                <w:rFonts w:hint="default" w:ascii="Times New Roman" w:hAnsi="Times New Roman" w:eastAsia="宋体" w:cs="Times New Roman"/>
                <w:b/>
                <w:bCs/>
                <w:i w:val="0"/>
                <w:color w:val="000000" w:themeColor="text1"/>
                <w:kern w:val="0"/>
                <w:sz w:val="24"/>
                <w:szCs w:val="22"/>
                <w:lang w:val="en-US" w:eastAsia="zh-CN" w:bidi="ar"/>
                <w14:textFill>
                  <w14:solidFill>
                    <w14:schemeClr w14:val="tx1"/>
                  </w14:solidFill>
                </w14:textFill>
              </w:rPr>
              <w:t>③</w:t>
            </w:r>
            <w:r>
              <w:rPr>
                <w:rFonts w:hint="eastAsia" w:ascii="Times New Roman" w:hAnsi="Times New Roman" w:eastAsia="宋体" w:cs="Times New Roman"/>
                <w:b/>
                <w:bCs/>
                <w:i w:val="0"/>
                <w:color w:val="000000" w:themeColor="text1"/>
                <w:kern w:val="0"/>
                <w:sz w:val="24"/>
                <w:szCs w:val="22"/>
                <w:lang w:val="en-US" w:eastAsia="zh-CN" w:bidi="ar"/>
                <w14:textFill>
                  <w14:solidFill>
                    <w14:schemeClr w14:val="tx1"/>
                  </w14:solidFill>
                </w14:textFill>
              </w:rPr>
              <w:t>筛分</w:t>
            </w:r>
            <w:r>
              <w:rPr>
                <w:rFonts w:hint="eastAsia" w:cs="Times New Roman"/>
                <w:b/>
                <w:bCs/>
                <w:i w:val="0"/>
                <w:color w:val="000000" w:themeColor="text1"/>
                <w:kern w:val="0"/>
                <w:sz w:val="24"/>
                <w:szCs w:val="22"/>
                <w:lang w:val="en-US" w:eastAsia="zh-CN" w:bidi="ar"/>
                <w14:textFill>
                  <w14:solidFill>
                    <w14:schemeClr w14:val="tx1"/>
                  </w14:solidFill>
                </w14:textFill>
              </w:rPr>
              <w:t>扬</w:t>
            </w:r>
            <w:r>
              <w:rPr>
                <w:rFonts w:hint="eastAsia" w:ascii="Times New Roman" w:hAnsi="Times New Roman" w:eastAsia="宋体" w:cs="Times New Roman"/>
                <w:b/>
                <w:bCs/>
                <w:i w:val="0"/>
                <w:color w:val="000000" w:themeColor="text1"/>
                <w:kern w:val="0"/>
                <w:sz w:val="24"/>
                <w:szCs w:val="22"/>
                <w:lang w:val="en-US" w:eastAsia="zh-CN" w:bidi="ar"/>
                <w14:textFill>
                  <w14:solidFill>
                    <w14:schemeClr w14:val="tx1"/>
                  </w14:solidFill>
                </w14:textFill>
              </w:rPr>
              <w:t>尘</w:t>
            </w:r>
          </w:p>
          <w:p w14:paraId="565BD575">
            <w:pPr>
              <w:pStyle w:val="5"/>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eastAsia" w:ascii="Times New Roman" w:hAnsi="Times New Roman" w:eastAsia="宋体" w:cs="Times New Roman"/>
                <w:i w:val="0"/>
                <w:color w:val="auto"/>
                <w:kern w:val="0"/>
                <w:sz w:val="24"/>
                <w:szCs w:val="22"/>
                <w:lang w:val="en-US" w:eastAsia="zh-CN" w:bidi="ar"/>
              </w:rPr>
            </w:pPr>
            <w:r>
              <w:rPr>
                <w:rFonts w:hint="eastAsia" w:ascii="Times New Roman" w:hAnsi="Times New Roman" w:eastAsia="宋体" w:cs="Times New Roman"/>
                <w:i w:val="0"/>
                <w:color w:val="000000" w:themeColor="text1"/>
                <w:kern w:val="0"/>
                <w:sz w:val="24"/>
                <w:szCs w:val="22"/>
                <w:lang w:val="en-US" w:eastAsia="zh-CN" w:bidi="ar"/>
                <w14:textFill>
                  <w14:solidFill>
                    <w14:schemeClr w14:val="tx1"/>
                  </w14:solidFill>
                </w14:textFill>
              </w:rPr>
              <w:t>生</w:t>
            </w:r>
            <w:r>
              <w:rPr>
                <w:rFonts w:hint="eastAsia" w:ascii="Times New Roman" w:hAnsi="Times New Roman" w:eastAsia="宋体" w:cs="Times New Roman"/>
                <w:i w:val="0"/>
                <w:color w:val="auto"/>
                <w:kern w:val="0"/>
                <w:sz w:val="24"/>
                <w:szCs w:val="22"/>
                <w:lang w:val="en-US" w:eastAsia="zh-CN" w:bidi="ar"/>
              </w:rPr>
              <w:t>产线运行过程均在密闭系统中进行，骨料经提升料斗提升后经密闭管道进入筛分机，</w:t>
            </w:r>
            <w:r>
              <w:rPr>
                <w:rFonts w:hint="eastAsia" w:cs="Times New Roman"/>
                <w:i w:val="0"/>
                <w:color w:val="auto"/>
                <w:kern w:val="0"/>
                <w:sz w:val="24"/>
                <w:szCs w:val="22"/>
                <w:lang w:val="en-US" w:eastAsia="zh-CN" w:bidi="ar"/>
              </w:rPr>
              <w:t>产生的</w:t>
            </w:r>
            <w:r>
              <w:rPr>
                <w:rFonts w:hint="eastAsia" w:ascii="Times New Roman" w:hAnsi="Times New Roman" w:eastAsia="宋体" w:cs="Times New Roman"/>
                <w:i w:val="0"/>
                <w:color w:val="auto"/>
                <w:kern w:val="0"/>
                <w:sz w:val="24"/>
                <w:szCs w:val="22"/>
                <w:lang w:val="en-US" w:eastAsia="zh-CN" w:bidi="ar"/>
              </w:rPr>
              <w:t>筛分</w:t>
            </w:r>
            <w:r>
              <w:rPr>
                <w:rFonts w:hint="eastAsia" w:cs="Times New Roman"/>
                <w:i w:val="0"/>
                <w:color w:val="auto"/>
                <w:kern w:val="0"/>
                <w:sz w:val="24"/>
                <w:szCs w:val="22"/>
                <w:lang w:val="en-US" w:eastAsia="zh-CN" w:bidi="ar"/>
              </w:rPr>
              <w:t>扬尘经管道</w:t>
            </w:r>
            <w:r>
              <w:rPr>
                <w:rFonts w:hint="eastAsia" w:ascii="Times New Roman" w:hAnsi="Times New Roman" w:eastAsia="宋体" w:cs="Times New Roman"/>
                <w:i w:val="0"/>
                <w:color w:val="auto"/>
                <w:kern w:val="0"/>
                <w:sz w:val="24"/>
                <w:szCs w:val="22"/>
                <w:lang w:val="en-US" w:eastAsia="zh-CN" w:bidi="ar"/>
              </w:rPr>
              <w:t>收集</w:t>
            </w:r>
            <w:r>
              <w:rPr>
                <w:rFonts w:hint="eastAsia" w:cs="Times New Roman"/>
                <w:i w:val="0"/>
                <w:color w:val="auto"/>
                <w:kern w:val="0"/>
                <w:sz w:val="24"/>
                <w:szCs w:val="22"/>
                <w:lang w:val="en-US" w:eastAsia="zh-CN" w:bidi="ar"/>
              </w:rPr>
              <w:t>进入</w:t>
            </w:r>
            <w:r>
              <w:rPr>
                <w:rFonts w:hint="eastAsia" w:ascii="Times New Roman" w:hAnsi="Times New Roman" w:eastAsia="宋体" w:cs="Times New Roman"/>
                <w:color w:val="auto"/>
                <w:kern w:val="0"/>
                <w:sz w:val="24"/>
                <w:szCs w:val="22"/>
                <w:lang w:val="en-US" w:eastAsia="zh-CN" w:bidi="ar-SA"/>
              </w:rPr>
              <w:t>旋风除尘器处理再经过布袋除尘器处理后通过1根15m高排气筒（DA001）有组织排放。</w:t>
            </w:r>
          </w:p>
          <w:p w14:paraId="47C44EBC">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left"/>
              <w:textAlignment w:val="auto"/>
              <w:rPr>
                <w:rFonts w:hint="eastAsia" w:ascii="Times New Roman" w:hAnsi="Times New Roman" w:eastAsia="宋体" w:cs="Times New Roman"/>
                <w:i w:val="0"/>
                <w:color w:val="auto"/>
                <w:kern w:val="0"/>
                <w:sz w:val="24"/>
                <w:szCs w:val="22"/>
                <w:lang w:val="en-US" w:eastAsia="zh-CN" w:bidi="ar"/>
              </w:rPr>
            </w:pPr>
            <w:r>
              <w:rPr>
                <w:rFonts w:hint="eastAsia" w:ascii="Times New Roman" w:hAnsi="Times New Roman" w:eastAsia="宋体" w:cs="Times New Roman"/>
                <w:i w:val="0"/>
                <w:color w:val="auto"/>
                <w:kern w:val="0"/>
                <w:sz w:val="24"/>
                <w:szCs w:val="22"/>
                <w:lang w:val="en-US" w:eastAsia="zh-CN" w:bidi="ar"/>
              </w:rPr>
              <w:t>根据《逸散性工业粉尘控制技术》（中国环境科学出版社）中粒料加工厂砂石破碎和筛</w:t>
            </w:r>
            <w:r>
              <w:rPr>
                <w:rFonts w:hint="eastAsia" w:cs="Times New Roman"/>
                <w:i w:val="0"/>
                <w:color w:val="auto"/>
                <w:kern w:val="0"/>
                <w:sz w:val="24"/>
                <w:szCs w:val="22"/>
                <w:lang w:val="en-US" w:eastAsia="zh-CN" w:bidi="ar"/>
              </w:rPr>
              <w:t>选</w:t>
            </w:r>
            <w:r>
              <w:rPr>
                <w:rFonts w:hint="eastAsia" w:ascii="Times New Roman" w:hAnsi="Times New Roman" w:eastAsia="宋体" w:cs="Times New Roman"/>
                <w:i w:val="0"/>
                <w:color w:val="auto"/>
                <w:kern w:val="0"/>
                <w:sz w:val="24"/>
                <w:szCs w:val="22"/>
                <w:lang w:val="en-US" w:eastAsia="zh-CN" w:bidi="ar"/>
              </w:rPr>
              <w:t>逸散尘源排放因子为0.03~0.08kg/t，本次评价筛分粉尘产生量取0.08kg/t，忽略物料输送、烘干等过程中的损耗，</w:t>
            </w:r>
            <w:r>
              <w:rPr>
                <w:rFonts w:hint="eastAsia" w:ascii="Times New Roman" w:hAnsi="Times New Roman" w:eastAsia="宋体" w:cs="Times New Roman"/>
                <w:i w:val="0"/>
                <w:color w:val="auto"/>
                <w:kern w:val="0"/>
                <w:sz w:val="24"/>
                <w:szCs w:val="22"/>
                <w:highlight w:val="none"/>
                <w:lang w:val="en-US" w:eastAsia="zh-CN" w:bidi="ar"/>
              </w:rPr>
              <w:t>项目烘干前物料平均含水率约为</w:t>
            </w:r>
            <w:r>
              <w:rPr>
                <w:rFonts w:hint="eastAsia" w:ascii="Times New Roman" w:hAnsi="Times New Roman" w:eastAsia="宋体" w:cs="Times New Roman"/>
                <w:i w:val="0"/>
                <w:color w:val="auto"/>
                <w:kern w:val="0"/>
                <w:sz w:val="24"/>
                <w:szCs w:val="22"/>
                <w:highlight w:val="none"/>
                <w:lang w:val="en-US" w:eastAsia="zh-CN" w:bidi="ar-SA"/>
              </w:rPr>
              <w:t>10%</w:t>
            </w:r>
            <w:r>
              <w:rPr>
                <w:rFonts w:hint="eastAsia" w:ascii="Times New Roman" w:hAnsi="Times New Roman" w:eastAsia="宋体" w:cs="Times New Roman"/>
                <w:i w:val="0"/>
                <w:color w:val="auto"/>
                <w:kern w:val="0"/>
                <w:sz w:val="24"/>
                <w:szCs w:val="22"/>
                <w:highlight w:val="none"/>
                <w:lang w:val="en-US" w:eastAsia="zh-CN" w:bidi="ar"/>
              </w:rPr>
              <w:t>，烘干后平均含水率约为1%</w:t>
            </w:r>
            <w:r>
              <w:rPr>
                <w:rFonts w:hint="eastAsia" w:ascii="Times New Roman" w:hAnsi="Times New Roman" w:eastAsia="宋体" w:cs="Times New Roman"/>
                <w:i w:val="0"/>
                <w:color w:val="auto"/>
                <w:kern w:val="0"/>
                <w:sz w:val="24"/>
                <w:szCs w:val="22"/>
                <w:lang w:val="en-US" w:eastAsia="zh-CN" w:bidi="ar"/>
              </w:rPr>
              <w:t>，则项目筛分骨料量约为</w:t>
            </w:r>
            <w:r>
              <w:rPr>
                <w:rFonts w:hint="eastAsia" w:cs="Times New Roman"/>
                <w:i w:val="0"/>
                <w:color w:val="auto"/>
                <w:kern w:val="0"/>
                <w:sz w:val="24"/>
                <w:szCs w:val="22"/>
                <w:shd w:val="clear"/>
                <w:lang w:val="en-US" w:eastAsia="zh-CN" w:bidi="ar"/>
              </w:rPr>
              <w:t>92000</w:t>
            </w:r>
            <w:r>
              <w:rPr>
                <w:rFonts w:hint="eastAsia" w:ascii="Times New Roman" w:hAnsi="Times New Roman" w:eastAsia="宋体" w:cs="Times New Roman"/>
                <w:i w:val="0"/>
                <w:color w:val="auto"/>
                <w:kern w:val="0"/>
                <w:sz w:val="24"/>
                <w:szCs w:val="22"/>
                <w:lang w:val="en-US" w:eastAsia="zh-CN" w:bidi="ar"/>
              </w:rPr>
              <w:t>t/a，则粉尘产生量约</w:t>
            </w:r>
            <w:r>
              <w:rPr>
                <w:rFonts w:hint="eastAsia" w:cs="Times New Roman"/>
                <w:i w:val="0"/>
                <w:color w:val="auto"/>
                <w:kern w:val="0"/>
                <w:sz w:val="24"/>
                <w:szCs w:val="22"/>
                <w:lang w:val="en-US" w:eastAsia="zh-CN" w:bidi="ar"/>
              </w:rPr>
              <w:t>7.36</w:t>
            </w:r>
            <w:r>
              <w:rPr>
                <w:rFonts w:hint="eastAsia" w:ascii="Times New Roman" w:hAnsi="Times New Roman" w:eastAsia="宋体" w:cs="Times New Roman"/>
                <w:i w:val="0"/>
                <w:color w:val="auto"/>
                <w:kern w:val="0"/>
                <w:sz w:val="24"/>
                <w:szCs w:val="22"/>
                <w:lang w:val="en-US" w:eastAsia="zh-CN" w:bidi="ar"/>
              </w:rPr>
              <w:t>t/a，产生的速率约为</w:t>
            </w:r>
            <w:r>
              <w:rPr>
                <w:rFonts w:hint="eastAsia" w:cs="Times New Roman"/>
                <w:i w:val="0"/>
                <w:color w:val="auto"/>
                <w:kern w:val="0"/>
                <w:sz w:val="24"/>
                <w:szCs w:val="22"/>
                <w:lang w:val="en-US" w:eastAsia="zh-CN" w:bidi="ar"/>
              </w:rPr>
              <w:t>5.111</w:t>
            </w:r>
            <w:r>
              <w:rPr>
                <w:rFonts w:hint="eastAsia" w:ascii="Times New Roman" w:hAnsi="Times New Roman" w:eastAsia="宋体" w:cs="Times New Roman"/>
                <w:i w:val="0"/>
                <w:color w:val="auto"/>
                <w:kern w:val="0"/>
                <w:sz w:val="24"/>
                <w:szCs w:val="22"/>
                <w:lang w:val="en-US" w:eastAsia="zh-CN" w:bidi="ar"/>
              </w:rPr>
              <w:t>kg/h（年工作180天，每天工作8h）。</w:t>
            </w:r>
          </w:p>
          <w:p w14:paraId="35A62F38">
            <w:pPr>
              <w:pStyle w:val="5"/>
              <w:keepNext w:val="0"/>
              <w:keepLines w:val="0"/>
              <w:pageBreakBefore w:val="0"/>
              <w:widowControl w:val="0"/>
              <w:kinsoku/>
              <w:wordWrap/>
              <w:overflowPunct/>
              <w:topLinePunct w:val="0"/>
              <w:autoSpaceDE/>
              <w:autoSpaceDN/>
              <w:bidi w:val="0"/>
              <w:adjustRightInd w:val="0"/>
              <w:snapToGrid/>
              <w:spacing w:after="0" w:afterLines="0" w:line="360" w:lineRule="auto"/>
              <w:ind w:left="0" w:right="0" w:firstLine="482" w:firstLineChars="200"/>
              <w:jc w:val="left"/>
              <w:textAlignment w:val="auto"/>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b/>
                <w:bCs/>
                <w:color w:val="auto"/>
                <w:kern w:val="0"/>
                <w:sz w:val="24"/>
                <w:szCs w:val="22"/>
                <w:lang w:val="en-US" w:eastAsia="zh-CN" w:bidi="ar-SA"/>
              </w:rPr>
              <w:t>综上所述</w:t>
            </w:r>
            <w:r>
              <w:rPr>
                <w:rFonts w:hint="eastAsia" w:ascii="Times New Roman" w:hAnsi="Times New Roman" w:eastAsia="宋体" w:cs="Times New Roman"/>
                <w:color w:val="auto"/>
                <w:kern w:val="0"/>
                <w:sz w:val="24"/>
                <w:szCs w:val="22"/>
                <w:highlight w:val="none"/>
                <w:lang w:val="en-US" w:eastAsia="zh-CN" w:bidi="ar-SA"/>
              </w:rPr>
              <w:t>，项目</w:t>
            </w:r>
            <w:r>
              <w:rPr>
                <w:rFonts w:hint="eastAsia" w:cs="Times New Roman"/>
                <w:color w:val="auto"/>
                <w:kern w:val="0"/>
                <w:sz w:val="24"/>
                <w:szCs w:val="22"/>
                <w:highlight w:val="none"/>
                <w:lang w:val="en-US" w:eastAsia="zh-CN" w:bidi="ar-SA"/>
              </w:rPr>
              <w:t>上料</w:t>
            </w:r>
            <w:r>
              <w:rPr>
                <w:rFonts w:hint="eastAsia" w:ascii="Times New Roman" w:hAnsi="Times New Roman" w:eastAsia="宋体" w:cs="Times New Roman"/>
                <w:color w:val="auto"/>
                <w:kern w:val="0"/>
                <w:sz w:val="24"/>
                <w:szCs w:val="22"/>
                <w:highlight w:val="none"/>
                <w:lang w:val="en-US" w:eastAsia="zh-CN" w:bidi="ar-SA"/>
              </w:rPr>
              <w:t>扬尘、烘干滚筒燃烧废气、烘干滚筒石料滚动扬尘、筛分扬尘产生废气情况：颗粒物产生量为</w:t>
            </w:r>
            <w:r>
              <w:rPr>
                <w:rFonts w:hint="eastAsia" w:cs="Times New Roman"/>
                <w:color w:val="auto"/>
                <w:kern w:val="0"/>
                <w:sz w:val="24"/>
                <w:szCs w:val="22"/>
                <w:highlight w:val="none"/>
                <w:lang w:val="en-US" w:eastAsia="zh-CN" w:bidi="ar-SA"/>
              </w:rPr>
              <w:t>15.849</w:t>
            </w:r>
            <w:r>
              <w:rPr>
                <w:rFonts w:hint="eastAsia" w:ascii="Times New Roman" w:hAnsi="Times New Roman" w:eastAsia="宋体" w:cs="Times New Roman"/>
                <w:color w:val="auto"/>
                <w:kern w:val="0"/>
                <w:sz w:val="24"/>
                <w:szCs w:val="22"/>
                <w:highlight w:val="none"/>
                <w:lang w:val="en-US" w:eastAsia="zh-CN" w:bidi="ar-SA"/>
              </w:rPr>
              <w:t>t/a（排放速率</w:t>
            </w:r>
            <w:r>
              <w:rPr>
                <w:rFonts w:hint="eastAsia" w:cs="Times New Roman"/>
                <w:color w:val="auto"/>
                <w:kern w:val="0"/>
                <w:sz w:val="24"/>
                <w:szCs w:val="22"/>
                <w:highlight w:val="none"/>
                <w:lang w:val="en-US" w:eastAsia="zh-CN" w:bidi="ar-SA"/>
              </w:rPr>
              <w:t>11.006</w:t>
            </w:r>
            <w:r>
              <w:rPr>
                <w:rFonts w:hint="eastAsia" w:ascii="Times New Roman" w:hAnsi="Times New Roman" w:eastAsia="宋体" w:cs="Times New Roman"/>
                <w:color w:val="auto"/>
                <w:kern w:val="0"/>
                <w:sz w:val="24"/>
                <w:szCs w:val="22"/>
                <w:highlight w:val="none"/>
                <w:lang w:val="en-US" w:eastAsia="zh-CN" w:bidi="ar-SA"/>
              </w:rPr>
              <w:t>kg/h，排放浓度</w:t>
            </w:r>
            <w:r>
              <w:rPr>
                <w:rFonts w:hint="eastAsia" w:cs="Times New Roman"/>
                <w:color w:val="auto"/>
                <w:kern w:val="0"/>
                <w:sz w:val="24"/>
                <w:szCs w:val="22"/>
                <w:highlight w:val="none"/>
                <w:lang w:val="en-US" w:eastAsia="zh-CN" w:bidi="ar-SA"/>
              </w:rPr>
              <w:t>156.982</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），二氧化硫产生量为0.</w:t>
            </w:r>
            <w:r>
              <w:rPr>
                <w:rFonts w:hint="eastAsia" w:cs="Times New Roman"/>
                <w:color w:val="auto"/>
                <w:kern w:val="0"/>
                <w:sz w:val="24"/>
                <w:szCs w:val="22"/>
                <w:highlight w:val="none"/>
                <w:lang w:val="en-US" w:eastAsia="zh-CN" w:bidi="ar-SA"/>
              </w:rPr>
              <w:t>2</w:t>
            </w:r>
            <w:r>
              <w:rPr>
                <w:rFonts w:hint="eastAsia" w:ascii="Times New Roman" w:hAnsi="Times New Roman" w:eastAsia="宋体" w:cs="Times New Roman"/>
                <w:color w:val="auto"/>
                <w:kern w:val="0"/>
                <w:sz w:val="24"/>
                <w:szCs w:val="22"/>
                <w:highlight w:val="none"/>
                <w:lang w:val="en-US" w:eastAsia="zh-CN" w:bidi="ar-SA"/>
              </w:rPr>
              <w:t>/a（排放速率</w:t>
            </w:r>
            <w:r>
              <w:rPr>
                <w:rFonts w:hint="eastAsia" w:cs="Times New Roman"/>
                <w:color w:val="auto"/>
                <w:kern w:val="0"/>
                <w:sz w:val="24"/>
                <w:szCs w:val="22"/>
                <w:highlight w:val="none"/>
                <w:lang w:val="en-US" w:eastAsia="zh-CN" w:bidi="ar-SA"/>
              </w:rPr>
              <w:t>0.139</w:t>
            </w:r>
            <w:r>
              <w:rPr>
                <w:rFonts w:hint="eastAsia" w:ascii="Times New Roman" w:hAnsi="Times New Roman" w:eastAsia="宋体" w:cs="Times New Roman"/>
                <w:color w:val="auto"/>
                <w:kern w:val="0"/>
                <w:sz w:val="24"/>
                <w:szCs w:val="22"/>
                <w:highlight w:val="none"/>
                <w:lang w:val="en-US" w:eastAsia="zh-CN" w:bidi="ar-SA"/>
              </w:rPr>
              <w:t>kg/h，排放浓度</w:t>
            </w:r>
            <w:r>
              <w:rPr>
                <w:rFonts w:hint="eastAsia" w:cs="Times New Roman"/>
                <w:color w:val="auto"/>
                <w:kern w:val="0"/>
                <w:sz w:val="24"/>
                <w:szCs w:val="22"/>
                <w:highlight w:val="none"/>
                <w:lang w:val="en-US" w:eastAsia="zh-CN" w:bidi="ar-SA"/>
              </w:rPr>
              <w:t>1.982</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），氮氧化物产生量为</w:t>
            </w:r>
            <w:r>
              <w:rPr>
                <w:rFonts w:hint="eastAsia" w:cs="Times New Roman"/>
                <w:color w:val="auto"/>
                <w:kern w:val="0"/>
                <w:sz w:val="24"/>
                <w:szCs w:val="22"/>
                <w:highlight w:val="none"/>
                <w:lang w:val="en-US" w:eastAsia="zh-CN" w:bidi="ar-SA"/>
              </w:rPr>
              <w:t>0.184</w:t>
            </w:r>
            <w:r>
              <w:rPr>
                <w:rFonts w:hint="eastAsia" w:ascii="Times New Roman" w:hAnsi="Times New Roman" w:eastAsia="宋体" w:cs="Times New Roman"/>
                <w:color w:val="auto"/>
                <w:kern w:val="0"/>
                <w:sz w:val="24"/>
                <w:szCs w:val="22"/>
                <w:highlight w:val="none"/>
                <w:lang w:val="en-US" w:eastAsia="zh-CN" w:bidi="ar-SA"/>
              </w:rPr>
              <w:t>t/a（排放速率</w:t>
            </w:r>
            <w:r>
              <w:rPr>
                <w:rFonts w:hint="eastAsia" w:cs="Times New Roman"/>
                <w:color w:val="auto"/>
                <w:kern w:val="0"/>
                <w:sz w:val="24"/>
                <w:szCs w:val="22"/>
                <w:highlight w:val="none"/>
                <w:lang w:val="en-US" w:eastAsia="zh-CN" w:bidi="ar-SA"/>
              </w:rPr>
              <w:t>0.128</w:t>
            </w:r>
            <w:r>
              <w:rPr>
                <w:rFonts w:hint="eastAsia" w:ascii="Times New Roman" w:hAnsi="Times New Roman" w:eastAsia="宋体" w:cs="Times New Roman"/>
                <w:color w:val="auto"/>
                <w:kern w:val="0"/>
                <w:sz w:val="24"/>
                <w:szCs w:val="22"/>
                <w:highlight w:val="none"/>
                <w:lang w:val="en-US" w:eastAsia="zh-CN" w:bidi="ar-SA"/>
              </w:rPr>
              <w:t>kg/h，排放浓度</w:t>
            </w:r>
            <w:r>
              <w:rPr>
                <w:rFonts w:hint="eastAsia" w:cs="Times New Roman"/>
                <w:color w:val="auto"/>
                <w:kern w:val="0"/>
                <w:sz w:val="24"/>
                <w:szCs w:val="22"/>
                <w:highlight w:val="none"/>
                <w:lang w:val="en-US" w:eastAsia="zh-CN" w:bidi="ar-SA"/>
              </w:rPr>
              <w:t>1.826</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w:t>
            </w:r>
            <w:r>
              <w:rPr>
                <w:rFonts w:hint="eastAsia" w:cs="Times New Roman"/>
                <w:color w:val="auto"/>
                <w:kern w:val="0"/>
                <w:sz w:val="24"/>
                <w:szCs w:val="22"/>
                <w:highlight w:val="none"/>
                <w:lang w:val="en-US" w:eastAsia="zh-CN" w:bidi="ar-SA"/>
              </w:rPr>
              <w:t>收集后由引风机（风量70110</w:t>
            </w:r>
            <w:r>
              <w:rPr>
                <w:rFonts w:hint="eastAsia" w:ascii="Times New Roman" w:hAnsi="Times New Roman" w:eastAsia="宋体" w:cs="Times New Roman"/>
                <w:color w:val="auto"/>
                <w:kern w:val="0"/>
                <w:sz w:val="24"/>
                <w:szCs w:val="22"/>
                <w:highlight w:val="none"/>
                <w:lang w:val="en-US" w:eastAsia="zh-CN" w:bidi="ar-SA"/>
              </w:rPr>
              <w:t>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/h）</w:t>
            </w:r>
            <w:r>
              <w:rPr>
                <w:rFonts w:hint="eastAsia" w:cs="Times New Roman"/>
                <w:color w:val="auto"/>
                <w:kern w:val="0"/>
                <w:sz w:val="24"/>
                <w:szCs w:val="22"/>
                <w:highlight w:val="none"/>
                <w:lang w:val="en-US" w:eastAsia="zh-CN" w:bidi="ar-SA"/>
              </w:rPr>
              <w:t>引至“旋风除尘器+布袋除尘器”处理，</w:t>
            </w:r>
            <w:r>
              <w:rPr>
                <w:rFonts w:hint="eastAsia" w:ascii="Times New Roman" w:hAnsi="Times New Roman" w:eastAsia="宋体" w:cs="Times New Roman"/>
                <w:color w:val="auto"/>
                <w:kern w:val="0"/>
                <w:sz w:val="24"/>
                <w:szCs w:val="22"/>
                <w:highlight w:val="none"/>
                <w:lang w:val="en-US" w:eastAsia="zh-CN" w:bidi="ar-SA"/>
              </w:rPr>
              <w:t>颗粒物</w:t>
            </w:r>
            <w:r>
              <w:rPr>
                <w:rFonts w:hint="eastAsia" w:cs="Times New Roman"/>
                <w:color w:val="auto"/>
                <w:kern w:val="0"/>
                <w:sz w:val="24"/>
                <w:szCs w:val="22"/>
                <w:highlight w:val="none"/>
                <w:lang w:val="en-US" w:eastAsia="zh-CN" w:bidi="ar-SA"/>
              </w:rPr>
              <w:t>处理效率99％，</w:t>
            </w:r>
            <w:r>
              <w:rPr>
                <w:rFonts w:hint="eastAsia" w:ascii="Times New Roman" w:hAnsi="Times New Roman" w:eastAsia="宋体" w:cs="Times New Roman"/>
                <w:color w:val="auto"/>
                <w:kern w:val="0"/>
                <w:sz w:val="24"/>
                <w:szCs w:val="22"/>
                <w:highlight w:val="none"/>
                <w:lang w:val="en-US" w:eastAsia="zh-CN" w:bidi="ar-SA"/>
              </w:rPr>
              <w:t>二氧化硫和氮氧化物</w:t>
            </w:r>
            <w:r>
              <w:rPr>
                <w:rFonts w:hint="eastAsia" w:cs="Times New Roman"/>
                <w:color w:val="auto"/>
                <w:kern w:val="0"/>
                <w:sz w:val="24"/>
                <w:szCs w:val="22"/>
                <w:highlight w:val="none"/>
                <w:lang w:val="en-US" w:eastAsia="zh-CN" w:bidi="ar-SA"/>
              </w:rPr>
              <w:t>处理效率0％，</w:t>
            </w:r>
            <w:r>
              <w:rPr>
                <w:rFonts w:hint="eastAsia" w:ascii="Times New Roman" w:hAnsi="Times New Roman" w:eastAsia="宋体" w:cs="Times New Roman"/>
                <w:color w:val="auto"/>
                <w:kern w:val="0"/>
                <w:sz w:val="24"/>
                <w:szCs w:val="22"/>
                <w:highlight w:val="none"/>
                <w:lang w:val="en-US" w:eastAsia="zh-CN" w:bidi="ar-SA"/>
              </w:rPr>
              <w:t>排气筒DA001排放废气情况：颗粒物排放量为</w:t>
            </w:r>
            <w:r>
              <w:rPr>
                <w:rFonts w:hint="eastAsia" w:cs="Times New Roman"/>
                <w:color w:val="auto"/>
                <w:kern w:val="0"/>
                <w:sz w:val="24"/>
                <w:szCs w:val="22"/>
                <w:highlight w:val="none"/>
                <w:lang w:val="en-US" w:eastAsia="zh-CN" w:bidi="ar-SA"/>
              </w:rPr>
              <w:t>0.158</w:t>
            </w:r>
            <w:r>
              <w:rPr>
                <w:rFonts w:hint="eastAsia" w:ascii="Times New Roman" w:hAnsi="Times New Roman" w:eastAsia="宋体" w:cs="Times New Roman"/>
                <w:color w:val="auto"/>
                <w:kern w:val="0"/>
                <w:sz w:val="24"/>
                <w:szCs w:val="22"/>
                <w:highlight w:val="none"/>
                <w:lang w:val="en-US" w:eastAsia="zh-CN" w:bidi="ar-SA"/>
              </w:rPr>
              <w:t>t/a（排放速率0.</w:t>
            </w:r>
            <w:r>
              <w:rPr>
                <w:rFonts w:hint="eastAsia" w:cs="Times New Roman"/>
                <w:color w:val="auto"/>
                <w:kern w:val="0"/>
                <w:sz w:val="24"/>
                <w:szCs w:val="22"/>
                <w:highlight w:val="none"/>
                <w:lang w:val="en-US" w:eastAsia="zh-CN" w:bidi="ar-SA"/>
              </w:rPr>
              <w:t>110</w:t>
            </w:r>
            <w:r>
              <w:rPr>
                <w:rFonts w:hint="eastAsia" w:ascii="Times New Roman" w:hAnsi="Times New Roman" w:eastAsia="宋体" w:cs="Times New Roman"/>
                <w:color w:val="auto"/>
                <w:kern w:val="0"/>
                <w:sz w:val="24"/>
                <w:szCs w:val="22"/>
                <w:highlight w:val="none"/>
                <w:lang w:val="en-US" w:eastAsia="zh-CN" w:bidi="ar-SA"/>
              </w:rPr>
              <w:t>kg/h，排放浓度</w:t>
            </w:r>
            <w:r>
              <w:rPr>
                <w:rFonts w:hint="eastAsia" w:cs="Times New Roman"/>
                <w:color w:val="auto"/>
                <w:kern w:val="0"/>
                <w:sz w:val="24"/>
                <w:szCs w:val="22"/>
                <w:highlight w:val="none"/>
                <w:lang w:val="en-US" w:eastAsia="zh-CN" w:bidi="ar-SA"/>
              </w:rPr>
              <w:t>1.569</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），二氧化硫产生量为0.</w:t>
            </w:r>
            <w:r>
              <w:rPr>
                <w:rFonts w:hint="eastAsia" w:cs="Times New Roman"/>
                <w:color w:val="auto"/>
                <w:kern w:val="0"/>
                <w:sz w:val="24"/>
                <w:szCs w:val="22"/>
                <w:highlight w:val="none"/>
                <w:lang w:val="en-US" w:eastAsia="zh-CN" w:bidi="ar-SA"/>
              </w:rPr>
              <w:t>2t</w:t>
            </w:r>
            <w:r>
              <w:rPr>
                <w:rFonts w:hint="eastAsia" w:ascii="Times New Roman" w:hAnsi="Times New Roman" w:eastAsia="宋体" w:cs="Times New Roman"/>
                <w:color w:val="auto"/>
                <w:kern w:val="0"/>
                <w:sz w:val="24"/>
                <w:szCs w:val="22"/>
                <w:highlight w:val="none"/>
                <w:lang w:val="en-US" w:eastAsia="zh-CN" w:bidi="ar-SA"/>
              </w:rPr>
              <w:t>/a（排放速率</w:t>
            </w:r>
            <w:r>
              <w:rPr>
                <w:rFonts w:hint="eastAsia" w:cs="Times New Roman"/>
                <w:color w:val="auto"/>
                <w:kern w:val="0"/>
                <w:sz w:val="24"/>
                <w:szCs w:val="22"/>
                <w:highlight w:val="none"/>
                <w:lang w:val="en-US" w:eastAsia="zh-CN" w:bidi="ar-SA"/>
              </w:rPr>
              <w:t>0.139</w:t>
            </w:r>
            <w:r>
              <w:rPr>
                <w:rFonts w:hint="eastAsia" w:ascii="Times New Roman" w:hAnsi="Times New Roman" w:eastAsia="宋体" w:cs="Times New Roman"/>
                <w:color w:val="auto"/>
                <w:kern w:val="0"/>
                <w:sz w:val="24"/>
                <w:szCs w:val="22"/>
                <w:highlight w:val="none"/>
                <w:lang w:val="en-US" w:eastAsia="zh-CN" w:bidi="ar-SA"/>
              </w:rPr>
              <w:t>kg/h，排放浓度</w:t>
            </w:r>
            <w:r>
              <w:rPr>
                <w:rFonts w:hint="eastAsia" w:cs="Times New Roman"/>
                <w:color w:val="auto"/>
                <w:kern w:val="0"/>
                <w:sz w:val="24"/>
                <w:szCs w:val="22"/>
                <w:highlight w:val="none"/>
                <w:lang w:val="en-US" w:eastAsia="zh-CN" w:bidi="ar-SA"/>
              </w:rPr>
              <w:t>1.982</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），氮氧化物产生量为</w:t>
            </w:r>
            <w:r>
              <w:rPr>
                <w:rFonts w:hint="eastAsia" w:cs="Times New Roman"/>
                <w:color w:val="auto"/>
                <w:kern w:val="0"/>
                <w:sz w:val="24"/>
                <w:szCs w:val="22"/>
                <w:highlight w:val="none"/>
                <w:lang w:val="en-US" w:eastAsia="zh-CN" w:bidi="ar-SA"/>
              </w:rPr>
              <w:t>0.184</w:t>
            </w:r>
            <w:r>
              <w:rPr>
                <w:rFonts w:hint="eastAsia" w:ascii="Times New Roman" w:hAnsi="Times New Roman" w:eastAsia="宋体" w:cs="Times New Roman"/>
                <w:color w:val="auto"/>
                <w:kern w:val="0"/>
                <w:sz w:val="24"/>
                <w:szCs w:val="22"/>
                <w:highlight w:val="none"/>
                <w:lang w:val="en-US" w:eastAsia="zh-CN" w:bidi="ar-SA"/>
              </w:rPr>
              <w:t>t/a（排放速率</w:t>
            </w:r>
            <w:r>
              <w:rPr>
                <w:rFonts w:hint="eastAsia" w:cs="Times New Roman"/>
                <w:color w:val="auto"/>
                <w:kern w:val="0"/>
                <w:sz w:val="24"/>
                <w:szCs w:val="22"/>
                <w:highlight w:val="none"/>
                <w:lang w:val="en-US" w:eastAsia="zh-CN" w:bidi="ar-SA"/>
              </w:rPr>
              <w:t>0.128</w:t>
            </w:r>
            <w:r>
              <w:rPr>
                <w:rFonts w:hint="eastAsia" w:ascii="Times New Roman" w:hAnsi="Times New Roman" w:eastAsia="宋体" w:cs="Times New Roman"/>
                <w:color w:val="auto"/>
                <w:kern w:val="0"/>
                <w:sz w:val="24"/>
                <w:szCs w:val="22"/>
                <w:highlight w:val="none"/>
                <w:lang w:val="en-US" w:eastAsia="zh-CN" w:bidi="ar-SA"/>
              </w:rPr>
              <w:t>kg/h，排放浓度</w:t>
            </w:r>
            <w:r>
              <w:rPr>
                <w:rFonts w:hint="eastAsia" w:cs="Times New Roman"/>
                <w:color w:val="auto"/>
                <w:kern w:val="0"/>
                <w:sz w:val="24"/>
                <w:szCs w:val="22"/>
                <w:highlight w:val="none"/>
                <w:lang w:val="en-US" w:eastAsia="zh-CN" w:bidi="ar-SA"/>
              </w:rPr>
              <w:t>1.826</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ascii="Times New Roman" w:hAnsi="Times New Roman" w:eastAsia="宋体" w:cs="Times New Roman"/>
                <w:color w:val="auto"/>
                <w:kern w:val="0"/>
                <w:sz w:val="24"/>
                <w:szCs w:val="22"/>
                <w:highlight w:val="none"/>
                <w:lang w:val="en-US" w:eastAsia="zh-CN" w:bidi="ar-SA"/>
              </w:rPr>
              <w:t>）。</w:t>
            </w:r>
          </w:p>
          <w:p w14:paraId="03DD1054">
            <w:pPr>
              <w:pStyle w:val="5"/>
              <w:keepNext w:val="0"/>
              <w:keepLines w:val="0"/>
              <w:pageBreakBefore w:val="0"/>
              <w:widowControl w:val="0"/>
              <w:kinsoku/>
              <w:wordWrap/>
              <w:overflowPunct/>
              <w:topLinePunct w:val="0"/>
              <w:autoSpaceDE/>
              <w:autoSpaceDN/>
              <w:bidi w:val="0"/>
              <w:adjustRightInd w:val="0"/>
              <w:snapToGrid/>
              <w:spacing w:after="0" w:afterLines="0" w:line="360" w:lineRule="auto"/>
              <w:ind w:left="0" w:right="0" w:firstLine="482" w:firstLineChars="200"/>
              <w:jc w:val="left"/>
              <w:textAlignment w:val="auto"/>
              <w:rPr>
                <w:rFonts w:hint="default" w:ascii="Times New Roman" w:hAnsi="Times New Roman" w:eastAsia="宋体" w:cs="Times New Roman"/>
                <w:b/>
                <w:bCs/>
                <w:i w:val="0"/>
                <w:color w:val="auto"/>
                <w:kern w:val="0"/>
                <w:sz w:val="24"/>
                <w:szCs w:val="22"/>
                <w:lang w:val="en-US" w:eastAsia="zh-CN" w:bidi="ar"/>
              </w:rPr>
            </w:pPr>
            <w:r>
              <w:rPr>
                <w:rFonts w:hint="eastAsia" w:ascii="Times New Roman" w:hAnsi="Times New Roman" w:eastAsia="宋体" w:cs="Times New Roman"/>
                <w:b/>
                <w:bCs/>
                <w:i w:val="0"/>
                <w:color w:val="auto"/>
                <w:kern w:val="0"/>
                <w:sz w:val="24"/>
                <w:szCs w:val="22"/>
                <w:lang w:val="en-US" w:eastAsia="zh-CN" w:bidi="ar"/>
              </w:rPr>
              <w:t>（2）有机热载体炉</w:t>
            </w:r>
            <w:r>
              <w:rPr>
                <w:rFonts w:hint="eastAsia" w:cs="Times New Roman"/>
                <w:b/>
                <w:bCs/>
                <w:i w:val="0"/>
                <w:color w:val="auto"/>
                <w:kern w:val="0"/>
                <w:sz w:val="24"/>
                <w:szCs w:val="22"/>
                <w:lang w:val="en-US" w:eastAsia="zh-CN" w:bidi="ar"/>
              </w:rPr>
              <w:t>废气</w:t>
            </w:r>
            <w:r>
              <w:rPr>
                <w:rFonts w:hint="eastAsia" w:ascii="Times New Roman" w:hAnsi="Times New Roman" w:eastAsia="宋体" w:cs="Times New Roman"/>
                <w:b/>
                <w:bCs/>
                <w:i w:val="0"/>
                <w:color w:val="auto"/>
                <w:kern w:val="0"/>
                <w:sz w:val="24"/>
                <w:szCs w:val="22"/>
                <w:lang w:val="en-US" w:eastAsia="zh-CN" w:bidi="ar"/>
              </w:rPr>
              <w:t>（DA002）</w:t>
            </w:r>
          </w:p>
          <w:p w14:paraId="5B3375CF">
            <w:pPr>
              <w:ind w:firstLine="480"/>
              <w:rPr>
                <w:rFonts w:hint="default" w:ascii="Times New Roman" w:hAnsi="Times New Roman" w:eastAsia="宋体" w:cs="Times New Roman"/>
                <w:i w:val="0"/>
                <w:color w:val="auto"/>
                <w:kern w:val="0"/>
                <w:sz w:val="24"/>
                <w:szCs w:val="22"/>
                <w:lang w:val="en-US" w:eastAsia="zh-CN" w:bidi="ar"/>
              </w:rPr>
            </w:pPr>
            <w:r>
              <w:rPr>
                <w:rFonts w:hint="eastAsia" w:ascii="Times New Roman" w:hAnsi="Times New Roman" w:eastAsia="宋体" w:cs="Times New Roman"/>
                <w:color w:val="auto"/>
                <w:kern w:val="0"/>
                <w:sz w:val="24"/>
                <w:szCs w:val="22"/>
                <w:lang w:val="en-US" w:eastAsia="zh-CN" w:bidi="ar-SA"/>
              </w:rPr>
              <w:t>项目设置1台700kW的有机热载体炉，根据建设单位提供的</w:t>
            </w:r>
            <w:r>
              <w:rPr>
                <w:rFonts w:hint="eastAsia" w:cs="Times New Roman"/>
                <w:color w:val="auto"/>
                <w:kern w:val="0"/>
                <w:sz w:val="24"/>
                <w:szCs w:val="22"/>
                <w:lang w:val="en-US" w:eastAsia="zh-CN" w:bidi="ar-SA"/>
              </w:rPr>
              <w:t>资料，有机热载体炉燃料</w:t>
            </w:r>
            <w:r>
              <w:rPr>
                <w:rFonts w:hint="eastAsia" w:cs="Times New Roman"/>
                <w:i w:val="0"/>
                <w:iCs/>
                <w:color w:val="auto"/>
                <w:sz w:val="24"/>
                <w:lang w:val="en-US" w:eastAsia="zh-CN"/>
              </w:rPr>
              <w:t>柴</w:t>
            </w:r>
            <w:r>
              <w:rPr>
                <w:rFonts w:hint="eastAsia" w:cs="Times New Roman"/>
                <w:color w:val="auto"/>
                <w:kern w:val="0"/>
                <w:sz w:val="24"/>
                <w:szCs w:val="22"/>
                <w:lang w:val="en-US" w:eastAsia="zh-CN" w:bidi="ar-SA"/>
              </w:rPr>
              <w:t>油</w:t>
            </w:r>
            <w:r>
              <w:rPr>
                <w:rFonts w:hint="eastAsia" w:ascii="Times New Roman" w:hAnsi="Times New Roman" w:eastAsia="宋体" w:cs="Times New Roman"/>
                <w:color w:val="auto"/>
                <w:kern w:val="0"/>
                <w:sz w:val="24"/>
                <w:szCs w:val="22"/>
                <w:lang w:val="en-US" w:eastAsia="zh-CN" w:bidi="ar-SA"/>
              </w:rPr>
              <w:t>消耗量</w:t>
            </w:r>
            <w:r>
              <w:rPr>
                <w:rFonts w:hint="eastAsia" w:cs="Times New Roman"/>
                <w:color w:val="auto"/>
                <w:kern w:val="0"/>
                <w:sz w:val="24"/>
                <w:szCs w:val="22"/>
                <w:highlight w:val="none"/>
                <w:lang w:val="en-US" w:eastAsia="zh-CN" w:bidi="ar-SA"/>
              </w:rPr>
              <w:t>50t</w:t>
            </w:r>
            <w:r>
              <w:rPr>
                <w:rFonts w:hint="eastAsia" w:ascii="Times New Roman" w:hAnsi="Times New Roman" w:eastAsia="宋体" w:cs="Times New Roman"/>
                <w:color w:val="auto"/>
                <w:kern w:val="0"/>
                <w:sz w:val="24"/>
                <w:szCs w:val="22"/>
                <w:highlight w:val="none"/>
                <w:lang w:val="en-US" w:eastAsia="zh-CN" w:bidi="ar-SA"/>
              </w:rPr>
              <w:t>/a</w:t>
            </w:r>
            <w:r>
              <w:rPr>
                <w:rFonts w:hint="eastAsia" w:ascii="Times New Roman" w:hAnsi="Times New Roman" w:eastAsia="宋体" w:cs="Times New Roman"/>
                <w:color w:val="auto"/>
                <w:kern w:val="0"/>
                <w:sz w:val="24"/>
                <w:szCs w:val="22"/>
                <w:lang w:val="en-US" w:eastAsia="zh-CN" w:bidi="ar-SA"/>
              </w:rPr>
              <w:t>，年工作时间为180d，平均每天工作8h，</w:t>
            </w:r>
            <w:r>
              <w:rPr>
                <w:rFonts w:hint="eastAsia"/>
                <w:color w:val="auto"/>
                <w:lang w:val="en-US" w:eastAsia="zh-CN"/>
              </w:rPr>
              <w:t>燃油烟气</w:t>
            </w:r>
            <w:r>
              <w:rPr>
                <w:color w:val="auto"/>
              </w:rPr>
              <w:t>主要污染物为</w:t>
            </w:r>
            <w:r>
              <w:rPr>
                <w:rFonts w:hint="eastAsia"/>
                <w:color w:val="auto"/>
              </w:rPr>
              <w:t>颗粒物</w:t>
            </w:r>
            <w:r>
              <w:rPr>
                <w:color w:val="auto"/>
              </w:rPr>
              <w:t>、SO</w:t>
            </w:r>
            <w:r>
              <w:rPr>
                <w:color w:val="auto"/>
                <w:vertAlign w:val="subscript"/>
              </w:rPr>
              <w:t>2</w:t>
            </w:r>
            <w:r>
              <w:rPr>
                <w:color w:val="auto"/>
              </w:rPr>
              <w:t>和NO</w:t>
            </w:r>
            <w:r>
              <w:rPr>
                <w:color w:val="auto"/>
                <w:vertAlign w:val="subscript"/>
              </w:rPr>
              <w:t>X</w:t>
            </w:r>
            <w:r>
              <w:rPr>
                <w:color w:val="auto"/>
              </w:rPr>
              <w:t>。</w:t>
            </w:r>
            <w:r>
              <w:rPr>
                <w:rFonts w:hint="eastAsia" w:cs="Times New Roman"/>
                <w:bCs/>
                <w:color w:val="auto"/>
                <w:sz w:val="24"/>
                <w:szCs w:val="24"/>
                <w:highlight w:val="none"/>
                <w:lang w:val="en-US" w:eastAsia="zh-CN"/>
              </w:rPr>
              <w:t>参照</w:t>
            </w:r>
            <w:r>
              <w:rPr>
                <w:rFonts w:hint="eastAsia"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eastAsia="zh-CN"/>
              </w:rPr>
              <w:t>排放源统计调查产排污核算方法和系数手册（</w:t>
            </w:r>
            <w:r>
              <w:rPr>
                <w:rFonts w:hint="eastAsia" w:ascii="Times New Roman" w:hAnsi="Times New Roman" w:eastAsia="宋体" w:cs="Times New Roman"/>
                <w:bCs/>
                <w:color w:val="auto"/>
                <w:sz w:val="24"/>
                <w:szCs w:val="24"/>
                <w:highlight w:val="none"/>
                <w:lang w:val="en-US" w:eastAsia="zh-CN"/>
              </w:rPr>
              <w:t>2021</w:t>
            </w:r>
            <w:r>
              <w:rPr>
                <w:rFonts w:hint="eastAsia" w:ascii="Times New Roman" w:hAnsi="Times New Roman" w:eastAsia="宋体" w:cs="Times New Roman"/>
                <w:bCs/>
                <w:color w:val="auto"/>
                <w:sz w:val="24"/>
                <w:szCs w:val="24"/>
                <w:highlight w:val="none"/>
                <w:lang w:eastAsia="zh-CN"/>
              </w:rPr>
              <w:t>）</w:t>
            </w:r>
            <w:r>
              <w:rPr>
                <w:rFonts w:hint="eastAsia" w:ascii="Times New Roman" w:hAnsi="Times New Roman" w:eastAsia="宋体" w:cs="Times New Roman"/>
                <w:bCs/>
                <w:color w:val="auto"/>
                <w:sz w:val="24"/>
                <w:szCs w:val="24"/>
                <w:highlight w:val="none"/>
              </w:rPr>
              <w:t>》</w:t>
            </w:r>
            <w:r>
              <w:rPr>
                <w:rFonts w:hint="eastAsia" w:cs="Times New Roman"/>
                <w:bCs/>
                <w:color w:val="auto"/>
                <w:sz w:val="24"/>
                <w:szCs w:val="24"/>
                <w:highlight w:val="none"/>
                <w:lang w:eastAsia="zh-CN"/>
              </w:rPr>
              <w:t>、</w:t>
            </w:r>
            <w:r>
              <w:rPr>
                <w:rFonts w:hint="eastAsia"/>
                <w:color w:val="auto"/>
              </w:rPr>
              <w:t>《排污许可证申请与核发技术规范</w:t>
            </w:r>
            <w:r>
              <w:rPr>
                <w:color w:val="auto"/>
              </w:rPr>
              <w:t>—</w:t>
            </w:r>
            <w:r>
              <w:rPr>
                <w:rFonts w:hint="eastAsia"/>
                <w:color w:val="auto"/>
              </w:rPr>
              <w:t>锅炉》（</w:t>
            </w:r>
            <w:r>
              <w:rPr>
                <w:color w:val="auto"/>
              </w:rPr>
              <w:t>HJ953-2018</w:t>
            </w:r>
            <w:r>
              <w:rPr>
                <w:rFonts w:hint="eastAsia"/>
                <w:color w:val="auto"/>
              </w:rPr>
              <w:t>）</w:t>
            </w:r>
            <w:r>
              <w:rPr>
                <w:rFonts w:hint="eastAsia"/>
                <w:color w:val="auto"/>
                <w:lang w:eastAsia="zh-CN"/>
              </w:rPr>
              <w:t>，</w:t>
            </w:r>
          </w:p>
          <w:p w14:paraId="2AAF46B9">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left"/>
              <w:textAlignment w:val="auto"/>
              <w:rPr>
                <w:rFonts w:hint="eastAsia"/>
                <w:color w:val="auto"/>
                <w:lang w:val="en-US" w:eastAsia="zh-CN"/>
              </w:rPr>
            </w:pPr>
            <w:r>
              <w:rPr>
                <w:rFonts w:hint="eastAsia" w:cs="Times New Roman"/>
                <w:i w:val="0"/>
                <w:color w:val="auto"/>
                <w:kern w:val="0"/>
                <w:sz w:val="24"/>
                <w:szCs w:val="22"/>
                <w:lang w:val="en-US" w:eastAsia="zh-CN" w:bidi="ar"/>
              </w:rPr>
              <w:t>项目有机热载体炉燃</w:t>
            </w:r>
            <w:r>
              <w:rPr>
                <w:rFonts w:hint="eastAsia" w:ascii="Times New Roman" w:hAnsi="Times New Roman" w:eastAsia="宋体" w:cs="Times New Roman"/>
                <w:i w:val="0"/>
                <w:color w:val="auto"/>
                <w:kern w:val="0"/>
                <w:sz w:val="24"/>
                <w:szCs w:val="22"/>
                <w:lang w:val="en-US" w:eastAsia="zh-CN" w:bidi="ar"/>
              </w:rPr>
              <w:t>烧废</w:t>
            </w:r>
            <w:r>
              <w:rPr>
                <w:rFonts w:hint="eastAsia" w:cs="Times New Roman"/>
                <w:i w:val="0"/>
                <w:color w:val="auto"/>
                <w:kern w:val="0"/>
                <w:sz w:val="24"/>
                <w:szCs w:val="22"/>
                <w:lang w:val="en-US" w:eastAsia="zh-CN" w:bidi="ar"/>
              </w:rPr>
              <w:t>气参考HJ953-2018表F.2中SO</w:t>
            </w:r>
            <w:r>
              <w:rPr>
                <w:rFonts w:hint="eastAsia" w:cs="Times New Roman"/>
                <w:i w:val="0"/>
                <w:color w:val="auto"/>
                <w:kern w:val="0"/>
                <w:sz w:val="24"/>
                <w:szCs w:val="22"/>
                <w:vertAlign w:val="subscript"/>
                <w:lang w:val="en-US" w:eastAsia="zh-CN" w:bidi="ar"/>
              </w:rPr>
              <w:t>2</w:t>
            </w:r>
            <w:r>
              <w:rPr>
                <w:rFonts w:hint="eastAsia" w:cs="Times New Roman"/>
                <w:i w:val="0"/>
                <w:color w:val="auto"/>
                <w:kern w:val="0"/>
                <w:sz w:val="24"/>
                <w:szCs w:val="22"/>
                <w:vertAlign w:val="baseline"/>
                <w:lang w:val="en-US" w:eastAsia="zh-CN" w:bidi="ar"/>
              </w:rPr>
              <w:t>根据</w:t>
            </w:r>
            <w:r>
              <w:rPr>
                <w:rFonts w:hint="eastAsia" w:cs="Times New Roman"/>
                <w:i w:val="0"/>
                <w:color w:val="auto"/>
                <w:kern w:val="0"/>
                <w:sz w:val="24"/>
                <w:szCs w:val="22"/>
                <w:lang w:val="en-US" w:eastAsia="zh-CN" w:bidi="ar"/>
              </w:rPr>
              <w:t>物料衡算法核算，其他污染物根据普通柴油（轻油）工业锅炉的废气产污系数</w:t>
            </w:r>
            <w:r>
              <w:rPr>
                <w:rFonts w:hint="eastAsia" w:ascii="Times New Roman" w:hAnsi="Times New Roman" w:eastAsia="宋体" w:cs="Times New Roman"/>
                <w:i w:val="0"/>
                <w:color w:val="auto"/>
                <w:kern w:val="0"/>
                <w:sz w:val="24"/>
                <w:szCs w:val="22"/>
                <w:lang w:val="en-US" w:eastAsia="zh-CN" w:bidi="ar"/>
              </w:rPr>
              <w:t>进行核算，</w:t>
            </w:r>
            <w:r>
              <w:rPr>
                <w:rFonts w:hint="eastAsia" w:cs="Times New Roman"/>
                <w:i w:val="0"/>
                <w:color w:val="auto"/>
                <w:kern w:val="0"/>
                <w:sz w:val="24"/>
                <w:szCs w:val="22"/>
                <w:highlight w:val="none"/>
                <w:lang w:val="en-US" w:eastAsia="zh-CN" w:bidi="ar"/>
              </w:rPr>
              <w:t>类比同类型项目，</w:t>
            </w:r>
            <w:r>
              <w:rPr>
                <w:rFonts w:hint="eastAsia" w:cs="Times New Roman"/>
                <w:i w:val="0"/>
                <w:iCs/>
                <w:color w:val="auto"/>
                <w:sz w:val="24"/>
                <w:lang w:val="en-US" w:eastAsia="zh-CN"/>
              </w:rPr>
              <w:t>柴</w:t>
            </w:r>
            <w:r>
              <w:rPr>
                <w:rFonts w:hint="eastAsia" w:cs="Times New Roman"/>
                <w:i w:val="0"/>
                <w:color w:val="auto"/>
                <w:kern w:val="0"/>
                <w:sz w:val="24"/>
                <w:szCs w:val="22"/>
                <w:highlight w:val="none"/>
                <w:lang w:val="en-US" w:eastAsia="zh-CN" w:bidi="ar"/>
              </w:rPr>
              <w:t>油作为燃料，一般含硫量小于0.1％，</w:t>
            </w:r>
            <w:r>
              <w:rPr>
                <w:rFonts w:hint="eastAsia" w:ascii="Times New Roman" w:hAnsi="Times New Roman" w:eastAsia="宋体" w:cs="Times New Roman"/>
                <w:i w:val="0"/>
                <w:color w:val="auto"/>
                <w:kern w:val="0"/>
                <w:sz w:val="24"/>
                <w:szCs w:val="22"/>
                <w:lang w:val="en-US" w:eastAsia="zh-CN" w:bidi="ar"/>
              </w:rPr>
              <w:t>硫含量要求不大于100mg/kg，因此本次评价</w:t>
            </w:r>
            <w:r>
              <w:rPr>
                <w:rFonts w:hint="eastAsia" w:cs="Times New Roman"/>
                <w:i w:val="0"/>
                <w:iCs/>
                <w:color w:val="auto"/>
                <w:sz w:val="24"/>
                <w:lang w:val="en-US" w:eastAsia="zh-CN"/>
              </w:rPr>
              <w:t>柴</w:t>
            </w:r>
            <w:r>
              <w:rPr>
                <w:rFonts w:hint="eastAsia" w:ascii="Times New Roman" w:hAnsi="Times New Roman" w:eastAsia="宋体" w:cs="Times New Roman"/>
                <w:b w:val="0"/>
                <w:bCs w:val="0"/>
                <w:i w:val="0"/>
                <w:color w:val="auto"/>
                <w:kern w:val="0"/>
                <w:sz w:val="24"/>
                <w:szCs w:val="22"/>
                <w:lang w:val="en-US" w:eastAsia="zh-CN" w:bidi="ar"/>
              </w:rPr>
              <w:t>油中</w:t>
            </w:r>
            <w:r>
              <w:rPr>
                <w:rFonts w:hint="eastAsia" w:ascii="Times New Roman" w:hAnsi="Times New Roman" w:eastAsia="宋体" w:cs="Times New Roman"/>
                <w:i w:val="0"/>
                <w:color w:val="auto"/>
                <w:kern w:val="0"/>
                <w:sz w:val="24"/>
                <w:szCs w:val="22"/>
                <w:lang w:val="en-US" w:eastAsia="zh-CN" w:bidi="ar"/>
              </w:rPr>
              <w:t>硫含</w:t>
            </w:r>
            <w:r>
              <w:rPr>
                <w:rFonts w:hint="eastAsia" w:ascii="Times New Roman" w:hAnsi="Times New Roman" w:eastAsia="宋体" w:cs="Times New Roman"/>
                <w:b w:val="0"/>
                <w:bCs w:val="0"/>
                <w:i w:val="0"/>
                <w:color w:val="auto"/>
                <w:kern w:val="0"/>
                <w:sz w:val="24"/>
                <w:szCs w:val="22"/>
                <w:lang w:val="en-US" w:eastAsia="zh-CN" w:bidi="ar"/>
              </w:rPr>
              <w:t>量S取0.1。</w:t>
            </w:r>
            <w:r>
              <w:rPr>
                <w:rFonts w:hint="eastAsia" w:ascii="Times New Roman" w:hAnsi="Times New Roman" w:eastAsia="宋体" w:cs="Times New Roman"/>
                <w:i w:val="0"/>
                <w:color w:val="auto"/>
                <w:kern w:val="0"/>
                <w:sz w:val="24"/>
                <w:szCs w:val="22"/>
                <w:lang w:val="en-US" w:eastAsia="zh-CN" w:bidi="ar"/>
              </w:rPr>
              <w:t>核算过程如下：</w:t>
            </w:r>
          </w:p>
          <w:p w14:paraId="08E0D62A">
            <w:pPr>
              <w:ind w:firstLine="480"/>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a.SO</w:t>
            </w:r>
            <w:r>
              <w:rPr>
                <w:rFonts w:hint="eastAsia" w:ascii="Times New Roman" w:hAnsi="Times New Roman" w:eastAsia="宋体" w:cs="Times New Roman"/>
                <w:color w:val="auto"/>
                <w:kern w:val="0"/>
                <w:sz w:val="24"/>
                <w:szCs w:val="22"/>
                <w:vertAlign w:val="subscript"/>
                <w:lang w:val="en-US" w:eastAsia="zh-CN" w:bidi="ar-SA"/>
              </w:rPr>
              <w:t>2</w:t>
            </w:r>
            <w:r>
              <w:rPr>
                <w:rFonts w:hint="eastAsia" w:ascii="Times New Roman" w:hAnsi="Times New Roman" w:eastAsia="宋体" w:cs="Times New Roman"/>
                <w:color w:val="auto"/>
                <w:kern w:val="0"/>
                <w:sz w:val="24"/>
                <w:szCs w:val="22"/>
                <w:lang w:val="en-US" w:eastAsia="zh-CN" w:bidi="ar-SA"/>
              </w:rPr>
              <w:t>排放量核算公式：</w:t>
            </w:r>
          </w:p>
          <w:p w14:paraId="34047042">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0" w:firstLineChars="0"/>
              <w:jc w:val="center"/>
              <w:textAlignment w:val="auto"/>
              <w:rPr>
                <w:rFonts w:hint="eastAsia"/>
                <w:color w:val="auto"/>
                <w:lang w:val="en-US" w:eastAsia="zh-CN"/>
              </w:rPr>
            </w:pPr>
            <w:r>
              <w:rPr>
                <w:rFonts w:hint="eastAsia"/>
                <w:color w:val="auto"/>
                <w:position w:val="-24"/>
                <w:lang w:val="en-US" w:eastAsia="zh-CN"/>
              </w:rPr>
              <w:object>
                <v:shape id="_x0000_i1031" o:spt="75" type="#_x0000_t75" style="height:39.45pt;width:189.6pt;" o:ole="t" filled="f" o:preferrelative="t" stroked="f" coordsize="21600,21600">
                  <v:path/>
                  <v:fill on="f" focussize="0,0"/>
                  <v:stroke on="f"/>
                  <v:imagedata r:id="rId27" o:title=""/>
                  <o:lock v:ext="edit" aspectratio="t"/>
                  <w10:wrap type="none"/>
                  <w10:anchorlock/>
                </v:shape>
                <o:OLEObject Type="Embed" ProgID="Equation.KSEE3" ShapeID="_x0000_i1031" DrawAspect="Content" ObjectID="_1468075731" r:id="rId28">
                  <o:LockedField>false</o:LockedField>
                </o:OLEObject>
              </w:object>
            </w:r>
          </w:p>
          <w:p w14:paraId="72AD047A">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20" w:firstLineChars="200"/>
              <w:jc w:val="left"/>
              <w:textAlignment w:val="auto"/>
              <w:rPr>
                <w:rFonts w:hint="eastAsia" w:ascii="Times New Roman" w:hAnsi="Times New Roman" w:eastAsia="宋体" w:cs="Times New Roman"/>
                <w:i w:val="0"/>
                <w:iCs/>
                <w:color w:val="auto"/>
                <w:kern w:val="2"/>
                <w:sz w:val="24"/>
                <w:szCs w:val="22"/>
                <w:lang w:val="en-US" w:eastAsia="zh-CN" w:bidi="ar-SA"/>
              </w:rPr>
            </w:pPr>
            <w:r>
              <w:rPr>
                <w:rFonts w:hint="eastAsia"/>
                <w:i w:val="0"/>
                <w:iCs/>
                <w:color w:val="auto"/>
                <w:lang w:val="en-US" w:eastAsia="zh-CN"/>
              </w:rPr>
              <w:t>式中</w:t>
            </w:r>
            <w:r>
              <w:rPr>
                <w:rFonts w:hint="eastAsia" w:ascii="Times New Roman" w:hAnsi="Times New Roman" w:eastAsia="宋体" w:cs="Times New Roman"/>
                <w:i w:val="0"/>
                <w:iCs/>
                <w:color w:val="auto"/>
                <w:kern w:val="2"/>
                <w:sz w:val="24"/>
                <w:szCs w:val="22"/>
                <w:lang w:val="en-US" w:eastAsia="zh-CN" w:bidi="ar-SA"/>
              </w:rPr>
              <w:t>：E</w:t>
            </w:r>
            <w:r>
              <w:rPr>
                <w:rFonts w:hint="eastAsia" w:ascii="Times New Roman" w:hAnsi="Times New Roman" w:eastAsia="宋体" w:cs="Times New Roman"/>
                <w:i w:val="0"/>
                <w:iCs/>
                <w:color w:val="auto"/>
                <w:kern w:val="2"/>
                <w:sz w:val="24"/>
                <w:szCs w:val="22"/>
                <w:vertAlign w:val="subscript"/>
                <w:lang w:val="en-US" w:eastAsia="zh-CN" w:bidi="ar-SA"/>
              </w:rPr>
              <w:t>SO2</w:t>
            </w:r>
            <w:r>
              <w:rPr>
                <w:rFonts w:hint="eastAsia" w:ascii="Times New Roman" w:hAnsi="Times New Roman" w:eastAsia="宋体" w:cs="Times New Roman"/>
                <w:i w:val="0"/>
                <w:iCs/>
                <w:color w:val="auto"/>
                <w:kern w:val="2"/>
                <w:sz w:val="24"/>
                <w:szCs w:val="22"/>
                <w:lang w:val="en-US" w:eastAsia="zh-CN" w:bidi="ar-SA"/>
              </w:rPr>
              <w:t>—核算时段内二氧化硫的实际排放量，t；</w:t>
            </w:r>
          </w:p>
          <w:p w14:paraId="5447A89F">
            <w:pPr>
              <w:rPr>
                <w:rFonts w:hint="eastAsia" w:ascii="Times New Roman" w:hAnsi="Times New Roman" w:eastAsia="宋体" w:cs="Times New Roman"/>
                <w:i w:val="0"/>
                <w:iCs/>
                <w:color w:val="auto"/>
                <w:kern w:val="2"/>
                <w:sz w:val="24"/>
                <w:szCs w:val="22"/>
                <w:lang w:val="en-US" w:eastAsia="zh-CN" w:bidi="ar-SA"/>
              </w:rPr>
            </w:pPr>
            <w:r>
              <w:rPr>
                <w:rFonts w:hint="eastAsia" w:ascii="Times New Roman" w:hAnsi="Times New Roman" w:eastAsia="宋体" w:cs="Times New Roman"/>
                <w:i w:val="0"/>
                <w:iCs/>
                <w:color w:val="auto"/>
                <w:kern w:val="2"/>
                <w:sz w:val="24"/>
                <w:szCs w:val="22"/>
                <w:lang w:val="en-US" w:eastAsia="zh-CN" w:bidi="ar-SA"/>
              </w:rPr>
              <w:t xml:space="preserve">     R—核算时段内锅炉燃料耗量，t；</w:t>
            </w:r>
          </w:p>
          <w:p w14:paraId="7EFC2279">
            <w:pPr>
              <w:pStyle w:val="5"/>
              <w:rPr>
                <w:rFonts w:hint="default" w:ascii="Times New Roman" w:hAnsi="Times New Roman" w:eastAsia="宋体" w:cs="Times New Roman"/>
                <w:i w:val="0"/>
                <w:iCs/>
                <w:color w:val="auto"/>
                <w:kern w:val="2"/>
                <w:sz w:val="24"/>
                <w:szCs w:val="22"/>
                <w:lang w:val="en-US" w:eastAsia="zh-CN" w:bidi="ar-SA"/>
              </w:rPr>
            </w:pPr>
            <w:r>
              <w:rPr>
                <w:rFonts w:hint="eastAsia" w:ascii="Times New Roman" w:hAnsi="Times New Roman" w:eastAsia="宋体" w:cs="Times New Roman"/>
                <w:i w:val="0"/>
                <w:iCs/>
                <w:color w:val="auto"/>
                <w:kern w:val="2"/>
                <w:sz w:val="24"/>
                <w:szCs w:val="22"/>
                <w:lang w:val="en-US" w:eastAsia="zh-CN" w:bidi="ar-SA"/>
              </w:rPr>
              <w:t xml:space="preserve">         S</w:t>
            </w:r>
            <w:r>
              <w:rPr>
                <w:rFonts w:hint="eastAsia" w:ascii="Times New Roman" w:hAnsi="Times New Roman" w:eastAsia="宋体" w:cs="Times New Roman"/>
                <w:i w:val="0"/>
                <w:iCs/>
                <w:color w:val="auto"/>
                <w:kern w:val="2"/>
                <w:sz w:val="24"/>
                <w:szCs w:val="22"/>
                <w:vertAlign w:val="subscript"/>
                <w:lang w:val="en-US" w:eastAsia="zh-CN" w:bidi="ar-SA"/>
              </w:rPr>
              <w:t>ar</w:t>
            </w:r>
            <w:r>
              <w:rPr>
                <w:rFonts w:hint="eastAsia" w:ascii="Times New Roman" w:hAnsi="Times New Roman" w:eastAsia="宋体" w:cs="Times New Roman"/>
                <w:i w:val="0"/>
                <w:iCs/>
                <w:color w:val="auto"/>
                <w:kern w:val="2"/>
                <w:sz w:val="24"/>
                <w:szCs w:val="22"/>
                <w:lang w:val="en-US" w:eastAsia="zh-CN" w:bidi="ar-SA"/>
              </w:rPr>
              <w:t>—燃料收到基硫含量，％；取0.1％；</w:t>
            </w:r>
          </w:p>
          <w:p w14:paraId="7F0642F2">
            <w:pPr>
              <w:pStyle w:val="5"/>
              <w:rPr>
                <w:rFonts w:hint="default" w:ascii="Times New Roman" w:hAnsi="Times New Roman" w:eastAsia="宋体" w:cs="Times New Roman"/>
                <w:i w:val="0"/>
                <w:iCs/>
                <w:color w:val="auto"/>
                <w:kern w:val="2"/>
                <w:sz w:val="24"/>
                <w:szCs w:val="22"/>
                <w:lang w:val="en-US" w:eastAsia="zh-CN" w:bidi="ar-SA"/>
              </w:rPr>
            </w:pPr>
            <w:r>
              <w:rPr>
                <w:rFonts w:hint="eastAsia" w:ascii="Times New Roman" w:hAnsi="Times New Roman" w:eastAsia="宋体" w:cs="Times New Roman"/>
                <w:i w:val="0"/>
                <w:iCs/>
                <w:color w:val="auto"/>
                <w:kern w:val="2"/>
                <w:sz w:val="24"/>
                <w:szCs w:val="22"/>
                <w:lang w:val="en-US" w:eastAsia="zh-CN" w:bidi="ar-SA"/>
              </w:rPr>
              <w:t xml:space="preserve">         q</w:t>
            </w:r>
            <w:r>
              <w:rPr>
                <w:rFonts w:hint="eastAsia" w:ascii="Times New Roman" w:hAnsi="Times New Roman" w:eastAsia="宋体" w:cs="Times New Roman"/>
                <w:i w:val="0"/>
                <w:iCs/>
                <w:color w:val="auto"/>
                <w:kern w:val="2"/>
                <w:sz w:val="24"/>
                <w:szCs w:val="22"/>
                <w:vertAlign w:val="subscript"/>
                <w:lang w:val="en-US" w:eastAsia="zh-CN" w:bidi="ar-SA"/>
              </w:rPr>
              <w:t>4</w:t>
            </w:r>
            <w:r>
              <w:rPr>
                <w:rFonts w:hint="eastAsia" w:ascii="Times New Roman" w:hAnsi="Times New Roman" w:eastAsia="宋体" w:cs="Times New Roman"/>
                <w:i w:val="0"/>
                <w:iCs/>
                <w:color w:val="auto"/>
                <w:kern w:val="2"/>
                <w:sz w:val="24"/>
                <w:szCs w:val="22"/>
                <w:lang w:val="en-US" w:eastAsia="zh-CN" w:bidi="ar-SA"/>
              </w:rPr>
              <w:t>—锅炉机械不完全燃烧热损失，百分比；取0；</w:t>
            </w:r>
          </w:p>
          <w:p w14:paraId="2AD7B86A">
            <w:pPr>
              <w:pStyle w:val="5"/>
              <w:rPr>
                <w:rFonts w:hint="default"/>
                <w:color w:val="auto"/>
                <w:lang w:val="en-US" w:eastAsia="zh-CN"/>
              </w:rPr>
            </w:pPr>
            <w:r>
              <w:rPr>
                <w:rFonts w:hint="eastAsia" w:ascii="Times New Roman" w:hAnsi="Times New Roman" w:eastAsia="宋体" w:cs="Times New Roman"/>
                <w:i w:val="0"/>
                <w:iCs/>
                <w:color w:val="auto"/>
                <w:kern w:val="2"/>
                <w:sz w:val="24"/>
                <w:szCs w:val="22"/>
                <w:lang w:val="en-US" w:eastAsia="zh-CN" w:bidi="ar-SA"/>
              </w:rPr>
              <w:t xml:space="preserve">         K—燃料中的硫燃烧后氧化成二氧化硫的份额，无量纲；取1.00。</w:t>
            </w:r>
            <w:r>
              <w:rPr>
                <w:rFonts w:hint="eastAsia"/>
                <w:i w:val="0"/>
                <w:iCs/>
                <w:color w:val="auto"/>
                <w:lang w:val="en-US" w:eastAsia="zh-CN"/>
              </w:rPr>
              <w:t xml:space="preserve"> </w:t>
            </w:r>
          </w:p>
          <w:p w14:paraId="02B9BB80">
            <w:pPr>
              <w:pStyle w:val="6"/>
              <w:keepNext w:val="0"/>
              <w:keepLines w:val="0"/>
              <w:pageBreakBefore w:val="0"/>
              <w:widowControl/>
              <w:kinsoku/>
              <w:wordWrap w:val="0"/>
              <w:overflowPunct/>
              <w:topLinePunct w:val="0"/>
              <w:autoSpaceDE/>
              <w:autoSpaceDN/>
              <w:bidi w:val="0"/>
              <w:adjustRightInd/>
              <w:snapToGrid/>
              <w:spacing w:before="0" w:after="0" w:line="360" w:lineRule="auto"/>
              <w:ind w:left="0" w:leftChars="0" w:right="0" w:firstLine="480" w:firstLineChars="200"/>
              <w:jc w:val="left"/>
              <w:textAlignment w:val="auto"/>
              <w:rPr>
                <w:rFonts w:hint="default"/>
                <w:i w:val="0"/>
                <w:iCs/>
                <w:color w:val="auto"/>
                <w:lang w:val="en-US" w:eastAsia="zh-CN"/>
              </w:rPr>
            </w:pPr>
            <w:r>
              <w:rPr>
                <w:rFonts w:hint="eastAsia" w:ascii="Times New Roman" w:hAnsi="Times New Roman" w:eastAsia="宋体" w:cs="Times New Roman"/>
                <w:i w:val="0"/>
                <w:color w:val="auto"/>
                <w:kern w:val="0"/>
                <w:sz w:val="24"/>
                <w:szCs w:val="22"/>
                <w:vertAlign w:val="baseline"/>
                <w:lang w:val="en-US" w:eastAsia="zh-CN" w:bidi="ar"/>
              </w:rPr>
              <w:t>计算得出，S</w:t>
            </w:r>
            <w:r>
              <w:rPr>
                <w:rFonts w:hint="eastAsia" w:cs="Times New Roman"/>
                <w:i w:val="0"/>
                <w:color w:val="auto"/>
                <w:kern w:val="0"/>
                <w:sz w:val="24"/>
                <w:szCs w:val="22"/>
                <w:lang w:val="en-US" w:eastAsia="zh-CN" w:bidi="ar"/>
              </w:rPr>
              <w:t>O</w:t>
            </w:r>
            <w:r>
              <w:rPr>
                <w:rFonts w:hint="eastAsia" w:cs="Times New Roman"/>
                <w:i w:val="0"/>
                <w:color w:val="auto"/>
                <w:kern w:val="0"/>
                <w:sz w:val="24"/>
                <w:szCs w:val="22"/>
                <w:vertAlign w:val="subscript"/>
                <w:lang w:val="en-US" w:eastAsia="zh-CN" w:bidi="ar"/>
              </w:rPr>
              <w:t>2</w:t>
            </w:r>
            <w:r>
              <w:rPr>
                <w:rFonts w:hint="eastAsia" w:cs="Times New Roman"/>
                <w:i w:val="0"/>
                <w:color w:val="auto"/>
                <w:kern w:val="0"/>
                <w:sz w:val="24"/>
                <w:szCs w:val="22"/>
                <w:vertAlign w:val="baseline"/>
                <w:lang w:val="en-US" w:eastAsia="zh-CN" w:bidi="ar"/>
              </w:rPr>
              <w:t>排放量为0.1t/a。</w:t>
            </w:r>
          </w:p>
          <w:p w14:paraId="4AE5C090">
            <w:pPr>
              <w:ind w:firstLine="480"/>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b.NOx和颗粒物产排污系数</w:t>
            </w:r>
          </w:p>
          <w:p w14:paraId="0B47439C">
            <w:pPr>
              <w:ind w:firstLine="480"/>
              <w:rPr>
                <w:color w:val="auto"/>
              </w:rPr>
            </w:pPr>
            <w:r>
              <w:rPr>
                <w:rFonts w:hint="eastAsia" w:ascii="Times New Roman" w:hAnsi="Times New Roman" w:eastAsia="宋体" w:cs="Times New Roman"/>
                <w:color w:val="auto"/>
                <w:kern w:val="0"/>
                <w:sz w:val="24"/>
                <w:szCs w:val="22"/>
                <w:lang w:val="en-US" w:eastAsia="zh-CN" w:bidi="ar-SA"/>
              </w:rPr>
              <w:t>有机热载体炉</w:t>
            </w:r>
            <w:r>
              <w:rPr>
                <w:rFonts w:hint="eastAsia"/>
                <w:color w:val="auto"/>
              </w:rPr>
              <w:t>年运行</w:t>
            </w:r>
            <w:r>
              <w:rPr>
                <w:color w:val="auto"/>
              </w:rPr>
              <w:t>1440h</w:t>
            </w:r>
            <w:r>
              <w:rPr>
                <w:rFonts w:hint="eastAsia"/>
                <w:color w:val="auto"/>
                <w:lang w:eastAsia="zh-CN"/>
              </w:rPr>
              <w:t>，</w:t>
            </w:r>
            <w:r>
              <w:rPr>
                <w:rFonts w:hint="eastAsia"/>
                <w:color w:val="auto"/>
              </w:rPr>
              <w:t>根据</w:t>
            </w:r>
            <w:r>
              <w:rPr>
                <w:rFonts w:hint="eastAsia"/>
                <w:color w:val="auto"/>
                <w:lang w:val="en-US" w:eastAsia="zh-CN"/>
              </w:rPr>
              <w:t>表4-1，S=0.01，</w:t>
            </w:r>
            <w:r>
              <w:rPr>
                <w:rFonts w:hint="eastAsia" w:ascii="Times New Roman" w:hAnsi="Times New Roman" w:eastAsia="宋体" w:cs="Times New Roman"/>
                <w:color w:val="auto"/>
                <w:kern w:val="0"/>
                <w:sz w:val="24"/>
                <w:szCs w:val="22"/>
                <w:lang w:val="en-US" w:eastAsia="zh-CN" w:bidi="ar-SA"/>
              </w:rPr>
              <w:t>有机热载体炉</w:t>
            </w:r>
            <w:r>
              <w:rPr>
                <w:rFonts w:hint="eastAsia"/>
                <w:color w:val="auto"/>
                <w:lang w:val="en-US" w:eastAsia="zh-CN"/>
              </w:rPr>
              <w:t>燃烧废气产生情况如下：</w:t>
            </w:r>
          </w:p>
          <w:p w14:paraId="1087B82F">
            <w:pPr>
              <w:ind w:firstLine="480"/>
              <w:rPr>
                <w:rFonts w:hint="default" w:eastAsia="宋体"/>
                <w:color w:val="auto"/>
                <w:kern w:val="32"/>
                <w:lang w:val="en-US" w:eastAsia="zh-CN"/>
              </w:rPr>
            </w:pPr>
            <w:r>
              <w:rPr>
                <w:rFonts w:hint="eastAsia"/>
                <w:color w:val="auto"/>
                <w:kern w:val="32"/>
                <w:lang w:val="en-US" w:eastAsia="zh-CN"/>
              </w:rPr>
              <w:t>工业废气量：17804</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/t</w:t>
            </w:r>
            <w:r>
              <w:rPr>
                <w:rFonts w:hint="eastAsia"/>
                <w:color w:val="auto"/>
                <w:kern w:val="32"/>
              </w:rPr>
              <w:t>×</w:t>
            </w:r>
            <w:r>
              <w:rPr>
                <w:rFonts w:hint="eastAsia"/>
                <w:color w:val="auto"/>
                <w:kern w:val="32"/>
                <w:lang w:val="en-US" w:eastAsia="zh-CN"/>
              </w:rPr>
              <w:t>50t=89.02万</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a，</w:t>
            </w:r>
            <w:r>
              <w:rPr>
                <w:rFonts w:hint="eastAsia" w:cs="Times New Roman"/>
                <w:bCs/>
                <w:color w:val="auto"/>
                <w:szCs w:val="21"/>
                <w:highlight w:val="none"/>
                <w:vertAlign w:val="baseline"/>
                <w:lang w:val="en-US" w:eastAsia="zh-CN"/>
              </w:rPr>
              <w:t>618.194</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h。</w:t>
            </w:r>
          </w:p>
          <w:p w14:paraId="35A6AFBB">
            <w:pPr>
              <w:ind w:firstLine="480"/>
              <w:rPr>
                <w:color w:val="auto"/>
                <w:kern w:val="32"/>
              </w:rPr>
            </w:pPr>
            <w:r>
              <w:rPr>
                <w:rFonts w:hint="eastAsia" w:cs="Times New Roman"/>
                <w:i w:val="0"/>
                <w:color w:val="auto"/>
                <w:kern w:val="0"/>
                <w:sz w:val="24"/>
                <w:szCs w:val="22"/>
                <w:lang w:val="en-US" w:eastAsia="zh-CN" w:bidi="ar"/>
              </w:rPr>
              <w:t>NO</w:t>
            </w:r>
            <w:r>
              <w:rPr>
                <w:rFonts w:hint="eastAsia" w:cs="Times New Roman"/>
                <w:i w:val="0"/>
                <w:color w:val="auto"/>
                <w:kern w:val="0"/>
                <w:sz w:val="24"/>
                <w:szCs w:val="22"/>
                <w:vertAlign w:val="subscript"/>
                <w:lang w:val="en-US" w:eastAsia="zh-CN" w:bidi="ar"/>
              </w:rPr>
              <w:t>x</w:t>
            </w:r>
            <w:r>
              <w:rPr>
                <w:rFonts w:hint="eastAsia"/>
                <w:color w:val="auto"/>
                <w:kern w:val="32"/>
              </w:rPr>
              <w:t>的产生速率为：</w:t>
            </w:r>
            <w:r>
              <w:rPr>
                <w:rFonts w:hint="eastAsia"/>
                <w:color w:val="auto"/>
                <w:kern w:val="32"/>
                <w:lang w:val="en-US" w:eastAsia="zh-CN"/>
              </w:rPr>
              <w:t>1.84</w:t>
            </w:r>
            <w:r>
              <w:rPr>
                <w:rFonts w:hint="eastAsia"/>
                <w:color w:val="auto"/>
                <w:kern w:val="32"/>
              </w:rPr>
              <w:t>千克/吨×（</w:t>
            </w:r>
            <w:r>
              <w:rPr>
                <w:rFonts w:hint="eastAsia"/>
                <w:color w:val="auto"/>
                <w:kern w:val="32"/>
                <w:lang w:val="en-US" w:eastAsia="zh-CN"/>
              </w:rPr>
              <w:t>50</w:t>
            </w:r>
            <w:r>
              <w:rPr>
                <w:rFonts w:hint="eastAsia"/>
                <w:color w:val="auto"/>
                <w:kern w:val="32"/>
              </w:rPr>
              <w:t>÷1440）吨/小时=</w:t>
            </w:r>
            <w:r>
              <w:rPr>
                <w:rFonts w:hint="eastAsia"/>
                <w:color w:val="auto"/>
                <w:kern w:val="32"/>
                <w:lang w:val="en-US" w:eastAsia="zh-CN"/>
              </w:rPr>
              <w:t>0.064</w:t>
            </w:r>
            <w:r>
              <w:rPr>
                <w:rFonts w:hint="eastAsia"/>
                <w:color w:val="auto"/>
                <w:kern w:val="32"/>
              </w:rPr>
              <w:t>kg/h，产生量为</w:t>
            </w:r>
            <w:r>
              <w:rPr>
                <w:rFonts w:hint="eastAsia"/>
                <w:color w:val="auto"/>
                <w:kern w:val="32"/>
                <w:lang w:val="en-US" w:eastAsia="zh-CN"/>
              </w:rPr>
              <w:t>0.092</w:t>
            </w:r>
            <w:r>
              <w:rPr>
                <w:rFonts w:hint="eastAsia"/>
                <w:color w:val="auto"/>
                <w:kern w:val="32"/>
              </w:rPr>
              <w:t>t/a。</w:t>
            </w:r>
          </w:p>
          <w:p w14:paraId="7F782F86">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auto"/>
                <w:kern w:val="32"/>
              </w:rPr>
            </w:pPr>
            <w:r>
              <w:rPr>
                <w:rFonts w:hint="eastAsia"/>
                <w:color w:val="auto"/>
                <w:kern w:val="32"/>
              </w:rPr>
              <w:t>颗粒物的产生速率为：0.26千克/吨×（</w:t>
            </w:r>
            <w:r>
              <w:rPr>
                <w:rFonts w:hint="eastAsia"/>
                <w:color w:val="auto"/>
                <w:kern w:val="32"/>
                <w:lang w:val="en-US" w:eastAsia="zh-CN"/>
              </w:rPr>
              <w:t>5</w:t>
            </w:r>
            <w:r>
              <w:rPr>
                <w:rFonts w:hint="eastAsia"/>
                <w:color w:val="auto"/>
                <w:kern w:val="32"/>
              </w:rPr>
              <w:t>0÷1440）吨/小时=</w:t>
            </w:r>
            <w:r>
              <w:rPr>
                <w:rFonts w:hint="eastAsia"/>
                <w:color w:val="auto"/>
                <w:kern w:val="32"/>
                <w:lang w:val="en-US" w:eastAsia="zh-CN"/>
              </w:rPr>
              <w:t>0.009</w:t>
            </w:r>
            <w:r>
              <w:rPr>
                <w:rFonts w:hint="eastAsia"/>
                <w:color w:val="auto"/>
                <w:kern w:val="32"/>
              </w:rPr>
              <w:t>kg/h，产生量为</w:t>
            </w:r>
            <w:r>
              <w:rPr>
                <w:rFonts w:hint="eastAsia"/>
                <w:color w:val="auto"/>
                <w:kern w:val="32"/>
                <w:lang w:val="en-US" w:eastAsia="zh-CN"/>
              </w:rPr>
              <w:t>0.013</w:t>
            </w:r>
            <w:r>
              <w:rPr>
                <w:rFonts w:hint="eastAsia"/>
                <w:color w:val="auto"/>
                <w:kern w:val="32"/>
              </w:rPr>
              <w:t>t/a。</w:t>
            </w:r>
          </w:p>
          <w:p w14:paraId="3E6437D3">
            <w:pPr>
              <w:keepNext w:val="0"/>
              <w:keepLines w:val="0"/>
              <w:pageBreakBefore w:val="0"/>
              <w:widowControl w:val="0"/>
              <w:kinsoku/>
              <w:wordWrap/>
              <w:overflowPunct/>
              <w:topLinePunct w:val="0"/>
              <w:autoSpaceDE/>
              <w:autoSpaceDN/>
              <w:bidi w:val="0"/>
              <w:adjustRightInd/>
              <w:snapToGrid/>
              <w:ind w:firstLine="480"/>
              <w:textAlignment w:val="auto"/>
              <w:rPr>
                <w:rFonts w:hint="eastAsia"/>
                <w:color w:val="0000FF"/>
                <w:szCs w:val="24"/>
                <w:lang w:val="en-US" w:eastAsia="zh-CN"/>
              </w:rPr>
            </w:pPr>
            <w:r>
              <w:rPr>
                <w:rFonts w:hint="eastAsia" w:ascii="Times New Roman" w:hAnsi="Times New Roman" w:eastAsia="宋体" w:cs="Times New Roman"/>
                <w:b/>
                <w:bCs/>
                <w:i w:val="0"/>
                <w:color w:val="auto"/>
                <w:kern w:val="0"/>
                <w:sz w:val="24"/>
                <w:szCs w:val="22"/>
                <w:highlight w:val="none"/>
                <w:lang w:val="en-US" w:eastAsia="zh-CN" w:bidi="ar"/>
              </w:rPr>
              <w:t>综上所述</w:t>
            </w:r>
            <w:r>
              <w:rPr>
                <w:rFonts w:hint="eastAsia" w:ascii="Times New Roman" w:hAnsi="Times New Roman" w:eastAsia="宋体" w:cs="Times New Roman"/>
                <w:b w:val="0"/>
                <w:bCs w:val="0"/>
                <w:i w:val="0"/>
                <w:color w:val="auto"/>
                <w:kern w:val="0"/>
                <w:sz w:val="24"/>
                <w:szCs w:val="22"/>
                <w:highlight w:val="none"/>
                <w:lang w:val="en-US" w:eastAsia="zh-CN" w:bidi="ar"/>
              </w:rPr>
              <w:t>，</w:t>
            </w:r>
            <w:r>
              <w:rPr>
                <w:rFonts w:hint="eastAsia"/>
                <w:color w:val="auto"/>
                <w:kern w:val="32"/>
              </w:rPr>
              <w:t>项目</w:t>
            </w:r>
            <w:r>
              <w:rPr>
                <w:rFonts w:hint="eastAsia"/>
                <w:color w:val="auto"/>
                <w:kern w:val="32"/>
                <w:lang w:val="en-US" w:eastAsia="zh-CN"/>
              </w:rPr>
              <w:t>有机热载体炉</w:t>
            </w:r>
            <w:r>
              <w:rPr>
                <w:rFonts w:hint="eastAsia"/>
                <w:color w:val="auto"/>
                <w:kern w:val="32"/>
              </w:rPr>
              <w:t>燃烧废气无废气治理设施，废气产生量即为排放量</w:t>
            </w:r>
            <w:r>
              <w:rPr>
                <w:rFonts w:hint="eastAsia"/>
                <w:color w:val="auto"/>
                <w:kern w:val="32"/>
                <w:lang w:eastAsia="zh-CN"/>
              </w:rPr>
              <w:t>，</w:t>
            </w:r>
            <w:r>
              <w:rPr>
                <w:rFonts w:hint="eastAsia"/>
                <w:color w:val="auto"/>
                <w:kern w:val="32"/>
                <w:lang w:val="en-US" w:eastAsia="zh-CN"/>
              </w:rPr>
              <w:t>则项目有机热载体炉排</w:t>
            </w:r>
            <w:r>
              <w:rPr>
                <w:rFonts w:hint="eastAsia" w:ascii="Times New Roman" w:hAnsi="Times New Roman" w:eastAsia="宋体" w:cs="Times New Roman"/>
                <w:bCs/>
                <w:color w:val="auto"/>
                <w:sz w:val="24"/>
                <w:szCs w:val="24"/>
                <w:highlight w:val="none"/>
                <w:lang w:val="en-US" w:eastAsia="zh-CN"/>
              </w:rPr>
              <w:t>气筒DA002</w:t>
            </w:r>
            <w:r>
              <w:rPr>
                <w:rFonts w:hint="eastAsia"/>
                <w:color w:val="auto"/>
                <w:kern w:val="32"/>
                <w:lang w:val="en-US" w:eastAsia="zh-CN"/>
              </w:rPr>
              <w:t>废气排放情况为：废气量89.02万</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a，</w:t>
            </w:r>
            <w:r>
              <w:rPr>
                <w:rFonts w:hint="eastAsia" w:cs="Times New Roman"/>
                <w:bCs/>
                <w:color w:val="auto"/>
                <w:szCs w:val="21"/>
                <w:highlight w:val="none"/>
                <w:vertAlign w:val="baseline"/>
                <w:lang w:val="en-US" w:eastAsia="zh-CN"/>
              </w:rPr>
              <w:t>618.194</w:t>
            </w:r>
            <w:r>
              <w:rPr>
                <w:rFonts w:hint="eastAsia" w:ascii="Times New Roman" w:hAnsi="Times New Roman" w:eastAsia="宋体" w:cs="Times New Roman"/>
                <w:bCs/>
                <w:color w:val="auto"/>
                <w:szCs w:val="21"/>
                <w:highlight w:val="none"/>
                <w:vertAlign w:val="baseline"/>
                <w:lang w:val="en-US" w:eastAsia="zh-CN"/>
              </w:rPr>
              <w:t>Nm</w:t>
            </w:r>
            <w:r>
              <w:rPr>
                <w:rFonts w:hint="eastAsia" w:ascii="Times New Roman" w:hAnsi="Times New Roman" w:eastAsia="宋体" w:cs="Times New Roman"/>
                <w:bCs/>
                <w:color w:val="auto"/>
                <w:szCs w:val="21"/>
                <w:highlight w:val="none"/>
                <w:vertAlign w:val="superscript"/>
                <w:lang w:val="en-US" w:eastAsia="zh-CN"/>
              </w:rPr>
              <w:t>3</w:t>
            </w:r>
            <w:r>
              <w:rPr>
                <w:rFonts w:hint="eastAsia" w:ascii="Times New Roman" w:hAnsi="Times New Roman" w:eastAsia="宋体"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h，其中颗粒物排放量0.0</w:t>
            </w:r>
            <w:r>
              <w:rPr>
                <w:rFonts w:hint="eastAsia" w:cs="Times New Roman"/>
                <w:bCs/>
                <w:color w:val="auto"/>
                <w:szCs w:val="21"/>
                <w:highlight w:val="none"/>
                <w:vertAlign w:val="baseline"/>
                <w:lang w:val="en-US" w:eastAsia="zh-CN"/>
              </w:rPr>
              <w:t>13</w:t>
            </w:r>
            <w:r>
              <w:rPr>
                <w:rFonts w:hint="eastAsia" w:eastAsia="宋体" w:cs="Times New Roman"/>
                <w:bCs/>
                <w:color w:val="auto"/>
                <w:szCs w:val="21"/>
                <w:highlight w:val="none"/>
                <w:vertAlign w:val="baseline"/>
                <w:lang w:val="en-US" w:eastAsia="zh-CN"/>
              </w:rPr>
              <w:t>t/a</w:t>
            </w:r>
            <w:r>
              <w:rPr>
                <w:rFonts w:hint="eastAsia"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排放速率0.00</w:t>
            </w:r>
            <w:r>
              <w:rPr>
                <w:rFonts w:hint="eastAsia" w:cs="Times New Roman"/>
                <w:bCs/>
                <w:color w:val="auto"/>
                <w:szCs w:val="21"/>
                <w:highlight w:val="none"/>
                <w:vertAlign w:val="baseline"/>
                <w:lang w:val="en-US" w:eastAsia="zh-CN"/>
              </w:rPr>
              <w:t>9</w:t>
            </w:r>
            <w:r>
              <w:rPr>
                <w:rFonts w:hint="eastAsia" w:eastAsia="宋体" w:cs="Times New Roman"/>
                <w:bCs/>
                <w:color w:val="auto"/>
                <w:szCs w:val="21"/>
                <w:highlight w:val="none"/>
                <w:vertAlign w:val="baseline"/>
                <w:lang w:val="en-US" w:eastAsia="zh-CN"/>
              </w:rPr>
              <w:t>kg/h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color w:val="auto"/>
                <w:kern w:val="0"/>
                <w:sz w:val="24"/>
                <w:szCs w:val="22"/>
                <w:highlight w:val="none"/>
                <w:lang w:val="en-US" w:eastAsia="zh-CN" w:bidi="ar-SA"/>
              </w:rPr>
              <w:t>排放浓度</w:t>
            </w:r>
            <w:r>
              <w:rPr>
                <w:rFonts w:hint="eastAsia" w:cs="Times New Roman"/>
                <w:color w:val="auto"/>
                <w:kern w:val="0"/>
                <w:sz w:val="24"/>
                <w:szCs w:val="22"/>
                <w:highlight w:val="none"/>
                <w:lang w:val="en-US" w:eastAsia="zh-CN" w:bidi="ar-SA"/>
              </w:rPr>
              <w:t>14.558</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二氧化硫排放量0.</w:t>
            </w:r>
            <w:r>
              <w:rPr>
                <w:rFonts w:hint="eastAsia" w:cs="Times New Roman"/>
                <w:bCs/>
                <w:color w:val="auto"/>
                <w:szCs w:val="21"/>
                <w:highlight w:val="none"/>
                <w:vertAlign w:val="baseline"/>
                <w:lang w:val="en-US" w:eastAsia="zh-CN"/>
              </w:rPr>
              <w:t>1</w:t>
            </w:r>
            <w:r>
              <w:rPr>
                <w:rFonts w:hint="eastAsia" w:eastAsia="宋体" w:cs="Times New Roman"/>
                <w:bCs/>
                <w:color w:val="auto"/>
                <w:szCs w:val="21"/>
                <w:highlight w:val="none"/>
                <w:vertAlign w:val="baseline"/>
                <w:lang w:val="en-US" w:eastAsia="zh-CN"/>
              </w:rPr>
              <w:t>t/a</w:t>
            </w:r>
            <w:r>
              <w:rPr>
                <w:rFonts w:hint="eastAsia"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排放速率0.0</w:t>
            </w:r>
            <w:r>
              <w:rPr>
                <w:rFonts w:hint="eastAsia" w:cs="Times New Roman"/>
                <w:bCs/>
                <w:color w:val="auto"/>
                <w:szCs w:val="21"/>
                <w:highlight w:val="none"/>
                <w:vertAlign w:val="baseline"/>
                <w:lang w:val="en-US" w:eastAsia="zh-CN"/>
              </w:rPr>
              <w:t>69</w:t>
            </w:r>
            <w:r>
              <w:rPr>
                <w:rFonts w:hint="eastAsia" w:eastAsia="宋体" w:cs="Times New Roman"/>
                <w:bCs/>
                <w:color w:val="auto"/>
                <w:szCs w:val="21"/>
                <w:highlight w:val="none"/>
                <w:vertAlign w:val="baseline"/>
                <w:lang w:val="en-US" w:eastAsia="zh-CN"/>
              </w:rPr>
              <w:t>kg/h，</w:t>
            </w:r>
            <w:r>
              <w:rPr>
                <w:rFonts w:hint="eastAsia" w:ascii="Times New Roman" w:hAnsi="Times New Roman" w:eastAsia="宋体" w:cs="Times New Roman"/>
                <w:color w:val="auto"/>
                <w:kern w:val="0"/>
                <w:sz w:val="24"/>
                <w:szCs w:val="22"/>
                <w:highlight w:val="none"/>
                <w:lang w:val="en-US" w:eastAsia="zh-CN" w:bidi="ar-SA"/>
              </w:rPr>
              <w:t>排放浓度</w:t>
            </w:r>
            <w:r>
              <w:rPr>
                <w:rFonts w:hint="eastAsia" w:cs="Times New Roman"/>
                <w:color w:val="auto"/>
                <w:kern w:val="0"/>
                <w:sz w:val="24"/>
                <w:szCs w:val="22"/>
                <w:highlight w:val="none"/>
                <w:lang w:val="en-US" w:eastAsia="zh-CN" w:bidi="ar-SA"/>
              </w:rPr>
              <w:t>111.615</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；氮氧化物排放量0.</w:t>
            </w:r>
            <w:r>
              <w:rPr>
                <w:rFonts w:hint="eastAsia" w:cs="Times New Roman"/>
                <w:bCs/>
                <w:color w:val="auto"/>
                <w:szCs w:val="21"/>
                <w:highlight w:val="none"/>
                <w:vertAlign w:val="baseline"/>
                <w:lang w:val="en-US" w:eastAsia="zh-CN"/>
              </w:rPr>
              <w:t>092</w:t>
            </w:r>
            <w:r>
              <w:rPr>
                <w:rFonts w:hint="eastAsia" w:eastAsia="宋体" w:cs="Times New Roman"/>
                <w:bCs/>
                <w:color w:val="auto"/>
                <w:szCs w:val="21"/>
                <w:highlight w:val="none"/>
                <w:vertAlign w:val="baseline"/>
                <w:lang w:val="en-US" w:eastAsia="zh-CN"/>
              </w:rPr>
              <w:t>t/a</w:t>
            </w:r>
            <w:r>
              <w:rPr>
                <w:rFonts w:hint="eastAsia" w:cs="Times New Roman"/>
                <w:bCs/>
                <w:color w:val="auto"/>
                <w:szCs w:val="21"/>
                <w:highlight w:val="none"/>
                <w:vertAlign w:val="baseline"/>
                <w:lang w:val="en-US" w:eastAsia="zh-CN"/>
              </w:rPr>
              <w:t>（</w:t>
            </w:r>
            <w:r>
              <w:rPr>
                <w:rFonts w:hint="eastAsia" w:eastAsia="宋体" w:cs="Times New Roman"/>
                <w:bCs/>
                <w:color w:val="auto"/>
                <w:szCs w:val="21"/>
                <w:highlight w:val="none"/>
                <w:vertAlign w:val="baseline"/>
                <w:lang w:val="en-US" w:eastAsia="zh-CN"/>
              </w:rPr>
              <w:t>排放速率0.</w:t>
            </w:r>
            <w:r>
              <w:rPr>
                <w:rFonts w:hint="eastAsia" w:cs="Times New Roman"/>
                <w:bCs/>
                <w:color w:val="auto"/>
                <w:szCs w:val="21"/>
                <w:highlight w:val="none"/>
                <w:vertAlign w:val="baseline"/>
                <w:lang w:val="en-US" w:eastAsia="zh-CN"/>
              </w:rPr>
              <w:t>064</w:t>
            </w:r>
            <w:r>
              <w:rPr>
                <w:rFonts w:hint="eastAsia" w:eastAsia="宋体" w:cs="Times New Roman"/>
                <w:bCs/>
                <w:color w:val="auto"/>
                <w:szCs w:val="21"/>
                <w:highlight w:val="none"/>
                <w:vertAlign w:val="baseline"/>
                <w:lang w:val="en-US" w:eastAsia="zh-CN"/>
              </w:rPr>
              <w:t>kg/h，</w:t>
            </w:r>
            <w:r>
              <w:rPr>
                <w:rFonts w:hint="eastAsia" w:ascii="Times New Roman" w:hAnsi="Times New Roman" w:eastAsia="宋体" w:cs="Times New Roman"/>
                <w:color w:val="auto"/>
                <w:kern w:val="0"/>
                <w:sz w:val="24"/>
                <w:szCs w:val="22"/>
                <w:highlight w:val="none"/>
                <w:lang w:val="en-US" w:eastAsia="zh-CN" w:bidi="ar-SA"/>
              </w:rPr>
              <w:t>排放浓度</w:t>
            </w:r>
            <w:r>
              <w:rPr>
                <w:rFonts w:hint="eastAsia" w:cs="Times New Roman"/>
                <w:color w:val="auto"/>
                <w:kern w:val="0"/>
                <w:sz w:val="24"/>
                <w:szCs w:val="22"/>
                <w:highlight w:val="none"/>
                <w:lang w:val="en-US" w:eastAsia="zh-CN" w:bidi="ar-SA"/>
              </w:rPr>
              <w:t>0.913</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s="Times New Roman"/>
                <w:bCs/>
                <w:color w:val="auto"/>
                <w:szCs w:val="21"/>
                <w:highlight w:val="none"/>
                <w:vertAlign w:val="baseline"/>
                <w:lang w:val="en-US" w:eastAsia="zh-CN"/>
              </w:rPr>
              <w:t>）</w:t>
            </w:r>
            <w:r>
              <w:rPr>
                <w:rFonts w:hint="eastAsia"/>
                <w:color w:val="auto"/>
                <w:kern w:val="32"/>
                <w:lang w:eastAsia="zh-CN"/>
              </w:rPr>
              <w:t>，</w:t>
            </w:r>
            <w:r>
              <w:rPr>
                <w:rFonts w:hint="eastAsia"/>
                <w:color w:val="auto"/>
                <w:kern w:val="32"/>
                <w:highlight w:val="none"/>
                <w:lang w:val="en-US" w:eastAsia="zh-CN"/>
              </w:rPr>
              <w:t>满足</w:t>
            </w:r>
            <w:r>
              <w:rPr>
                <w:rFonts w:hint="eastAsia"/>
                <w:color w:val="auto"/>
                <w:szCs w:val="24"/>
                <w:highlight w:val="none"/>
              </w:rPr>
              <w:t>《锅炉大气污染物排放标准》（GB13271-2014）中表2 大气污染物排放限值中的燃油锅炉浓度限值</w:t>
            </w:r>
            <w:r>
              <w:rPr>
                <w:rFonts w:hint="eastAsia"/>
                <w:color w:val="auto"/>
                <w:szCs w:val="24"/>
                <w:highlight w:val="none"/>
                <w:lang w:val="en-US" w:eastAsia="zh-CN"/>
              </w:rPr>
              <w:t>要求。</w:t>
            </w:r>
          </w:p>
          <w:p w14:paraId="785D6310">
            <w:pPr>
              <w:pStyle w:val="5"/>
              <w:keepNext w:val="0"/>
              <w:keepLines w:val="0"/>
              <w:pageBreakBefore w:val="0"/>
              <w:widowControl w:val="0"/>
              <w:kinsoku/>
              <w:wordWrap/>
              <w:overflowPunct/>
              <w:topLinePunct w:val="0"/>
              <w:autoSpaceDE/>
              <w:autoSpaceDN/>
              <w:bidi w:val="0"/>
              <w:adjustRightInd w:val="0"/>
              <w:snapToGrid/>
              <w:spacing w:after="0" w:afterLines="0" w:line="360" w:lineRule="auto"/>
              <w:ind w:left="0" w:right="0" w:firstLine="482" w:firstLineChars="200"/>
              <w:jc w:val="left"/>
              <w:textAlignment w:val="auto"/>
              <w:rPr>
                <w:rFonts w:hint="default" w:ascii="Times New Roman" w:hAnsi="Times New Roman" w:eastAsia="宋体" w:cs="Times New Roman"/>
                <w:b/>
                <w:bCs/>
                <w:i w:val="0"/>
                <w:color w:val="000000" w:themeColor="text1"/>
                <w:kern w:val="0"/>
                <w:sz w:val="24"/>
                <w:szCs w:val="22"/>
                <w:lang w:val="en-US" w:eastAsia="zh-CN" w:bidi="ar"/>
                <w14:textFill>
                  <w14:solidFill>
                    <w14:schemeClr w14:val="tx1"/>
                  </w14:solidFill>
                </w14:textFill>
              </w:rPr>
            </w:pPr>
            <w:r>
              <w:rPr>
                <w:rFonts w:hint="eastAsia" w:ascii="Times New Roman" w:hAnsi="Times New Roman" w:eastAsia="宋体" w:cs="Times New Roman"/>
                <w:b/>
                <w:bCs/>
                <w:i w:val="0"/>
                <w:color w:val="000000" w:themeColor="text1"/>
                <w:kern w:val="0"/>
                <w:sz w:val="24"/>
                <w:szCs w:val="22"/>
                <w:lang w:val="en-US" w:eastAsia="zh-CN" w:bidi="ar"/>
                <w14:textFill>
                  <w14:solidFill>
                    <w14:schemeClr w14:val="tx1"/>
                  </w14:solidFill>
                </w14:textFill>
              </w:rPr>
              <w:t>（3）沥青加热、搅拌</w:t>
            </w:r>
            <w:r>
              <w:rPr>
                <w:rFonts w:hint="eastAsia" w:cs="Times New Roman"/>
                <w:b/>
                <w:bCs/>
                <w:i w:val="0"/>
                <w:color w:val="000000" w:themeColor="text1"/>
                <w:kern w:val="0"/>
                <w:sz w:val="24"/>
                <w:szCs w:val="22"/>
                <w:lang w:val="en-US" w:eastAsia="zh-CN" w:bidi="ar"/>
                <w14:textFill>
                  <w14:solidFill>
                    <w14:schemeClr w14:val="tx1"/>
                  </w14:solidFill>
                </w14:textFill>
              </w:rPr>
              <w:t>和</w:t>
            </w:r>
            <w:r>
              <w:rPr>
                <w:rFonts w:hint="eastAsia" w:ascii="Times New Roman" w:hAnsi="Times New Roman" w:eastAsia="宋体" w:cs="Times New Roman"/>
                <w:b/>
                <w:bCs/>
                <w:i w:val="0"/>
                <w:color w:val="000000" w:themeColor="text1"/>
                <w:kern w:val="0"/>
                <w:sz w:val="24"/>
                <w:szCs w:val="22"/>
                <w:lang w:val="en-US" w:eastAsia="zh-CN" w:bidi="ar"/>
                <w14:textFill>
                  <w14:solidFill>
                    <w14:schemeClr w14:val="tx1"/>
                  </w14:solidFill>
                </w14:textFill>
              </w:rPr>
              <w:t>出料</w:t>
            </w:r>
            <w:r>
              <w:rPr>
                <w:rFonts w:hint="eastAsia" w:cs="Times New Roman"/>
                <w:b/>
                <w:bCs/>
                <w:i w:val="0"/>
                <w:color w:val="000000" w:themeColor="text1"/>
                <w:kern w:val="0"/>
                <w:sz w:val="24"/>
                <w:szCs w:val="22"/>
                <w:lang w:val="en-US" w:eastAsia="zh-CN" w:bidi="ar"/>
                <w14:textFill>
                  <w14:solidFill>
                    <w14:schemeClr w14:val="tx1"/>
                  </w14:solidFill>
                </w14:textFill>
              </w:rPr>
              <w:t>口逸散</w:t>
            </w:r>
            <w:r>
              <w:rPr>
                <w:rFonts w:hint="eastAsia" w:ascii="Times New Roman" w:hAnsi="Times New Roman" w:eastAsia="宋体" w:cs="Times New Roman"/>
                <w:b/>
                <w:bCs/>
                <w:i w:val="0"/>
                <w:color w:val="000000" w:themeColor="text1"/>
                <w:kern w:val="0"/>
                <w:sz w:val="24"/>
                <w:szCs w:val="22"/>
                <w:lang w:val="en-US" w:eastAsia="zh-CN" w:bidi="ar"/>
                <w14:textFill>
                  <w14:solidFill>
                    <w14:schemeClr w14:val="tx1"/>
                  </w14:solidFill>
                </w14:textFill>
              </w:rPr>
              <w:t>废气（DA003）</w:t>
            </w:r>
          </w:p>
          <w:p w14:paraId="0FDACB03">
            <w:pPr>
              <w:pStyle w:val="5"/>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eastAsia"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本项目生产所需沥青先通过有机热载体炉预热过程</w:t>
            </w:r>
            <w:r>
              <w:rPr>
                <w:rFonts w:hint="eastAsia" w:cs="Times New Roman"/>
                <w:color w:val="auto"/>
                <w:kern w:val="0"/>
                <w:sz w:val="24"/>
                <w:szCs w:val="22"/>
                <w:lang w:val="en-US" w:eastAsia="zh-CN" w:bidi="ar-SA"/>
              </w:rPr>
              <w:t>中产生废气</w:t>
            </w:r>
            <w:r>
              <w:rPr>
                <w:rFonts w:hint="eastAsia" w:ascii="Times New Roman" w:hAnsi="Times New Roman" w:eastAsia="宋体" w:cs="Times New Roman"/>
                <w:color w:val="auto"/>
                <w:kern w:val="0"/>
                <w:sz w:val="24"/>
                <w:szCs w:val="22"/>
                <w:lang w:val="en-US" w:eastAsia="zh-CN" w:bidi="ar-SA"/>
              </w:rPr>
              <w:t>，</w:t>
            </w:r>
            <w:r>
              <w:rPr>
                <w:rFonts w:hint="default" w:ascii="Times New Roman" w:hAnsi="Times New Roman" w:eastAsia="宋体" w:cs="Times New Roman"/>
                <w:color w:val="auto"/>
                <w:kern w:val="0"/>
                <w:sz w:val="24"/>
                <w:szCs w:val="22"/>
                <w:lang w:val="en-US" w:eastAsia="zh-CN" w:bidi="ar-SA"/>
              </w:rPr>
              <w:t>主要</w:t>
            </w:r>
            <w:r>
              <w:rPr>
                <w:rFonts w:hint="eastAsia" w:ascii="Times New Roman" w:hAnsi="Times New Roman" w:eastAsia="宋体" w:cs="Times New Roman"/>
                <w:color w:val="auto"/>
                <w:kern w:val="0"/>
                <w:sz w:val="24"/>
                <w:szCs w:val="22"/>
                <w:lang w:val="en-US" w:eastAsia="zh-CN" w:bidi="ar-SA"/>
              </w:rPr>
              <w:t>污染物</w:t>
            </w:r>
            <w:r>
              <w:rPr>
                <w:rFonts w:hint="default" w:ascii="Times New Roman" w:hAnsi="Times New Roman" w:eastAsia="宋体" w:cs="Times New Roman"/>
                <w:color w:val="auto"/>
                <w:kern w:val="0"/>
                <w:sz w:val="24"/>
                <w:szCs w:val="22"/>
                <w:lang w:val="en-US" w:eastAsia="zh-CN" w:bidi="ar-SA"/>
              </w:rPr>
              <w:t>为沥青烟、苯并[a]芘、非甲烷总烃</w:t>
            </w:r>
            <w:r>
              <w:rPr>
                <w:rFonts w:hint="eastAsia" w:ascii="Times New Roman" w:hAnsi="Times New Roman" w:eastAsia="宋体" w:cs="Times New Roman"/>
                <w:color w:val="auto"/>
                <w:kern w:val="0"/>
                <w:sz w:val="24"/>
                <w:szCs w:val="22"/>
                <w:lang w:val="en-US" w:eastAsia="zh-CN" w:bidi="ar-SA"/>
              </w:rPr>
              <w:t>。</w:t>
            </w:r>
          </w:p>
          <w:p w14:paraId="15B7DDC9">
            <w:pPr>
              <w:widowControl/>
              <w:overflowPunct w:val="0"/>
              <w:ind w:firstLine="480"/>
              <w:rPr>
                <w:rFonts w:hint="eastAsia" w:ascii="Times New Roman" w:hAnsi="Times New Roman" w:eastAsia="宋体" w:cs="Times New Roman"/>
                <w:i w:val="0"/>
                <w:color w:val="auto"/>
                <w:kern w:val="0"/>
                <w:sz w:val="24"/>
                <w:szCs w:val="22"/>
                <w:lang w:val="en-US" w:eastAsia="zh-CN" w:bidi="ar-SA"/>
              </w:rPr>
            </w:pPr>
            <w:r>
              <w:rPr>
                <w:rFonts w:hint="eastAsia" w:ascii="Times New Roman" w:hAnsi="Times New Roman" w:eastAsia="宋体" w:cs="Times New Roman"/>
                <w:color w:val="auto"/>
                <w:kern w:val="0"/>
                <w:sz w:val="24"/>
                <w:szCs w:val="22"/>
                <w:lang w:val="zh-CN" w:eastAsia="zh-CN" w:bidi="ar-SA"/>
              </w:rPr>
              <w:t>项目沥青使用量为</w:t>
            </w:r>
            <w:r>
              <w:rPr>
                <w:rFonts w:hint="eastAsia" w:cs="Times New Roman"/>
                <w:color w:val="auto"/>
                <w:kern w:val="0"/>
                <w:sz w:val="24"/>
                <w:szCs w:val="22"/>
                <w:lang w:val="en-US" w:eastAsia="zh-CN" w:bidi="ar-SA"/>
              </w:rPr>
              <w:t>4</w:t>
            </w:r>
            <w:r>
              <w:rPr>
                <w:rFonts w:hint="eastAsia" w:ascii="Times New Roman" w:hAnsi="Times New Roman" w:eastAsia="宋体" w:cs="Times New Roman"/>
                <w:color w:val="auto"/>
                <w:kern w:val="0"/>
                <w:sz w:val="24"/>
                <w:szCs w:val="22"/>
                <w:lang w:val="en-US" w:eastAsia="zh-CN" w:bidi="ar-SA"/>
              </w:rPr>
              <w:t>000</w:t>
            </w:r>
            <w:r>
              <w:rPr>
                <w:rFonts w:hint="eastAsia" w:ascii="Times New Roman" w:hAnsi="Times New Roman" w:eastAsia="宋体" w:cs="Times New Roman"/>
                <w:color w:val="auto"/>
                <w:kern w:val="0"/>
                <w:sz w:val="24"/>
                <w:szCs w:val="22"/>
                <w:lang w:val="zh-CN" w:eastAsia="zh-CN" w:bidi="ar-SA"/>
              </w:rPr>
              <w:t>t/a，</w:t>
            </w:r>
            <w:r>
              <w:rPr>
                <w:rFonts w:hint="eastAsia" w:ascii="Times New Roman" w:hAnsi="Times New Roman" w:eastAsia="宋体" w:cs="Times New Roman"/>
                <w:color w:val="auto"/>
                <w:kern w:val="0"/>
                <w:sz w:val="24"/>
                <w:szCs w:val="22"/>
                <w:lang w:val="en-US" w:eastAsia="zh-CN" w:bidi="ar-SA"/>
              </w:rPr>
              <w:t>项目沥青储存于密闭的沥青</w:t>
            </w:r>
            <w:r>
              <w:rPr>
                <w:rFonts w:hint="eastAsia" w:cs="Times New Roman"/>
                <w:color w:val="auto"/>
                <w:kern w:val="0"/>
                <w:sz w:val="24"/>
                <w:szCs w:val="22"/>
                <w:lang w:val="en-US" w:eastAsia="zh-CN" w:bidi="ar-SA"/>
              </w:rPr>
              <w:t>储</w:t>
            </w:r>
            <w:r>
              <w:rPr>
                <w:rFonts w:hint="eastAsia" w:ascii="Times New Roman" w:hAnsi="Times New Roman" w:eastAsia="宋体" w:cs="Times New Roman"/>
                <w:color w:val="auto"/>
                <w:kern w:val="0"/>
                <w:sz w:val="24"/>
                <w:szCs w:val="22"/>
                <w:lang w:val="en-US" w:eastAsia="zh-CN" w:bidi="ar-SA"/>
              </w:rPr>
              <w:t>罐中，有机热载体炉对沥青储罐内的沥青烟进行间接加热，沥青储罐中的沥青接收热能后温度稳定在</w:t>
            </w:r>
            <w:r>
              <w:rPr>
                <w:rFonts w:hint="default" w:ascii="Times New Roman" w:hAnsi="Times New Roman" w:eastAsia="宋体" w:cs="Times New Roman"/>
                <w:color w:val="auto"/>
                <w:kern w:val="0"/>
                <w:sz w:val="24"/>
                <w:szCs w:val="22"/>
                <w:lang w:val="en-US" w:eastAsia="zh-CN" w:bidi="ar-SA"/>
              </w:rPr>
              <w:t>150℃-180℃</w:t>
            </w:r>
            <w:r>
              <w:rPr>
                <w:rFonts w:hint="eastAsia" w:ascii="Times New Roman" w:hAnsi="Times New Roman" w:eastAsia="宋体" w:cs="Times New Roman"/>
                <w:color w:val="auto"/>
                <w:kern w:val="0"/>
                <w:sz w:val="24"/>
                <w:szCs w:val="22"/>
                <w:lang w:val="en-US" w:eastAsia="zh-CN" w:bidi="ar-SA"/>
              </w:rPr>
              <w:t>内，加热方式为不间断加热，日加热时长约为8小时。由于温度的变化和罐内压力的变化，使得罐内逸出的沥青烟气通过储罐呼吸口</w:t>
            </w:r>
            <w:r>
              <w:rPr>
                <w:rFonts w:hint="eastAsia" w:cs="Times New Roman"/>
                <w:color w:val="auto"/>
                <w:kern w:val="0"/>
                <w:sz w:val="24"/>
                <w:szCs w:val="22"/>
                <w:lang w:val="en-US" w:eastAsia="zh-CN" w:bidi="ar-SA"/>
              </w:rPr>
              <w:t>经管道</w:t>
            </w:r>
            <w:r>
              <w:rPr>
                <w:rFonts w:hint="eastAsia" w:ascii="Times New Roman" w:hAnsi="Times New Roman" w:eastAsia="宋体" w:cs="Times New Roman"/>
                <w:color w:val="auto"/>
                <w:kern w:val="0"/>
                <w:sz w:val="24"/>
                <w:szCs w:val="22"/>
                <w:lang w:val="en-US" w:eastAsia="zh-CN" w:bidi="ar-SA"/>
              </w:rPr>
              <w:t>排往废气处理装置</w:t>
            </w:r>
            <w:r>
              <w:rPr>
                <w:rFonts w:hint="eastAsia" w:cs="Times New Roman"/>
                <w:color w:val="auto"/>
                <w:kern w:val="0"/>
                <w:sz w:val="24"/>
                <w:szCs w:val="22"/>
                <w:lang w:val="en-US" w:eastAsia="zh-CN" w:bidi="ar-SA"/>
              </w:rPr>
              <w:t>，部分沥青烟随沥青进入搅拌器中，搅拌器设有呼吸口，部分沥青烟从</w:t>
            </w:r>
            <w:r>
              <w:rPr>
                <w:rFonts w:hint="eastAsia" w:ascii="Times New Roman" w:hAnsi="Times New Roman" w:eastAsia="宋体" w:cs="Times New Roman"/>
                <w:color w:val="auto"/>
                <w:kern w:val="0"/>
                <w:sz w:val="24"/>
                <w:szCs w:val="22"/>
                <w:lang w:val="en-US" w:eastAsia="zh-CN" w:bidi="ar-SA"/>
              </w:rPr>
              <w:t>呼吸口</w:t>
            </w:r>
            <w:r>
              <w:rPr>
                <w:rFonts w:hint="eastAsia" w:cs="Times New Roman"/>
                <w:color w:val="auto"/>
                <w:kern w:val="0"/>
                <w:sz w:val="24"/>
                <w:szCs w:val="22"/>
                <w:lang w:val="en-US" w:eastAsia="zh-CN" w:bidi="ar-SA"/>
              </w:rPr>
              <w:t>经管道</w:t>
            </w:r>
            <w:r>
              <w:rPr>
                <w:rFonts w:hint="eastAsia" w:ascii="Times New Roman" w:hAnsi="Times New Roman" w:eastAsia="宋体" w:cs="Times New Roman"/>
                <w:color w:val="auto"/>
                <w:kern w:val="0"/>
                <w:sz w:val="24"/>
                <w:szCs w:val="22"/>
                <w:lang w:val="en-US" w:eastAsia="zh-CN" w:bidi="ar-SA"/>
              </w:rPr>
              <w:t>排往废气处理装置，部分随产品从出料口逸散，由出料口集气罩收集经管道排往废气处理装置。非生产时间，沥青储罐处于密封状态，有机热载体炉不对沥青储罐加热。此时沥青挥发性极低，基本不产生呼吸废气。</w:t>
            </w:r>
            <w:r>
              <w:rPr>
                <w:rFonts w:hint="eastAsia" w:ascii="Times New Roman" w:hAnsi="Times New Roman" w:eastAsia="宋体" w:cs="Times New Roman"/>
                <w:i w:val="0"/>
                <w:color w:val="auto"/>
                <w:kern w:val="0"/>
                <w:sz w:val="24"/>
                <w:szCs w:val="22"/>
                <w:lang w:val="en-US" w:eastAsia="zh-CN" w:bidi="ar-SA"/>
              </w:rPr>
              <w:t>在</w:t>
            </w:r>
            <w:r>
              <w:rPr>
                <w:rFonts w:hint="eastAsia" w:cs="Times New Roman"/>
                <w:i w:val="0"/>
                <w:color w:val="auto"/>
                <w:kern w:val="0"/>
                <w:sz w:val="24"/>
                <w:szCs w:val="22"/>
                <w:lang w:val="en-US" w:eastAsia="zh-CN" w:bidi="ar-SA"/>
              </w:rPr>
              <w:t>生产</w:t>
            </w:r>
            <w:r>
              <w:rPr>
                <w:rFonts w:hint="eastAsia" w:ascii="Times New Roman" w:hAnsi="Times New Roman" w:eastAsia="宋体" w:cs="Times New Roman"/>
                <w:i w:val="0"/>
                <w:color w:val="auto"/>
                <w:kern w:val="0"/>
                <w:sz w:val="24"/>
                <w:szCs w:val="22"/>
                <w:lang w:val="en-US" w:eastAsia="zh-CN" w:bidi="ar-SA"/>
              </w:rPr>
              <w:t>过程中，沥青储罐废气产生情况如下：</w:t>
            </w:r>
          </w:p>
          <w:p w14:paraId="424FAEA6">
            <w:pPr>
              <w:widowControl/>
              <w:overflowPunct w:val="0"/>
              <w:ind w:firstLine="480"/>
              <w:rPr>
                <w:color w:val="auto"/>
                <w:kern w:val="0"/>
                <w:lang w:bidi="ar"/>
              </w:rPr>
            </w:pPr>
            <w:r>
              <w:rPr>
                <w:b/>
                <w:bCs/>
                <w:kern w:val="0"/>
                <w:lang w:bidi="ar"/>
              </w:rPr>
              <w:t>沥青烟气</w:t>
            </w:r>
            <w:r>
              <w:rPr>
                <w:rFonts w:hint="eastAsia"/>
                <w:b w:val="0"/>
                <w:bCs w:val="0"/>
                <w:kern w:val="0"/>
                <w:lang w:eastAsia="zh-CN" w:bidi="ar"/>
              </w:rPr>
              <w:t>：</w:t>
            </w:r>
            <w:r>
              <w:rPr>
                <w:lang w:val="zh-CN"/>
              </w:rPr>
              <w:t>参考前苏联拉扎列夫主编的《工业生产中的有害物质手册》第一卷（化学工业出版社，1987年12月出版）及金相灿主编的《有机化合物污染化学》（清华大学出版社，1990年8月出版），每吨沥青在加热（150℃~1</w:t>
            </w:r>
            <w:r>
              <w:rPr>
                <w:rFonts w:hint="eastAsia"/>
              </w:rPr>
              <w:t>8</w:t>
            </w:r>
            <w:r>
              <w:rPr>
                <w:lang w:val="zh-CN"/>
              </w:rPr>
              <w:t>0℃）过</w:t>
            </w:r>
            <w:r>
              <w:rPr>
                <w:rFonts w:ascii="Times New Roman" w:hAnsi="Times New Roman" w:eastAsia="宋体" w:cs="Times New Roman"/>
                <w:lang w:val="zh-CN"/>
              </w:rPr>
              <w:t>程中可产生</w:t>
            </w:r>
            <w:r>
              <w:rPr>
                <w:rFonts w:hint="eastAsia" w:ascii="Times New Roman" w:hAnsi="Times New Roman" w:eastAsia="宋体" w:cs="Times New Roman"/>
                <w:lang w:val="en-US" w:eastAsia="zh-CN"/>
              </w:rPr>
              <w:t>56.25</w:t>
            </w:r>
            <w:r>
              <w:rPr>
                <w:rFonts w:ascii="Times New Roman" w:hAnsi="Times New Roman" w:eastAsia="宋体" w:cs="Times New Roman"/>
                <w:lang w:val="zh-CN"/>
              </w:rPr>
              <w:t>g沥青烟气。</w:t>
            </w:r>
            <w:r>
              <w:rPr>
                <w:rFonts w:hint="eastAsia" w:ascii="Times New Roman" w:hAnsi="Times New Roman" w:eastAsia="宋体" w:cs="Times New Roman"/>
                <w:lang w:val="zh-CN"/>
              </w:rPr>
              <w:t>项</w:t>
            </w:r>
            <w:r>
              <w:rPr>
                <w:rFonts w:hint="eastAsia"/>
                <w:kern w:val="0"/>
                <w:lang w:bidi="ar"/>
              </w:rPr>
              <w:t>目年运行180天，每天8h，则</w:t>
            </w:r>
            <w:r>
              <w:rPr>
                <w:rFonts w:hint="eastAsia"/>
                <w:kern w:val="0"/>
                <w:lang w:val="en-US" w:eastAsia="zh-CN" w:bidi="ar"/>
              </w:rPr>
              <w:t>项</w:t>
            </w:r>
            <w:r>
              <w:rPr>
                <w:rFonts w:hint="eastAsia"/>
                <w:color w:val="auto"/>
                <w:kern w:val="0"/>
                <w:lang w:val="en-US" w:eastAsia="zh-CN" w:bidi="ar"/>
              </w:rPr>
              <w:t>目</w:t>
            </w:r>
            <w:r>
              <w:rPr>
                <w:rFonts w:hint="eastAsia"/>
                <w:color w:val="auto"/>
                <w:szCs w:val="21"/>
                <w:lang w:val="en-US" w:eastAsia="zh-CN"/>
              </w:rPr>
              <w:t>沥青储罐废气中</w:t>
            </w:r>
            <w:r>
              <w:rPr>
                <w:rFonts w:hint="eastAsia"/>
                <w:color w:val="auto"/>
                <w:kern w:val="0"/>
                <w:lang w:bidi="ar"/>
              </w:rPr>
              <w:t>产生沥青烟量约为</w:t>
            </w:r>
            <w:r>
              <w:rPr>
                <w:rFonts w:hint="eastAsia"/>
                <w:color w:val="auto"/>
                <w:kern w:val="0"/>
                <w:lang w:val="en-US" w:eastAsia="zh-CN" w:bidi="ar"/>
              </w:rPr>
              <w:t>0.209</w:t>
            </w:r>
            <w:r>
              <w:rPr>
                <w:rFonts w:hint="eastAsia"/>
                <w:color w:val="auto"/>
                <w:kern w:val="0"/>
                <w:lang w:bidi="ar"/>
              </w:rPr>
              <w:t>t/a（</w:t>
            </w:r>
            <w:r>
              <w:rPr>
                <w:rFonts w:hint="eastAsia"/>
                <w:color w:val="auto"/>
                <w:kern w:val="0"/>
                <w:lang w:val="en-US" w:eastAsia="zh-CN" w:bidi="ar"/>
              </w:rPr>
              <w:t>0.145</w:t>
            </w:r>
            <w:r>
              <w:rPr>
                <w:rFonts w:hint="eastAsia"/>
                <w:color w:val="auto"/>
                <w:kern w:val="0"/>
                <w:lang w:bidi="ar"/>
              </w:rPr>
              <w:t>kg/h）。</w:t>
            </w:r>
          </w:p>
          <w:p w14:paraId="12BDD283">
            <w:pPr>
              <w:widowControl/>
              <w:overflowPunct w:val="0"/>
              <w:ind w:firstLine="480"/>
              <w:rPr>
                <w:color w:val="auto"/>
                <w:kern w:val="0"/>
                <w:lang w:bidi="ar"/>
              </w:rPr>
            </w:pPr>
            <w:r>
              <w:rPr>
                <w:b/>
                <w:bCs/>
                <w:kern w:val="0"/>
                <w:lang w:bidi="ar"/>
              </w:rPr>
              <w:t>非甲烷总烃</w:t>
            </w:r>
            <w:r>
              <w:rPr>
                <w:rFonts w:hint="eastAsia"/>
                <w:b w:val="0"/>
                <w:bCs w:val="0"/>
                <w:kern w:val="0"/>
                <w:lang w:eastAsia="zh-CN" w:bidi="ar"/>
              </w:rPr>
              <w:t>：</w:t>
            </w:r>
            <w:r>
              <w:rPr>
                <w:kern w:val="0"/>
                <w:lang w:bidi="ar"/>
              </w:rPr>
              <w:t>根据《沥青烟气净化研究》</w:t>
            </w:r>
            <w:r>
              <w:rPr>
                <w:rFonts w:hint="eastAsia"/>
                <w:kern w:val="0"/>
                <w:lang w:bidi="ar"/>
              </w:rPr>
              <w:t>（</w:t>
            </w:r>
            <w:r>
              <w:rPr>
                <w:kern w:val="0"/>
                <w:lang w:bidi="ar"/>
              </w:rPr>
              <w:t>李昌建等</w:t>
            </w:r>
            <w:r>
              <w:rPr>
                <w:rFonts w:hint="eastAsia"/>
                <w:kern w:val="0"/>
                <w:lang w:bidi="ar"/>
              </w:rPr>
              <w:t>，</w:t>
            </w:r>
            <w:r>
              <w:rPr>
                <w:kern w:val="0"/>
                <w:lang w:bidi="ar"/>
              </w:rPr>
              <w:t>全国恶臭污染测试与控制技术研讨会2005</w:t>
            </w:r>
            <w:r>
              <w:rPr>
                <w:rFonts w:hint="eastAsia"/>
                <w:kern w:val="0"/>
                <w:lang w:bidi="ar"/>
              </w:rPr>
              <w:t>）</w:t>
            </w:r>
            <w:r>
              <w:rPr>
                <w:kern w:val="0"/>
                <w:lang w:bidi="ar"/>
              </w:rPr>
              <w:t>，一般沥青烟气中含游离碳2.61%-40.7%，其余为多环芳烃类及其衍生物，结合《沥青搅拌设备沥青烟排放机理及控制研究》</w:t>
            </w:r>
            <w:r>
              <w:rPr>
                <w:rFonts w:hint="eastAsia"/>
                <w:kern w:val="0"/>
                <w:lang w:bidi="ar"/>
              </w:rPr>
              <w:t>（</w:t>
            </w:r>
            <w:r>
              <w:rPr>
                <w:kern w:val="0"/>
                <w:lang w:bidi="ar"/>
              </w:rPr>
              <w:t>长安大学专业硕士学位论文</w:t>
            </w:r>
            <w:r>
              <w:rPr>
                <w:rFonts w:hint="eastAsia"/>
                <w:kern w:val="0"/>
                <w:lang w:bidi="ar"/>
              </w:rPr>
              <w:t>，</w:t>
            </w:r>
            <w:r>
              <w:rPr>
                <w:kern w:val="0"/>
                <w:lang w:bidi="ar"/>
              </w:rPr>
              <w:t>焦信信</w:t>
            </w:r>
            <w:r>
              <w:rPr>
                <w:rFonts w:hint="eastAsia"/>
                <w:kern w:val="0"/>
                <w:lang w:bidi="ar"/>
              </w:rPr>
              <w:t>）</w:t>
            </w:r>
            <w:r>
              <w:rPr>
                <w:kern w:val="0"/>
                <w:lang w:bidi="ar"/>
              </w:rPr>
              <w:t>中的实验结论，沥青调配生产过程产生的沥青烟气中非甲烷总烃含量按70%计。</w:t>
            </w:r>
            <w:r>
              <w:rPr>
                <w:rFonts w:hint="eastAsia"/>
                <w:kern w:val="0"/>
                <w:lang w:bidi="ar"/>
              </w:rPr>
              <w:t>项目年运行180天，每天8h，则</w:t>
            </w:r>
            <w:r>
              <w:rPr>
                <w:rFonts w:hint="eastAsia"/>
                <w:color w:val="auto"/>
                <w:szCs w:val="21"/>
                <w:lang w:val="en-US" w:eastAsia="zh-CN"/>
              </w:rPr>
              <w:t>沥青储罐废气</w:t>
            </w:r>
            <w:r>
              <w:rPr>
                <w:rFonts w:hint="eastAsia"/>
                <w:color w:val="auto"/>
                <w:kern w:val="0"/>
                <w:lang w:bidi="ar"/>
              </w:rPr>
              <w:t>中产生非甲烷总烃量约为</w:t>
            </w:r>
            <w:r>
              <w:rPr>
                <w:rFonts w:hint="eastAsia"/>
                <w:color w:val="auto"/>
                <w:kern w:val="0"/>
                <w:lang w:val="en-US" w:eastAsia="zh-CN" w:bidi="ar"/>
              </w:rPr>
              <w:t>0.146</w:t>
            </w:r>
            <w:r>
              <w:rPr>
                <w:rFonts w:hint="eastAsia"/>
                <w:color w:val="auto"/>
                <w:kern w:val="0"/>
                <w:lang w:bidi="ar"/>
              </w:rPr>
              <w:t>t/a（</w:t>
            </w:r>
            <w:r>
              <w:rPr>
                <w:rFonts w:hint="eastAsia"/>
                <w:color w:val="auto"/>
                <w:kern w:val="0"/>
                <w:lang w:val="en-US" w:eastAsia="zh-CN" w:bidi="ar"/>
              </w:rPr>
              <w:t>0.101</w:t>
            </w:r>
            <w:r>
              <w:rPr>
                <w:rFonts w:hint="eastAsia"/>
                <w:color w:val="auto"/>
                <w:kern w:val="0"/>
                <w:lang w:bidi="ar"/>
              </w:rPr>
              <w:t>kg/h）。</w:t>
            </w:r>
          </w:p>
          <w:p w14:paraId="734E8F8A">
            <w:pPr>
              <w:widowControl/>
              <w:overflowPunct w:val="0"/>
              <w:ind w:firstLine="480"/>
              <w:rPr>
                <w:color w:val="auto"/>
              </w:rPr>
            </w:pPr>
            <w:r>
              <w:rPr>
                <w:b/>
                <w:bCs/>
              </w:rPr>
              <w:t>苯并[a]芘</w:t>
            </w:r>
            <w:r>
              <w:rPr>
                <w:rFonts w:hint="eastAsia"/>
                <w:lang w:eastAsia="zh-CN"/>
              </w:rPr>
              <w:t>：</w:t>
            </w:r>
            <w:r>
              <w:rPr>
                <w:rFonts w:hint="eastAsia"/>
                <w:kern w:val="0"/>
              </w:rPr>
              <w:t>参考《工业生产中的有害物质手册》第一卷（化学工业出版社，1987年12月出版）及《有机化合物污染化学》（清华大学出版社，1990年8月出版），每吨沥青在加热过程中产生苯并[a]芘气体约0.10g-0.15g</w:t>
            </w:r>
            <w:r>
              <w:rPr>
                <w:rFonts w:hint="eastAsia"/>
                <w:color w:val="auto"/>
                <w:kern w:val="0"/>
              </w:rPr>
              <w:t>。本次评价以0.1</w:t>
            </w:r>
            <w:r>
              <w:rPr>
                <w:rFonts w:hint="eastAsia"/>
                <w:color w:val="auto"/>
                <w:kern w:val="0"/>
                <w:lang w:val="en-US" w:eastAsia="zh-CN"/>
              </w:rPr>
              <w:t>0</w:t>
            </w:r>
            <w:r>
              <w:rPr>
                <w:rFonts w:hint="eastAsia"/>
                <w:color w:val="auto"/>
                <w:kern w:val="0"/>
              </w:rPr>
              <w:t>g计。</w:t>
            </w:r>
            <w:r>
              <w:rPr>
                <w:rFonts w:hint="eastAsia"/>
                <w:kern w:val="0"/>
                <w:lang w:bidi="ar"/>
              </w:rPr>
              <w:t>项目年运行180天，每天8h，则沥青加热及搅拌过程中产</w:t>
            </w:r>
            <w:r>
              <w:rPr>
                <w:rFonts w:hint="eastAsia"/>
                <w:color w:val="auto"/>
                <w:kern w:val="0"/>
                <w:lang w:bidi="ar"/>
              </w:rPr>
              <w:t>生</w:t>
            </w:r>
            <w:r>
              <w:rPr>
                <w:color w:val="auto"/>
              </w:rPr>
              <w:t>苯并[a]芘</w:t>
            </w:r>
            <w:r>
              <w:rPr>
                <w:rFonts w:hint="eastAsia"/>
                <w:color w:val="auto"/>
                <w:kern w:val="0"/>
                <w:lang w:bidi="ar"/>
              </w:rPr>
              <w:t>量约为</w:t>
            </w:r>
            <w:r>
              <w:rPr>
                <w:rFonts w:hint="eastAsia"/>
                <w:color w:val="auto"/>
                <w:kern w:val="0"/>
                <w:lang w:val="en-US" w:eastAsia="zh-CN" w:bidi="ar"/>
              </w:rPr>
              <w:t>4</w:t>
            </w:r>
            <w:r>
              <w:rPr>
                <w:rFonts w:hint="eastAsia"/>
                <w:color w:val="auto"/>
                <w:szCs w:val="24"/>
              </w:rPr>
              <w:t>×1</w:t>
            </w:r>
            <w:r>
              <w:rPr>
                <w:color w:val="auto"/>
                <w:szCs w:val="24"/>
              </w:rPr>
              <w:t>0</w:t>
            </w:r>
            <w:r>
              <w:rPr>
                <w:color w:val="auto"/>
                <w:szCs w:val="24"/>
                <w:vertAlign w:val="superscript"/>
              </w:rPr>
              <w:t>-4</w:t>
            </w:r>
            <w:r>
              <w:rPr>
                <w:rFonts w:hint="eastAsia"/>
                <w:color w:val="auto"/>
                <w:kern w:val="0"/>
                <w:lang w:bidi="ar"/>
              </w:rPr>
              <w:t>t/a（</w:t>
            </w:r>
            <w:r>
              <w:rPr>
                <w:rFonts w:hint="eastAsia"/>
                <w:color w:val="auto"/>
                <w:kern w:val="0"/>
                <w:lang w:val="en-US" w:eastAsia="zh-CN" w:bidi="ar"/>
              </w:rPr>
              <w:t>2.78</w:t>
            </w:r>
            <w:r>
              <w:rPr>
                <w:rFonts w:hint="eastAsia"/>
                <w:color w:val="auto"/>
                <w:szCs w:val="24"/>
              </w:rPr>
              <w:t>×1</w:t>
            </w:r>
            <w:r>
              <w:rPr>
                <w:color w:val="auto"/>
                <w:szCs w:val="24"/>
              </w:rPr>
              <w:t>0</w:t>
            </w:r>
            <w:r>
              <w:rPr>
                <w:color w:val="auto"/>
                <w:szCs w:val="24"/>
                <w:vertAlign w:val="superscript"/>
              </w:rPr>
              <w:t>-4</w:t>
            </w:r>
            <w:r>
              <w:rPr>
                <w:rFonts w:hint="eastAsia"/>
                <w:color w:val="auto"/>
                <w:kern w:val="0"/>
                <w:lang w:bidi="ar"/>
              </w:rPr>
              <w:t>kg/h）。</w:t>
            </w:r>
          </w:p>
          <w:p w14:paraId="5F3CF0A1">
            <w:pPr>
              <w:widowControl/>
              <w:overflowPunct w:val="0"/>
              <w:ind w:firstLine="480"/>
              <w:rPr>
                <w:rFonts w:hint="eastAsia"/>
                <w:color w:val="auto"/>
                <w:highlight w:val="none"/>
                <w:lang w:val="en-US" w:eastAsia="zh-CN"/>
              </w:rPr>
            </w:pPr>
            <w:r>
              <w:rPr>
                <w:rFonts w:hint="eastAsia"/>
                <w:color w:val="auto"/>
                <w:highlight w:val="none"/>
                <w:lang w:val="en-US" w:eastAsia="zh-CN"/>
              </w:rPr>
              <w:t>另外，搅拌器中有添加砂石料、矿粉等物料，在搅拌过程中有少量颗粒物产生，主要产生于砂石料、矿粉投加及搅拌过程中，</w:t>
            </w:r>
            <w:r>
              <w:rPr>
                <w:rFonts w:hint="eastAsia"/>
                <w:color w:val="auto"/>
              </w:rPr>
              <w:t>由于《排放源统计调查产排污核算方法和系数手册》中“3091石墨及碳素制品制造行业系数手册”系数表中没有相关产污系数，本项目根据《逸散性工业粉尘控制技术》原文 P326-327中“表 21-1 沥青混凝土制造厂的逸散性粉尘排放因子”，</w:t>
            </w:r>
            <w:r>
              <w:rPr>
                <w:rFonts w:hint="eastAsia" w:cs="Times New Roman"/>
                <w:color w:val="auto"/>
                <w:kern w:val="0"/>
                <w:sz w:val="24"/>
                <w:lang w:val="en-US" w:eastAsia="zh-CN" w:bidi="ar"/>
              </w:rPr>
              <w:t>送料过程中</w:t>
            </w:r>
            <w:r>
              <w:rPr>
                <w:rFonts w:hint="eastAsia"/>
                <w:color w:val="auto"/>
              </w:rPr>
              <w:t>逸散粉尘排放因子为0.0</w:t>
            </w:r>
            <w:r>
              <w:rPr>
                <w:rFonts w:hint="eastAsia"/>
                <w:color w:val="auto"/>
                <w:lang w:val="en-US" w:eastAsia="zh-CN"/>
              </w:rPr>
              <w:t>2</w:t>
            </w:r>
            <w:r>
              <w:rPr>
                <w:rFonts w:hint="eastAsia"/>
                <w:color w:val="auto"/>
              </w:rPr>
              <w:t>kg/t</w:t>
            </w:r>
            <w:r>
              <w:rPr>
                <w:rFonts w:hint="eastAsia"/>
                <w:color w:val="auto"/>
                <w:lang w:val="en-US" w:eastAsia="zh-CN"/>
              </w:rPr>
              <w:t>-</w:t>
            </w:r>
            <w:r>
              <w:rPr>
                <w:rFonts w:ascii="Times New Roman" w:hAnsi="Times New Roman" w:eastAsia="宋体" w:cs="Times New Roman"/>
                <w:color w:val="auto"/>
                <w:kern w:val="0"/>
                <w:sz w:val="24"/>
                <w:lang w:bidi="ar"/>
              </w:rPr>
              <w:t>原料</w:t>
            </w:r>
            <w:r>
              <w:rPr>
                <w:rFonts w:hint="eastAsia" w:cs="Times New Roman"/>
                <w:color w:val="auto"/>
                <w:kern w:val="0"/>
                <w:sz w:val="24"/>
                <w:lang w:val="en-US" w:eastAsia="zh-CN" w:bidi="ar"/>
              </w:rPr>
              <w:t>，</w:t>
            </w:r>
            <w:r>
              <w:rPr>
                <w:rFonts w:hint="eastAsia"/>
                <w:color w:val="auto"/>
                <w:highlight w:val="none"/>
                <w:lang w:val="en-US" w:eastAsia="zh-CN"/>
              </w:rPr>
              <w:t>项目搅拌器中加入骨料量约92000t/a、矿粉4000t/a，则投加物料粉尘产生量为1.96t/a，产生速率1.361kg/h。</w:t>
            </w:r>
          </w:p>
          <w:p w14:paraId="47888CC5">
            <w:pPr>
              <w:widowControl/>
              <w:overflowPunct w:val="0"/>
              <w:ind w:firstLine="480"/>
              <w:rPr>
                <w:rFonts w:hint="eastAsia" w:eastAsia="宋体"/>
                <w:color w:val="auto"/>
                <w:lang w:val="en-US" w:eastAsia="zh-CN"/>
              </w:rPr>
            </w:pPr>
            <w:r>
              <w:rPr>
                <w:rFonts w:hint="eastAsia" w:ascii="Times New Roman" w:hAnsi="Times New Roman" w:eastAsia="宋体" w:cs="Times New Roman"/>
                <w:b/>
                <w:bCs/>
                <w:i w:val="0"/>
                <w:color w:val="000000" w:themeColor="text1"/>
                <w:kern w:val="0"/>
                <w:sz w:val="24"/>
                <w:szCs w:val="22"/>
                <w:highlight w:val="none"/>
                <w:lang w:val="en-US" w:eastAsia="zh-CN" w:bidi="ar"/>
                <w14:textFill>
                  <w14:solidFill>
                    <w14:schemeClr w14:val="tx1"/>
                  </w14:solidFill>
                </w14:textFill>
              </w:rPr>
              <w:t>综上所述</w:t>
            </w:r>
            <w:r>
              <w:rPr>
                <w:rFonts w:hint="eastAsia" w:ascii="Times New Roman" w:hAnsi="Times New Roman" w:eastAsia="宋体" w:cs="Times New Roman"/>
                <w:b w:val="0"/>
                <w:bCs w:val="0"/>
                <w:i w:val="0"/>
                <w:color w:val="000000" w:themeColor="text1"/>
                <w:kern w:val="0"/>
                <w:sz w:val="24"/>
                <w:szCs w:val="22"/>
                <w:highlight w:val="none"/>
                <w:lang w:val="en-US" w:eastAsia="zh-CN" w:bidi="ar"/>
                <w14:textFill>
                  <w14:solidFill>
                    <w14:schemeClr w14:val="tx1"/>
                  </w14:solidFill>
                </w14:textFill>
              </w:rPr>
              <w:t>，项目沥青加热、搅拌</w:t>
            </w:r>
            <w:r>
              <w:rPr>
                <w:rFonts w:hint="eastAsia" w:cs="Times New Roman"/>
                <w:b w:val="0"/>
                <w:bCs w:val="0"/>
                <w:i w:val="0"/>
                <w:color w:val="000000" w:themeColor="text1"/>
                <w:kern w:val="0"/>
                <w:sz w:val="24"/>
                <w:szCs w:val="22"/>
                <w:highlight w:val="none"/>
                <w:lang w:val="en-US" w:eastAsia="zh-CN" w:bidi="ar"/>
                <w14:textFill>
                  <w14:solidFill>
                    <w14:schemeClr w14:val="tx1"/>
                  </w14:solidFill>
                </w14:textFill>
              </w:rPr>
              <w:t>和</w:t>
            </w:r>
            <w:r>
              <w:rPr>
                <w:rFonts w:hint="eastAsia" w:ascii="Times New Roman" w:hAnsi="Times New Roman" w:eastAsia="宋体" w:cs="Times New Roman"/>
                <w:b w:val="0"/>
                <w:bCs w:val="0"/>
                <w:i w:val="0"/>
                <w:color w:val="000000" w:themeColor="text1"/>
                <w:kern w:val="0"/>
                <w:sz w:val="24"/>
                <w:szCs w:val="22"/>
                <w:highlight w:val="none"/>
                <w:lang w:val="en-US" w:eastAsia="zh-CN" w:bidi="ar"/>
                <w14:textFill>
                  <w14:solidFill>
                    <w14:schemeClr w14:val="tx1"/>
                  </w14:solidFill>
                </w14:textFill>
              </w:rPr>
              <w:t>出料</w:t>
            </w:r>
            <w:r>
              <w:rPr>
                <w:rFonts w:hint="eastAsia" w:cs="Times New Roman"/>
                <w:b w:val="0"/>
                <w:bCs w:val="0"/>
                <w:i w:val="0"/>
                <w:color w:val="000000" w:themeColor="text1"/>
                <w:kern w:val="0"/>
                <w:sz w:val="24"/>
                <w:szCs w:val="22"/>
                <w:highlight w:val="none"/>
                <w:lang w:val="en-US" w:eastAsia="zh-CN" w:bidi="ar"/>
                <w14:textFill>
                  <w14:solidFill>
                    <w14:schemeClr w14:val="tx1"/>
                  </w14:solidFill>
                </w14:textFill>
              </w:rPr>
              <w:t>口逸散</w:t>
            </w:r>
            <w:r>
              <w:rPr>
                <w:rFonts w:hint="eastAsia" w:ascii="Times New Roman" w:hAnsi="Times New Roman" w:eastAsia="宋体" w:cs="Times New Roman"/>
                <w:b w:val="0"/>
                <w:bCs w:val="0"/>
                <w:i w:val="0"/>
                <w:color w:val="000000" w:themeColor="text1"/>
                <w:kern w:val="0"/>
                <w:sz w:val="24"/>
                <w:szCs w:val="22"/>
                <w:highlight w:val="none"/>
                <w:lang w:val="en-US" w:eastAsia="zh-CN" w:bidi="ar"/>
                <w14:textFill>
                  <w14:solidFill>
                    <w14:schemeClr w14:val="tx1"/>
                  </w14:solidFill>
                </w14:textFill>
              </w:rPr>
              <w:t>废气</w:t>
            </w:r>
            <w:r>
              <w:rPr>
                <w:rFonts w:hint="eastAsia" w:cs="Times New Roman"/>
                <w:b w:val="0"/>
                <w:bCs w:val="0"/>
                <w:i w:val="0"/>
                <w:color w:val="000000" w:themeColor="text1"/>
                <w:kern w:val="0"/>
                <w:sz w:val="24"/>
                <w:szCs w:val="22"/>
                <w:highlight w:val="none"/>
                <w:lang w:val="en-US" w:eastAsia="zh-CN" w:bidi="ar"/>
                <w14:textFill>
                  <w14:solidFill>
                    <w14:schemeClr w14:val="tx1"/>
                  </w14:solidFill>
                </w14:textFill>
              </w:rPr>
              <w:t>情况：</w:t>
            </w:r>
            <w:r>
              <w:rPr>
                <w:rFonts w:hint="eastAsia"/>
                <w:color w:val="auto"/>
                <w:lang w:val="en-US" w:eastAsia="zh-CN"/>
              </w:rPr>
              <w:t>沥青烟</w:t>
            </w:r>
            <w:r>
              <w:rPr>
                <w:rFonts w:hint="eastAsia"/>
                <w:color w:val="auto"/>
                <w:kern w:val="0"/>
                <w:lang w:val="en-US" w:eastAsia="zh-CN" w:bidi="ar"/>
              </w:rPr>
              <w:t>0.209</w:t>
            </w:r>
            <w:r>
              <w:rPr>
                <w:rFonts w:hint="eastAsia"/>
                <w:color w:val="auto"/>
                <w:kern w:val="0"/>
                <w:lang w:bidi="ar"/>
              </w:rPr>
              <w:t>t/a（</w:t>
            </w:r>
            <w:r>
              <w:rPr>
                <w:rFonts w:hint="eastAsia" w:eastAsia="宋体" w:cs="Times New Roman"/>
                <w:bCs/>
                <w:color w:val="auto"/>
                <w:szCs w:val="21"/>
                <w:highlight w:val="none"/>
                <w:vertAlign w:val="baseline"/>
                <w:lang w:val="en-US" w:eastAsia="zh-CN"/>
              </w:rPr>
              <w:t>排放速率</w:t>
            </w:r>
            <w:r>
              <w:rPr>
                <w:rFonts w:hint="eastAsia"/>
                <w:color w:val="auto"/>
                <w:kern w:val="0"/>
                <w:lang w:val="en-US" w:eastAsia="zh-CN" w:bidi="ar"/>
              </w:rPr>
              <w:t>0.145</w:t>
            </w:r>
            <w:r>
              <w:rPr>
                <w:rFonts w:hint="eastAsia"/>
                <w:color w:val="auto"/>
                <w:kern w:val="0"/>
                <w:lang w:bidi="ar"/>
              </w:rPr>
              <w:t>kg/h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color w:val="auto"/>
                <w:kern w:val="0"/>
                <w:sz w:val="24"/>
                <w:szCs w:val="22"/>
                <w:highlight w:val="none"/>
                <w:lang w:val="en-US" w:eastAsia="zh-CN" w:bidi="ar-SA"/>
              </w:rPr>
              <w:t>排放浓度14.5mg/m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olor w:val="auto"/>
                <w:kern w:val="0"/>
                <w:lang w:bidi="ar"/>
              </w:rPr>
              <w:t>）</w:t>
            </w:r>
            <w:r>
              <w:rPr>
                <w:rFonts w:hint="eastAsia"/>
                <w:color w:val="auto"/>
                <w:kern w:val="0"/>
                <w:lang w:eastAsia="zh-CN" w:bidi="ar"/>
              </w:rPr>
              <w:t>，</w:t>
            </w:r>
            <w:r>
              <w:rPr>
                <w:rFonts w:hint="eastAsia"/>
                <w:color w:val="auto"/>
                <w:kern w:val="0"/>
                <w:lang w:bidi="ar"/>
              </w:rPr>
              <w:t>非甲烷总烃量</w:t>
            </w:r>
            <w:r>
              <w:rPr>
                <w:rFonts w:hint="eastAsia"/>
                <w:color w:val="auto"/>
                <w:kern w:val="0"/>
                <w:lang w:val="en-US" w:eastAsia="zh-CN" w:bidi="ar"/>
              </w:rPr>
              <w:t>0.146</w:t>
            </w:r>
            <w:r>
              <w:rPr>
                <w:rFonts w:hint="eastAsia"/>
                <w:color w:val="auto"/>
                <w:kern w:val="0"/>
                <w:lang w:bidi="ar"/>
              </w:rPr>
              <w:t>t/a（</w:t>
            </w:r>
            <w:r>
              <w:rPr>
                <w:rFonts w:hint="eastAsia" w:eastAsia="宋体" w:cs="Times New Roman"/>
                <w:bCs/>
                <w:color w:val="auto"/>
                <w:szCs w:val="21"/>
                <w:highlight w:val="none"/>
                <w:vertAlign w:val="baseline"/>
                <w:lang w:val="en-US" w:eastAsia="zh-CN"/>
              </w:rPr>
              <w:t>排放速率</w:t>
            </w:r>
            <w:r>
              <w:rPr>
                <w:rFonts w:hint="eastAsia"/>
                <w:color w:val="auto"/>
                <w:kern w:val="0"/>
                <w:lang w:val="en-US" w:eastAsia="zh-CN" w:bidi="ar"/>
              </w:rPr>
              <w:t>0.101</w:t>
            </w:r>
            <w:r>
              <w:rPr>
                <w:rFonts w:hint="eastAsia"/>
                <w:color w:val="auto"/>
                <w:kern w:val="0"/>
                <w:lang w:bidi="ar"/>
              </w:rPr>
              <w:t>kg/h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color w:val="auto"/>
                <w:kern w:val="0"/>
                <w:sz w:val="24"/>
                <w:szCs w:val="22"/>
                <w:highlight w:val="none"/>
                <w:lang w:val="en-US" w:eastAsia="zh-CN" w:bidi="ar-SA"/>
              </w:rPr>
              <w:t>排放浓度10.1mg/m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olor w:val="auto"/>
                <w:kern w:val="0"/>
                <w:lang w:bidi="ar"/>
              </w:rPr>
              <w:t>）</w:t>
            </w:r>
            <w:r>
              <w:rPr>
                <w:rFonts w:hint="eastAsia"/>
                <w:color w:val="auto"/>
                <w:kern w:val="0"/>
                <w:lang w:eastAsia="zh-CN" w:bidi="ar"/>
              </w:rPr>
              <w:t>，</w:t>
            </w:r>
            <w:r>
              <w:rPr>
                <w:color w:val="auto"/>
              </w:rPr>
              <w:t>苯并[a]芘</w:t>
            </w:r>
            <w:r>
              <w:rPr>
                <w:rFonts w:hint="eastAsia"/>
                <w:color w:val="auto"/>
                <w:kern w:val="0"/>
                <w:lang w:bidi="ar"/>
              </w:rPr>
              <w:t>量约为</w:t>
            </w:r>
            <w:r>
              <w:rPr>
                <w:rFonts w:hint="eastAsia"/>
                <w:color w:val="auto"/>
                <w:kern w:val="0"/>
                <w:lang w:val="en-US" w:eastAsia="zh-CN" w:bidi="ar"/>
              </w:rPr>
              <w:t>4</w:t>
            </w:r>
            <w:r>
              <w:rPr>
                <w:rFonts w:hint="eastAsia"/>
                <w:color w:val="auto"/>
                <w:szCs w:val="24"/>
              </w:rPr>
              <w:t>×1</w:t>
            </w:r>
            <w:r>
              <w:rPr>
                <w:color w:val="auto"/>
                <w:szCs w:val="24"/>
              </w:rPr>
              <w:t>0</w:t>
            </w:r>
            <w:r>
              <w:rPr>
                <w:color w:val="auto"/>
                <w:szCs w:val="24"/>
                <w:vertAlign w:val="superscript"/>
              </w:rPr>
              <w:t>-4</w:t>
            </w:r>
            <w:r>
              <w:rPr>
                <w:rFonts w:hint="eastAsia"/>
                <w:color w:val="auto"/>
                <w:kern w:val="0"/>
                <w:lang w:bidi="ar"/>
              </w:rPr>
              <w:t>t/a（</w:t>
            </w:r>
            <w:r>
              <w:rPr>
                <w:rFonts w:hint="eastAsia" w:eastAsia="宋体" w:cs="Times New Roman"/>
                <w:bCs/>
                <w:color w:val="auto"/>
                <w:szCs w:val="21"/>
                <w:highlight w:val="none"/>
                <w:vertAlign w:val="baseline"/>
                <w:lang w:val="en-US" w:eastAsia="zh-CN"/>
              </w:rPr>
              <w:t>排放速率</w:t>
            </w:r>
            <w:r>
              <w:rPr>
                <w:rFonts w:hint="eastAsia"/>
                <w:color w:val="auto"/>
                <w:kern w:val="0"/>
                <w:lang w:val="en-US" w:eastAsia="zh-CN" w:bidi="ar"/>
              </w:rPr>
              <w:t>2.78</w:t>
            </w:r>
            <w:r>
              <w:rPr>
                <w:rFonts w:hint="eastAsia"/>
                <w:color w:val="auto"/>
                <w:szCs w:val="24"/>
              </w:rPr>
              <w:t>×1</w:t>
            </w:r>
            <w:r>
              <w:rPr>
                <w:color w:val="auto"/>
                <w:szCs w:val="24"/>
              </w:rPr>
              <w:t>0</w:t>
            </w:r>
            <w:r>
              <w:rPr>
                <w:color w:val="auto"/>
                <w:szCs w:val="24"/>
                <w:vertAlign w:val="superscript"/>
              </w:rPr>
              <w:t>-4</w:t>
            </w:r>
            <w:r>
              <w:rPr>
                <w:rFonts w:hint="eastAsia"/>
                <w:color w:val="auto"/>
                <w:kern w:val="0"/>
                <w:lang w:bidi="ar"/>
              </w:rPr>
              <w:t>kg/h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color w:val="auto"/>
                <w:kern w:val="0"/>
                <w:sz w:val="24"/>
                <w:szCs w:val="22"/>
                <w:highlight w:val="none"/>
                <w:lang w:val="en-US" w:eastAsia="zh-CN" w:bidi="ar-SA"/>
              </w:rPr>
              <w:t>排放浓度0.028mg/m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olor w:val="auto"/>
                <w:kern w:val="0"/>
                <w:lang w:bidi="ar"/>
              </w:rPr>
              <w:t>）</w:t>
            </w:r>
            <w:r>
              <w:rPr>
                <w:rFonts w:hint="eastAsia"/>
                <w:color w:val="auto"/>
                <w:kern w:val="0"/>
                <w:lang w:eastAsia="zh-CN" w:bidi="ar"/>
              </w:rPr>
              <w:t>，</w:t>
            </w:r>
            <w:r>
              <w:rPr>
                <w:rFonts w:hint="eastAsia"/>
                <w:color w:val="auto"/>
                <w:kern w:val="0"/>
                <w:lang w:val="en-US" w:eastAsia="zh-CN" w:bidi="ar"/>
              </w:rPr>
              <w:t>颗粒物1.96</w:t>
            </w:r>
            <w:r>
              <w:rPr>
                <w:rFonts w:hint="eastAsia"/>
                <w:color w:val="auto"/>
                <w:lang w:val="en-US" w:eastAsia="zh-CN"/>
              </w:rPr>
              <w:t>t/a（</w:t>
            </w:r>
            <w:r>
              <w:rPr>
                <w:rFonts w:hint="eastAsia" w:eastAsia="宋体" w:cs="Times New Roman"/>
                <w:bCs/>
                <w:color w:val="auto"/>
                <w:szCs w:val="21"/>
                <w:highlight w:val="none"/>
                <w:vertAlign w:val="baseline"/>
                <w:lang w:val="en-US" w:eastAsia="zh-CN"/>
              </w:rPr>
              <w:t>排放速率</w:t>
            </w:r>
            <w:r>
              <w:rPr>
                <w:rFonts w:hint="eastAsia"/>
                <w:color w:val="auto"/>
                <w:lang w:val="en-US" w:eastAsia="zh-CN"/>
              </w:rPr>
              <w:t>1.361kg/h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color w:val="auto"/>
                <w:kern w:val="0"/>
                <w:sz w:val="24"/>
                <w:szCs w:val="22"/>
                <w:highlight w:val="none"/>
                <w:lang w:val="en-US" w:eastAsia="zh-CN" w:bidi="ar-SA"/>
              </w:rPr>
              <w:t>排放浓度</w:t>
            </w:r>
            <w:r>
              <w:rPr>
                <w:rFonts w:hint="eastAsia" w:cs="Times New Roman"/>
                <w:color w:val="auto"/>
                <w:kern w:val="0"/>
                <w:sz w:val="24"/>
                <w:szCs w:val="22"/>
                <w:highlight w:val="none"/>
                <w:lang w:val="en-US" w:eastAsia="zh-CN" w:bidi="ar-SA"/>
              </w:rPr>
              <w:t>136.1</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olor w:val="auto"/>
                <w:lang w:val="en-US" w:eastAsia="zh-CN"/>
              </w:rPr>
              <w:t>）</w:t>
            </w:r>
            <w:r>
              <w:rPr>
                <w:rFonts w:hint="eastAsia"/>
                <w:color w:val="auto"/>
                <w:kern w:val="0"/>
                <w:lang w:val="en-US" w:eastAsia="zh-CN" w:bidi="ar"/>
              </w:rPr>
              <w:t>；项目沥青加热、搅拌设备均设有呼吸口，产生废气经呼吸口进入管道，对废气的收集率为100</w:t>
            </w:r>
            <w:r>
              <w:rPr>
                <w:rFonts w:hint="default" w:ascii="Times New Roman" w:hAnsi="Times New Roman" w:cs="Times New Roman"/>
                <w:color w:val="auto"/>
                <w:kern w:val="0"/>
                <w:lang w:val="en-US" w:eastAsia="zh-CN" w:bidi="ar"/>
              </w:rPr>
              <w:t>％</w:t>
            </w:r>
            <w:r>
              <w:rPr>
                <w:rFonts w:hint="eastAsia"/>
                <w:color w:val="auto"/>
                <w:kern w:val="0"/>
                <w:lang w:val="en-US" w:eastAsia="zh-CN" w:bidi="ar"/>
              </w:rPr>
              <w:t>，出料口设有集气罩负压收集，收集效率为90</w:t>
            </w:r>
            <w:r>
              <w:rPr>
                <w:rFonts w:hint="default" w:ascii="Times New Roman" w:hAnsi="Times New Roman" w:cs="Times New Roman"/>
                <w:color w:val="auto"/>
                <w:kern w:val="0"/>
                <w:lang w:val="en-US" w:eastAsia="zh-CN" w:bidi="ar"/>
              </w:rPr>
              <w:t>％</w:t>
            </w:r>
            <w:r>
              <w:rPr>
                <w:rFonts w:hint="eastAsia"/>
                <w:color w:val="auto"/>
                <w:kern w:val="0"/>
                <w:lang w:val="en-US" w:eastAsia="zh-CN" w:bidi="ar"/>
              </w:rPr>
              <w:t>，则以</w:t>
            </w:r>
            <w:r>
              <w:rPr>
                <w:rFonts w:hint="eastAsia" w:ascii="Times New Roman" w:hAnsi="Times New Roman" w:eastAsia="宋体" w:cs="Times New Roman"/>
                <w:b w:val="0"/>
                <w:bCs w:val="0"/>
                <w:i w:val="0"/>
                <w:color w:val="auto"/>
                <w:kern w:val="0"/>
                <w:sz w:val="24"/>
                <w:szCs w:val="22"/>
                <w:highlight w:val="none"/>
                <w:lang w:val="en-US" w:eastAsia="zh-CN" w:bidi="ar"/>
              </w:rPr>
              <w:t>沥青加热、搅拌</w:t>
            </w:r>
            <w:r>
              <w:rPr>
                <w:rFonts w:hint="eastAsia" w:cs="Times New Roman"/>
                <w:b w:val="0"/>
                <w:bCs w:val="0"/>
                <w:i w:val="0"/>
                <w:color w:val="auto"/>
                <w:kern w:val="0"/>
                <w:sz w:val="24"/>
                <w:szCs w:val="22"/>
                <w:highlight w:val="none"/>
                <w:lang w:val="en-US" w:eastAsia="zh-CN" w:bidi="ar"/>
              </w:rPr>
              <w:t>和</w:t>
            </w:r>
            <w:r>
              <w:rPr>
                <w:rFonts w:hint="eastAsia" w:ascii="Times New Roman" w:hAnsi="Times New Roman" w:eastAsia="宋体" w:cs="Times New Roman"/>
                <w:b w:val="0"/>
                <w:bCs w:val="0"/>
                <w:i w:val="0"/>
                <w:color w:val="auto"/>
                <w:kern w:val="0"/>
                <w:sz w:val="24"/>
                <w:szCs w:val="22"/>
                <w:highlight w:val="none"/>
                <w:lang w:val="en-US" w:eastAsia="zh-CN" w:bidi="ar"/>
              </w:rPr>
              <w:t>出料</w:t>
            </w:r>
            <w:r>
              <w:rPr>
                <w:rFonts w:hint="eastAsia" w:cs="Times New Roman"/>
                <w:b w:val="0"/>
                <w:bCs w:val="0"/>
                <w:i w:val="0"/>
                <w:color w:val="auto"/>
                <w:kern w:val="0"/>
                <w:sz w:val="24"/>
                <w:szCs w:val="22"/>
                <w:highlight w:val="none"/>
                <w:lang w:val="en-US" w:eastAsia="zh-CN" w:bidi="ar"/>
              </w:rPr>
              <w:t>口逸散</w:t>
            </w:r>
            <w:r>
              <w:rPr>
                <w:rFonts w:hint="eastAsia" w:ascii="Times New Roman" w:hAnsi="Times New Roman" w:eastAsia="宋体" w:cs="Times New Roman"/>
                <w:b w:val="0"/>
                <w:bCs w:val="0"/>
                <w:i w:val="0"/>
                <w:color w:val="auto"/>
                <w:kern w:val="0"/>
                <w:sz w:val="24"/>
                <w:szCs w:val="22"/>
                <w:highlight w:val="none"/>
                <w:lang w:val="en-US" w:eastAsia="zh-CN" w:bidi="ar"/>
              </w:rPr>
              <w:t>废气的</w:t>
            </w:r>
            <w:r>
              <w:rPr>
                <w:rFonts w:hint="eastAsia" w:cs="Times New Roman"/>
                <w:b w:val="0"/>
                <w:bCs w:val="0"/>
                <w:i w:val="0"/>
                <w:color w:val="auto"/>
                <w:kern w:val="0"/>
                <w:sz w:val="24"/>
                <w:szCs w:val="22"/>
                <w:highlight w:val="none"/>
                <w:lang w:val="en-US" w:eastAsia="zh-CN" w:bidi="ar"/>
              </w:rPr>
              <w:t>综合</w:t>
            </w:r>
            <w:r>
              <w:rPr>
                <w:rFonts w:hint="eastAsia" w:ascii="Times New Roman" w:hAnsi="Times New Roman" w:eastAsia="宋体" w:cs="Times New Roman"/>
                <w:b w:val="0"/>
                <w:bCs w:val="0"/>
                <w:i w:val="0"/>
                <w:color w:val="auto"/>
                <w:kern w:val="0"/>
                <w:sz w:val="24"/>
                <w:szCs w:val="22"/>
                <w:highlight w:val="none"/>
                <w:lang w:val="en-US" w:eastAsia="zh-CN" w:bidi="ar"/>
              </w:rPr>
              <w:t>收集</w:t>
            </w:r>
            <w:r>
              <w:rPr>
                <w:rFonts w:hint="eastAsia" w:cs="Times New Roman"/>
                <w:b w:val="0"/>
                <w:bCs w:val="0"/>
                <w:i w:val="0"/>
                <w:color w:val="auto"/>
                <w:kern w:val="0"/>
                <w:sz w:val="24"/>
                <w:szCs w:val="22"/>
                <w:highlight w:val="none"/>
                <w:lang w:val="en-US" w:eastAsia="zh-CN" w:bidi="ar"/>
              </w:rPr>
              <w:t>效率</w:t>
            </w:r>
            <w:r>
              <w:rPr>
                <w:rFonts w:hint="eastAsia" w:ascii="Times New Roman" w:hAnsi="Times New Roman" w:eastAsia="宋体" w:cs="Times New Roman"/>
                <w:b w:val="0"/>
                <w:bCs w:val="0"/>
                <w:i w:val="0"/>
                <w:color w:val="auto"/>
                <w:kern w:val="0"/>
                <w:sz w:val="24"/>
                <w:szCs w:val="22"/>
                <w:highlight w:val="none"/>
                <w:lang w:val="en-US" w:eastAsia="zh-CN" w:bidi="ar"/>
              </w:rPr>
              <w:t>为</w:t>
            </w:r>
            <w:r>
              <w:rPr>
                <w:rFonts w:hint="eastAsia" w:cs="Times New Roman"/>
                <w:b w:val="0"/>
                <w:bCs w:val="0"/>
                <w:i w:val="0"/>
                <w:color w:val="auto"/>
                <w:kern w:val="0"/>
                <w:sz w:val="24"/>
                <w:szCs w:val="22"/>
                <w:highlight w:val="none"/>
                <w:lang w:val="en-US" w:eastAsia="zh-CN" w:bidi="ar"/>
              </w:rPr>
              <w:t>95</w:t>
            </w:r>
            <w:r>
              <w:rPr>
                <w:rFonts w:hint="default" w:ascii="Times New Roman" w:hAnsi="Times New Roman" w:cs="Times New Roman"/>
                <w:color w:val="auto"/>
                <w:kern w:val="0"/>
                <w:lang w:val="en-US" w:eastAsia="zh-CN" w:bidi="ar"/>
              </w:rPr>
              <w:t>％</w:t>
            </w:r>
            <w:r>
              <w:rPr>
                <w:rFonts w:hint="eastAsia" w:ascii="Times New Roman" w:hAnsi="Times New Roman" w:cs="Times New Roman"/>
                <w:color w:val="auto"/>
                <w:kern w:val="0"/>
                <w:lang w:val="en-US" w:eastAsia="zh-CN" w:bidi="ar"/>
              </w:rPr>
              <w:t>计</w:t>
            </w:r>
            <w:r>
              <w:rPr>
                <w:rFonts w:hint="eastAsia" w:ascii="Times New Roman" w:hAnsi="Times New Roman" w:eastAsia="宋体" w:cs="Times New Roman"/>
                <w:b w:val="0"/>
                <w:bCs w:val="0"/>
                <w:i w:val="0"/>
                <w:color w:val="auto"/>
                <w:kern w:val="0"/>
                <w:sz w:val="24"/>
                <w:szCs w:val="22"/>
                <w:highlight w:val="none"/>
                <w:lang w:val="en-US" w:eastAsia="zh-CN" w:bidi="ar"/>
              </w:rPr>
              <w:t>，收集</w:t>
            </w:r>
            <w:r>
              <w:rPr>
                <w:rFonts w:hint="eastAsia" w:ascii="Times New Roman" w:hAnsi="Times New Roman" w:eastAsia="宋体" w:cs="Times New Roman"/>
                <w:color w:val="auto"/>
                <w:sz w:val="24"/>
                <w:lang w:val="en-US" w:eastAsia="zh-CN"/>
              </w:rPr>
              <w:t>后</w:t>
            </w:r>
            <w:r>
              <w:rPr>
                <w:rFonts w:hint="eastAsia" w:ascii="Times New Roman" w:hAnsi="Times New Roman" w:eastAsia="宋体" w:cs="Times New Roman"/>
                <w:color w:val="auto"/>
                <w:sz w:val="24"/>
              </w:rPr>
              <w:t>通</w:t>
            </w:r>
            <w:r>
              <w:rPr>
                <w:rFonts w:hint="eastAsia" w:ascii="宋体" w:hAnsi="宋体" w:eastAsia="宋体" w:cs="宋体"/>
                <w:color w:val="auto"/>
                <w:sz w:val="24"/>
              </w:rPr>
              <w:t>过</w:t>
            </w:r>
            <w:r>
              <w:rPr>
                <w:rFonts w:hint="eastAsia" w:ascii="宋体" w:hAnsi="宋体" w:eastAsia="宋体" w:cs="宋体"/>
                <w:color w:val="auto"/>
                <w:kern w:val="0"/>
                <w:sz w:val="24"/>
                <w:lang w:bidi="ar"/>
              </w:rPr>
              <w:t>“</w:t>
            </w:r>
            <w:r>
              <w:rPr>
                <w:rFonts w:hint="eastAsia" w:ascii="宋体" w:hAnsi="宋体" w:cs="宋体"/>
                <w:color w:val="auto"/>
                <w:kern w:val="0"/>
                <w:sz w:val="24"/>
                <w:lang w:val="en-US" w:eastAsia="zh-CN" w:bidi="ar"/>
              </w:rPr>
              <w:t>电捕焦油器+</w:t>
            </w:r>
            <w:r>
              <w:rPr>
                <w:rFonts w:ascii="Times New Roman" w:hAnsi="Times New Roman" w:eastAsia="宋体" w:cs="Times New Roman"/>
                <w:color w:val="auto"/>
                <w:kern w:val="0"/>
                <w:sz w:val="24"/>
                <w:lang w:bidi="ar"/>
              </w:rPr>
              <w:t>活性炭吸</w:t>
            </w:r>
            <w:r>
              <w:rPr>
                <w:rFonts w:hint="eastAsia" w:ascii="宋体" w:hAnsi="宋体" w:eastAsia="宋体" w:cs="宋体"/>
                <w:color w:val="auto"/>
                <w:kern w:val="0"/>
                <w:sz w:val="24"/>
                <w:lang w:bidi="ar"/>
              </w:rPr>
              <w:t>附”</w:t>
            </w:r>
            <w:r>
              <w:rPr>
                <w:rFonts w:hint="eastAsia" w:ascii="宋体" w:hAnsi="宋体" w:cs="宋体"/>
                <w:color w:val="auto"/>
                <w:kern w:val="0"/>
                <w:sz w:val="24"/>
                <w:lang w:val="en-US" w:eastAsia="zh-CN" w:bidi="ar"/>
              </w:rPr>
              <w:t>装置</w:t>
            </w:r>
            <w:r>
              <w:rPr>
                <w:rFonts w:ascii="Times New Roman" w:hAnsi="Times New Roman" w:eastAsia="宋体" w:cs="Times New Roman"/>
                <w:color w:val="auto"/>
                <w:kern w:val="0"/>
                <w:sz w:val="24"/>
                <w:lang w:bidi="ar"/>
              </w:rPr>
              <w:t>处理，由</w:t>
            </w:r>
            <w:r>
              <w:rPr>
                <w:rFonts w:hint="eastAsia" w:cs="Times New Roman"/>
                <w:color w:val="auto"/>
                <w:kern w:val="0"/>
                <w:sz w:val="24"/>
                <w:lang w:val="en-US" w:eastAsia="zh-CN" w:bidi="ar"/>
              </w:rPr>
              <w:t>一根</w:t>
            </w:r>
            <w:r>
              <w:rPr>
                <w:rFonts w:ascii="Times New Roman" w:hAnsi="Times New Roman" w:eastAsia="宋体" w:cs="Times New Roman"/>
                <w:color w:val="auto"/>
                <w:sz w:val="24"/>
                <w:lang w:val="zh-CN"/>
              </w:rPr>
              <w:t>高15m排气筒</w:t>
            </w: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rPr>
              <w:t>DA00</w:t>
            </w:r>
            <w:r>
              <w:rPr>
                <w:rFonts w:hint="eastAsia" w:cs="Times New Roman"/>
                <w:color w:val="auto"/>
                <w:sz w:val="24"/>
                <w:lang w:val="en-US" w:eastAsia="zh-CN"/>
              </w:rPr>
              <w:t>3</w:t>
            </w:r>
            <w:r>
              <w:rPr>
                <w:rFonts w:hint="eastAsia" w:ascii="Times New Roman" w:hAnsi="Times New Roman" w:eastAsia="宋体" w:cs="Times New Roman"/>
                <w:color w:val="auto"/>
                <w:sz w:val="24"/>
                <w:lang w:val="zh-CN"/>
              </w:rPr>
              <w:t>）</w:t>
            </w:r>
            <w:r>
              <w:rPr>
                <w:rFonts w:ascii="Times New Roman" w:hAnsi="Times New Roman" w:eastAsia="宋体" w:cs="Times New Roman"/>
                <w:color w:val="auto"/>
                <w:sz w:val="24"/>
                <w:lang w:val="zh-CN"/>
              </w:rPr>
              <w:t>排放。</w:t>
            </w:r>
            <w:r>
              <w:rPr>
                <w:rFonts w:ascii="Times New Roman" w:hAnsi="Times New Roman" w:eastAsia="宋体" w:cs="Times New Roman"/>
                <w:color w:val="auto"/>
                <w:sz w:val="24"/>
              </w:rPr>
              <w:t>项目</w:t>
            </w:r>
            <w:r>
              <w:rPr>
                <w:rFonts w:hint="eastAsia" w:ascii="Times New Roman" w:hAnsi="Times New Roman" w:eastAsia="宋体" w:cs="Times New Roman"/>
                <w:color w:val="auto"/>
                <w:kern w:val="0"/>
                <w:sz w:val="24"/>
                <w:lang w:bidi="ar"/>
              </w:rPr>
              <w:t>处理装置</w:t>
            </w:r>
            <w:r>
              <w:rPr>
                <w:rFonts w:ascii="Times New Roman" w:hAnsi="Times New Roman" w:eastAsia="宋体" w:cs="Times New Roman"/>
                <w:color w:val="auto"/>
                <w:kern w:val="0"/>
                <w:sz w:val="24"/>
                <w:lang w:bidi="ar"/>
              </w:rPr>
              <w:t>沥青烟去除效率</w:t>
            </w:r>
            <w:r>
              <w:rPr>
                <w:rFonts w:hint="eastAsia" w:cs="Times New Roman"/>
                <w:color w:val="auto"/>
                <w:kern w:val="0"/>
                <w:sz w:val="24"/>
                <w:highlight w:val="none"/>
                <w:lang w:val="en-US" w:eastAsia="zh-CN" w:bidi="ar"/>
              </w:rPr>
              <w:t>95</w:t>
            </w:r>
            <w:r>
              <w:rPr>
                <w:rFonts w:ascii="Times New Roman" w:hAnsi="Times New Roman" w:eastAsia="宋体" w:cs="Times New Roman"/>
                <w:color w:val="auto"/>
                <w:kern w:val="0"/>
                <w:sz w:val="24"/>
                <w:highlight w:val="none"/>
                <w:lang w:bidi="ar"/>
              </w:rPr>
              <w:t>%计，非甲烷总烃去除效率</w:t>
            </w:r>
            <w:r>
              <w:rPr>
                <w:rFonts w:hint="eastAsia" w:cs="Times New Roman"/>
                <w:color w:val="auto"/>
                <w:kern w:val="0"/>
                <w:sz w:val="24"/>
                <w:highlight w:val="none"/>
                <w:lang w:val="en-US" w:eastAsia="zh-CN" w:bidi="ar"/>
              </w:rPr>
              <w:t>80</w:t>
            </w:r>
            <w:r>
              <w:rPr>
                <w:rFonts w:ascii="Times New Roman" w:hAnsi="Times New Roman" w:eastAsia="宋体" w:cs="Times New Roman"/>
                <w:color w:val="auto"/>
                <w:kern w:val="0"/>
                <w:sz w:val="24"/>
                <w:highlight w:val="none"/>
                <w:lang w:bidi="ar"/>
              </w:rPr>
              <w:t>%计，</w:t>
            </w:r>
            <w:r>
              <w:rPr>
                <w:rFonts w:ascii="Times New Roman" w:hAnsi="Times New Roman" w:eastAsia="宋体" w:cs="Times New Roman"/>
                <w:color w:val="auto"/>
                <w:sz w:val="24"/>
                <w:highlight w:val="none"/>
              </w:rPr>
              <w:t>苯并[a]芘</w:t>
            </w:r>
            <w:r>
              <w:rPr>
                <w:rFonts w:ascii="Times New Roman" w:hAnsi="Times New Roman" w:eastAsia="宋体" w:cs="Times New Roman"/>
                <w:color w:val="auto"/>
                <w:kern w:val="0"/>
                <w:sz w:val="24"/>
                <w:highlight w:val="none"/>
                <w:lang w:bidi="ar"/>
              </w:rPr>
              <w:t>去除效率</w:t>
            </w:r>
            <w:r>
              <w:rPr>
                <w:rFonts w:hint="eastAsia" w:ascii="Times New Roman" w:hAnsi="Times New Roman" w:eastAsia="宋体" w:cs="Times New Roman"/>
                <w:color w:val="auto"/>
                <w:kern w:val="0"/>
                <w:sz w:val="24"/>
                <w:highlight w:val="none"/>
                <w:lang w:bidi="ar"/>
              </w:rPr>
              <w:t>9</w:t>
            </w:r>
            <w:r>
              <w:rPr>
                <w:rFonts w:hint="eastAsia" w:cs="Times New Roman"/>
                <w:color w:val="auto"/>
                <w:kern w:val="0"/>
                <w:sz w:val="24"/>
                <w:highlight w:val="none"/>
                <w:lang w:val="en-US" w:eastAsia="zh-CN" w:bidi="ar"/>
              </w:rPr>
              <w:t>8</w:t>
            </w:r>
            <w:r>
              <w:rPr>
                <w:rFonts w:ascii="Times New Roman" w:hAnsi="Times New Roman" w:eastAsia="宋体" w:cs="Times New Roman"/>
                <w:color w:val="auto"/>
                <w:kern w:val="0"/>
                <w:sz w:val="24"/>
                <w:highlight w:val="none"/>
                <w:lang w:bidi="ar"/>
              </w:rPr>
              <w:t>%</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颗粒物</w:t>
            </w:r>
            <w:r>
              <w:rPr>
                <w:rFonts w:ascii="Times New Roman" w:hAnsi="Times New Roman" w:eastAsia="宋体" w:cs="Times New Roman"/>
                <w:color w:val="auto"/>
                <w:kern w:val="0"/>
                <w:sz w:val="24"/>
                <w:highlight w:val="none"/>
                <w:lang w:bidi="ar"/>
              </w:rPr>
              <w:t>去除效率</w:t>
            </w:r>
            <w:r>
              <w:rPr>
                <w:rFonts w:hint="eastAsia" w:ascii="Times New Roman" w:hAnsi="Times New Roman" w:eastAsia="宋体" w:cs="Times New Roman"/>
                <w:color w:val="auto"/>
                <w:kern w:val="0"/>
                <w:sz w:val="24"/>
                <w:highlight w:val="none"/>
                <w:lang w:bidi="ar"/>
              </w:rPr>
              <w:t>9</w:t>
            </w:r>
            <w:r>
              <w:rPr>
                <w:rFonts w:hint="eastAsia" w:ascii="Times New Roman" w:hAnsi="Times New Roman" w:eastAsia="宋体" w:cs="Times New Roman"/>
                <w:color w:val="auto"/>
                <w:kern w:val="0"/>
                <w:sz w:val="24"/>
                <w:highlight w:val="none"/>
                <w:lang w:val="en-US" w:eastAsia="zh-CN" w:bidi="ar"/>
              </w:rPr>
              <w:t>0</w:t>
            </w:r>
            <w:r>
              <w:rPr>
                <w:rFonts w:ascii="Times New Roman" w:hAnsi="Times New Roman" w:eastAsia="宋体" w:cs="Times New Roman"/>
                <w:color w:val="auto"/>
                <w:kern w:val="0"/>
                <w:sz w:val="24"/>
                <w:highlight w:val="none"/>
                <w:lang w:bidi="ar"/>
              </w:rPr>
              <w:t>%计</w:t>
            </w:r>
            <w:r>
              <w:rPr>
                <w:rFonts w:hint="eastAsia" w:ascii="Times New Roman" w:hAnsi="Times New Roman" w:eastAsia="宋体" w:cs="Times New Roman"/>
                <w:color w:val="auto"/>
                <w:kern w:val="0"/>
                <w:sz w:val="24"/>
                <w:highlight w:val="none"/>
                <w:lang w:eastAsia="zh-CN" w:bidi="ar"/>
              </w:rPr>
              <w:t>，</w:t>
            </w:r>
            <w:r>
              <w:rPr>
                <w:rFonts w:hint="eastAsia" w:cs="Times New Roman"/>
                <w:color w:val="auto"/>
                <w:kern w:val="0"/>
                <w:sz w:val="24"/>
                <w:szCs w:val="22"/>
                <w:highlight w:val="none"/>
                <w:lang w:val="en-US" w:eastAsia="zh-CN" w:bidi="ar-SA"/>
              </w:rPr>
              <w:t>处理后</w:t>
            </w:r>
            <w:r>
              <w:rPr>
                <w:rFonts w:hint="eastAsia" w:ascii="Times New Roman" w:hAnsi="Times New Roman" w:eastAsia="宋体" w:cs="Times New Roman"/>
                <w:color w:val="auto"/>
                <w:kern w:val="0"/>
                <w:sz w:val="24"/>
                <w:szCs w:val="22"/>
                <w:highlight w:val="none"/>
                <w:lang w:val="en-US" w:eastAsia="zh-CN" w:bidi="ar-SA"/>
              </w:rPr>
              <w:t>排气筒DA003排放废气情况：</w:t>
            </w:r>
            <w:r>
              <w:rPr>
                <w:rFonts w:hint="eastAsia"/>
                <w:color w:val="auto"/>
                <w:lang w:val="en-US" w:eastAsia="zh-CN"/>
              </w:rPr>
              <w:t>沥青烟排放量0.010</w:t>
            </w:r>
            <w:r>
              <w:rPr>
                <w:rFonts w:hint="eastAsia"/>
                <w:color w:val="auto"/>
                <w:kern w:val="0"/>
                <w:lang w:val="en-US" w:eastAsia="zh-CN" w:bidi="ar"/>
              </w:rPr>
              <w:t>t</w:t>
            </w:r>
            <w:r>
              <w:rPr>
                <w:rFonts w:hint="eastAsia"/>
                <w:color w:val="auto"/>
                <w:kern w:val="0"/>
                <w:lang w:bidi="ar"/>
              </w:rPr>
              <w:t>/a（</w:t>
            </w:r>
            <w:r>
              <w:rPr>
                <w:rFonts w:hint="eastAsia" w:eastAsia="宋体" w:cs="Times New Roman"/>
                <w:bCs/>
                <w:color w:val="auto"/>
                <w:szCs w:val="21"/>
                <w:highlight w:val="none"/>
                <w:vertAlign w:val="baseline"/>
                <w:lang w:val="en-US" w:eastAsia="zh-CN"/>
              </w:rPr>
              <w:t>排放速率</w:t>
            </w:r>
            <w:r>
              <w:rPr>
                <w:rFonts w:hint="eastAsia"/>
                <w:color w:val="auto"/>
                <w:kern w:val="0"/>
                <w:lang w:val="en-US" w:eastAsia="zh-CN" w:bidi="ar"/>
              </w:rPr>
              <w:t>0.007k</w:t>
            </w:r>
            <w:r>
              <w:rPr>
                <w:rFonts w:hint="eastAsia"/>
                <w:color w:val="auto"/>
                <w:kern w:val="0"/>
                <w:lang w:bidi="ar"/>
              </w:rPr>
              <w:t>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color w:val="auto"/>
                <w:kern w:val="0"/>
                <w:sz w:val="24"/>
                <w:szCs w:val="22"/>
                <w:highlight w:val="none"/>
                <w:lang w:val="en-US" w:eastAsia="zh-CN" w:bidi="ar-SA"/>
              </w:rPr>
              <w:t>排放浓度0.</w:t>
            </w:r>
            <w:r>
              <w:rPr>
                <w:rFonts w:hint="eastAsia" w:cs="Times New Roman"/>
                <w:color w:val="auto"/>
                <w:kern w:val="0"/>
                <w:sz w:val="24"/>
                <w:szCs w:val="22"/>
                <w:highlight w:val="none"/>
                <w:lang w:val="en-US" w:eastAsia="zh-CN" w:bidi="ar-SA"/>
              </w:rPr>
              <w:t>10</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olor w:val="auto"/>
                <w:kern w:val="0"/>
                <w:lang w:bidi="ar"/>
              </w:rPr>
              <w:t>）</w:t>
            </w:r>
            <w:r>
              <w:rPr>
                <w:rFonts w:hint="eastAsia"/>
                <w:color w:val="auto"/>
                <w:kern w:val="0"/>
                <w:lang w:eastAsia="zh-CN" w:bidi="ar"/>
              </w:rPr>
              <w:t>；</w:t>
            </w:r>
            <w:r>
              <w:rPr>
                <w:rFonts w:hint="eastAsia"/>
                <w:color w:val="auto"/>
                <w:kern w:val="0"/>
                <w:lang w:bidi="ar"/>
              </w:rPr>
              <w:t>非甲烷总烃</w:t>
            </w:r>
            <w:r>
              <w:rPr>
                <w:rFonts w:hint="eastAsia"/>
                <w:color w:val="auto"/>
                <w:lang w:val="en-US" w:eastAsia="zh-CN"/>
              </w:rPr>
              <w:t>排放</w:t>
            </w:r>
            <w:r>
              <w:rPr>
                <w:rFonts w:hint="eastAsia"/>
                <w:color w:val="auto"/>
                <w:kern w:val="0"/>
                <w:lang w:bidi="ar"/>
              </w:rPr>
              <w:t>量</w:t>
            </w:r>
            <w:r>
              <w:rPr>
                <w:rFonts w:hint="eastAsia"/>
                <w:color w:val="auto"/>
                <w:kern w:val="0"/>
                <w:lang w:val="en-US" w:eastAsia="zh-CN" w:bidi="ar"/>
              </w:rPr>
              <w:t>0.028</w:t>
            </w:r>
            <w:r>
              <w:rPr>
                <w:rFonts w:hint="eastAsia"/>
                <w:color w:val="auto"/>
                <w:kern w:val="0"/>
                <w:lang w:bidi="ar"/>
              </w:rPr>
              <w:t>t/a（</w:t>
            </w:r>
            <w:r>
              <w:rPr>
                <w:rFonts w:hint="eastAsia" w:eastAsia="宋体" w:cs="Times New Roman"/>
                <w:bCs/>
                <w:color w:val="auto"/>
                <w:szCs w:val="21"/>
                <w:highlight w:val="none"/>
                <w:vertAlign w:val="baseline"/>
                <w:lang w:val="en-US" w:eastAsia="zh-CN"/>
              </w:rPr>
              <w:t>排放速率</w:t>
            </w:r>
            <w:r>
              <w:rPr>
                <w:rFonts w:hint="eastAsia"/>
                <w:color w:val="auto"/>
                <w:kern w:val="0"/>
                <w:lang w:val="en-US" w:eastAsia="zh-CN" w:bidi="ar"/>
              </w:rPr>
              <w:t>0.019k</w:t>
            </w:r>
            <w:r>
              <w:rPr>
                <w:rFonts w:hint="eastAsia"/>
                <w:color w:val="auto"/>
                <w:kern w:val="0"/>
                <w:lang w:bidi="ar"/>
              </w:rPr>
              <w:t>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color w:val="auto"/>
                <w:kern w:val="0"/>
                <w:sz w:val="24"/>
                <w:szCs w:val="22"/>
                <w:highlight w:val="none"/>
                <w:lang w:val="en-US" w:eastAsia="zh-CN" w:bidi="ar-SA"/>
              </w:rPr>
              <w:t>排放浓度</w:t>
            </w:r>
            <w:r>
              <w:rPr>
                <w:rFonts w:hint="eastAsia" w:cs="Times New Roman"/>
                <w:color w:val="auto"/>
                <w:kern w:val="0"/>
                <w:sz w:val="24"/>
                <w:szCs w:val="22"/>
                <w:highlight w:val="none"/>
                <w:lang w:val="en-US" w:eastAsia="zh-CN" w:bidi="ar-SA"/>
              </w:rPr>
              <w:t>0.271</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olor w:val="auto"/>
                <w:kern w:val="0"/>
                <w:lang w:bidi="ar"/>
              </w:rPr>
              <w:t>）</w:t>
            </w:r>
            <w:r>
              <w:rPr>
                <w:rFonts w:hint="eastAsia"/>
                <w:color w:val="auto"/>
                <w:kern w:val="0"/>
                <w:lang w:eastAsia="zh-CN" w:bidi="ar"/>
              </w:rPr>
              <w:t>；</w:t>
            </w:r>
            <w:r>
              <w:rPr>
                <w:color w:val="auto"/>
              </w:rPr>
              <w:t>苯并[a]芘</w:t>
            </w:r>
            <w:r>
              <w:rPr>
                <w:rFonts w:hint="eastAsia"/>
                <w:color w:val="auto"/>
                <w:kern w:val="0"/>
                <w:lang w:bidi="ar"/>
              </w:rPr>
              <w:t>量约为</w:t>
            </w:r>
            <w:r>
              <w:rPr>
                <w:rFonts w:hint="eastAsia"/>
                <w:color w:val="auto"/>
                <w:kern w:val="0"/>
                <w:lang w:val="en-US" w:eastAsia="zh-CN" w:bidi="ar"/>
              </w:rPr>
              <w:t>7.6</w:t>
            </w:r>
            <w:r>
              <w:rPr>
                <w:rFonts w:hint="eastAsia"/>
                <w:color w:val="auto"/>
                <w:szCs w:val="24"/>
              </w:rPr>
              <w:t>×1</w:t>
            </w:r>
            <w:r>
              <w:rPr>
                <w:color w:val="auto"/>
                <w:szCs w:val="24"/>
              </w:rPr>
              <w:t>0</w:t>
            </w:r>
            <w:r>
              <w:rPr>
                <w:color w:val="auto"/>
                <w:szCs w:val="24"/>
                <w:vertAlign w:val="superscript"/>
              </w:rPr>
              <w:t>-</w:t>
            </w:r>
            <w:r>
              <w:rPr>
                <w:rFonts w:hint="eastAsia"/>
                <w:color w:val="auto"/>
                <w:szCs w:val="24"/>
                <w:vertAlign w:val="superscript"/>
                <w:lang w:val="en-US" w:eastAsia="zh-CN"/>
              </w:rPr>
              <w:t>6</w:t>
            </w:r>
            <w:r>
              <w:rPr>
                <w:rFonts w:hint="eastAsia"/>
                <w:color w:val="auto"/>
                <w:kern w:val="0"/>
                <w:lang w:bidi="ar"/>
              </w:rPr>
              <w:t>t/a</w:t>
            </w:r>
            <w:r>
              <w:rPr>
                <w:rFonts w:hint="eastAsia"/>
                <w:color w:val="auto"/>
                <w:kern w:val="0"/>
                <w:lang w:eastAsia="zh-CN" w:bidi="ar"/>
              </w:rPr>
              <w:t>，</w:t>
            </w:r>
            <w:r>
              <w:rPr>
                <w:rFonts w:hint="eastAsia"/>
                <w:color w:val="auto"/>
                <w:kern w:val="0"/>
                <w:lang w:bidi="ar"/>
              </w:rPr>
              <w:t>（</w:t>
            </w:r>
            <w:r>
              <w:rPr>
                <w:rFonts w:hint="eastAsia" w:eastAsia="宋体" w:cs="Times New Roman"/>
                <w:bCs/>
                <w:color w:val="auto"/>
                <w:szCs w:val="21"/>
                <w:highlight w:val="none"/>
                <w:vertAlign w:val="baseline"/>
                <w:lang w:val="en-US" w:eastAsia="zh-CN"/>
              </w:rPr>
              <w:t>排放速率</w:t>
            </w:r>
            <w:r>
              <w:rPr>
                <w:rFonts w:hint="eastAsia"/>
                <w:color w:val="auto"/>
                <w:kern w:val="0"/>
                <w:lang w:val="en-US" w:eastAsia="zh-CN" w:bidi="ar"/>
              </w:rPr>
              <w:t>5.278</w:t>
            </w:r>
            <w:r>
              <w:rPr>
                <w:rFonts w:hint="eastAsia"/>
                <w:color w:val="auto"/>
                <w:szCs w:val="24"/>
              </w:rPr>
              <w:t>×1</w:t>
            </w:r>
            <w:r>
              <w:rPr>
                <w:color w:val="auto"/>
                <w:szCs w:val="24"/>
              </w:rPr>
              <w:t>0</w:t>
            </w:r>
            <w:r>
              <w:rPr>
                <w:color w:val="auto"/>
                <w:szCs w:val="24"/>
                <w:vertAlign w:val="superscript"/>
              </w:rPr>
              <w:t>-</w:t>
            </w:r>
            <w:r>
              <w:rPr>
                <w:rFonts w:hint="eastAsia"/>
                <w:color w:val="auto"/>
                <w:szCs w:val="24"/>
                <w:vertAlign w:val="superscript"/>
                <w:lang w:val="en-US" w:eastAsia="zh-CN"/>
              </w:rPr>
              <w:t>6</w:t>
            </w:r>
            <w:r>
              <w:rPr>
                <w:rFonts w:hint="eastAsia"/>
                <w:color w:val="auto"/>
                <w:kern w:val="0"/>
                <w:lang w:val="en-US" w:eastAsia="zh-CN" w:bidi="ar"/>
              </w:rPr>
              <w:t>k</w:t>
            </w:r>
            <w:r>
              <w:rPr>
                <w:rFonts w:hint="eastAsia"/>
                <w:color w:val="auto"/>
                <w:kern w:val="0"/>
                <w:lang w:bidi="ar"/>
              </w:rPr>
              <w:t>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color w:val="auto"/>
                <w:kern w:val="0"/>
                <w:sz w:val="24"/>
                <w:szCs w:val="22"/>
                <w:highlight w:val="none"/>
                <w:lang w:val="en-US" w:eastAsia="zh-CN" w:bidi="ar-SA"/>
              </w:rPr>
              <w:t>排放浓度</w:t>
            </w:r>
            <w:r>
              <w:rPr>
                <w:rFonts w:hint="eastAsia" w:cs="Times New Roman"/>
                <w:color w:val="auto"/>
                <w:kern w:val="0"/>
                <w:sz w:val="24"/>
                <w:szCs w:val="22"/>
                <w:highlight w:val="none"/>
                <w:lang w:val="en-US" w:eastAsia="zh-CN" w:bidi="ar-SA"/>
              </w:rPr>
              <w:t>7.528</w:t>
            </w:r>
            <w:r>
              <w:rPr>
                <w:rFonts w:hint="eastAsia"/>
                <w:color w:val="auto"/>
                <w:szCs w:val="24"/>
              </w:rPr>
              <w:t>×1</w:t>
            </w:r>
            <w:r>
              <w:rPr>
                <w:color w:val="auto"/>
                <w:szCs w:val="24"/>
              </w:rPr>
              <w:t>0</w:t>
            </w:r>
            <w:r>
              <w:rPr>
                <w:color w:val="auto"/>
                <w:szCs w:val="24"/>
                <w:vertAlign w:val="superscript"/>
              </w:rPr>
              <w:t>-</w:t>
            </w:r>
            <w:r>
              <w:rPr>
                <w:rFonts w:hint="eastAsia"/>
                <w:color w:val="auto"/>
                <w:szCs w:val="24"/>
                <w:vertAlign w:val="superscript"/>
                <w:lang w:val="en-US" w:eastAsia="zh-CN"/>
              </w:rPr>
              <w:t>5</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olor w:val="auto"/>
                <w:kern w:val="0"/>
                <w:lang w:bidi="ar"/>
              </w:rPr>
              <w:t>）</w:t>
            </w:r>
            <w:r>
              <w:rPr>
                <w:rFonts w:hint="eastAsia"/>
                <w:color w:val="auto"/>
                <w:kern w:val="0"/>
                <w:lang w:eastAsia="zh-CN" w:bidi="ar"/>
              </w:rPr>
              <w:t>，</w:t>
            </w:r>
            <w:r>
              <w:rPr>
                <w:rFonts w:hint="eastAsia"/>
                <w:color w:val="auto"/>
                <w:kern w:val="0"/>
                <w:lang w:val="en-US" w:eastAsia="zh-CN" w:bidi="ar"/>
              </w:rPr>
              <w:t>颗粒物0.186</w:t>
            </w:r>
            <w:r>
              <w:rPr>
                <w:rFonts w:hint="eastAsia"/>
                <w:color w:val="auto"/>
                <w:kern w:val="0"/>
                <w:lang w:bidi="ar"/>
              </w:rPr>
              <w:t>t/a（</w:t>
            </w:r>
            <w:r>
              <w:rPr>
                <w:rFonts w:hint="eastAsia" w:eastAsia="宋体" w:cs="Times New Roman"/>
                <w:bCs/>
                <w:color w:val="auto"/>
                <w:szCs w:val="21"/>
                <w:highlight w:val="none"/>
                <w:vertAlign w:val="baseline"/>
                <w:lang w:val="en-US" w:eastAsia="zh-CN"/>
              </w:rPr>
              <w:t>排放速率</w:t>
            </w:r>
            <w:r>
              <w:rPr>
                <w:rFonts w:hint="eastAsia"/>
                <w:color w:val="auto"/>
                <w:kern w:val="0"/>
                <w:lang w:val="en-US" w:eastAsia="zh-CN" w:bidi="ar"/>
              </w:rPr>
              <w:t>0.129k</w:t>
            </w:r>
            <w:r>
              <w:rPr>
                <w:rFonts w:hint="eastAsia"/>
                <w:color w:val="auto"/>
                <w:kern w:val="0"/>
                <w:lang w:bidi="ar"/>
              </w:rPr>
              <w:t>g/h</w:t>
            </w:r>
            <w:r>
              <w:rPr>
                <w:rFonts w:hint="eastAsia" w:cs="Times New Roman"/>
                <w:bCs/>
                <w:color w:val="auto"/>
                <w:szCs w:val="21"/>
                <w:highlight w:val="none"/>
                <w:vertAlign w:val="baseline"/>
                <w:lang w:val="en-US" w:eastAsia="zh-CN"/>
              </w:rPr>
              <w:t>，</w:t>
            </w:r>
            <w:r>
              <w:rPr>
                <w:rFonts w:hint="eastAsia" w:ascii="Times New Roman" w:hAnsi="Times New Roman" w:eastAsia="宋体" w:cs="Times New Roman"/>
                <w:color w:val="auto"/>
                <w:kern w:val="0"/>
                <w:sz w:val="24"/>
                <w:szCs w:val="22"/>
                <w:highlight w:val="none"/>
                <w:lang w:val="en-US" w:eastAsia="zh-CN" w:bidi="ar-SA"/>
              </w:rPr>
              <w:t>排放浓度</w:t>
            </w:r>
            <w:r>
              <w:rPr>
                <w:rFonts w:hint="eastAsia" w:cs="Times New Roman"/>
                <w:color w:val="auto"/>
                <w:kern w:val="0"/>
                <w:sz w:val="24"/>
                <w:szCs w:val="22"/>
                <w:highlight w:val="none"/>
                <w:lang w:val="en-US" w:eastAsia="zh-CN" w:bidi="ar-SA"/>
              </w:rPr>
              <w:t>1.840</w:t>
            </w:r>
            <w:r>
              <w:rPr>
                <w:rFonts w:hint="eastAsia" w:ascii="Times New Roman" w:hAnsi="Times New Roman" w:eastAsia="宋体" w:cs="Times New Roman"/>
                <w:color w:val="auto"/>
                <w:kern w:val="0"/>
                <w:sz w:val="24"/>
                <w:szCs w:val="22"/>
                <w:highlight w:val="none"/>
                <w:lang w:val="en-US" w:eastAsia="zh-CN" w:bidi="ar-SA"/>
              </w:rPr>
              <w:t>mg/m</w:t>
            </w:r>
            <w:r>
              <w:rPr>
                <w:rFonts w:hint="eastAsia" w:ascii="Times New Roman" w:hAnsi="Times New Roman" w:eastAsia="宋体" w:cs="Times New Roman"/>
                <w:color w:val="auto"/>
                <w:kern w:val="0"/>
                <w:sz w:val="24"/>
                <w:szCs w:val="22"/>
                <w:highlight w:val="none"/>
                <w:vertAlign w:val="superscript"/>
                <w:lang w:val="en-US" w:eastAsia="zh-CN" w:bidi="ar-SA"/>
              </w:rPr>
              <w:t>3</w:t>
            </w:r>
            <w:r>
              <w:rPr>
                <w:rFonts w:hint="eastAsia"/>
                <w:color w:val="auto"/>
                <w:kern w:val="0"/>
                <w:lang w:bidi="ar"/>
              </w:rPr>
              <w:t>）</w:t>
            </w:r>
            <w:r>
              <w:rPr>
                <w:rFonts w:hint="eastAsia"/>
                <w:color w:val="auto"/>
                <w:kern w:val="0"/>
                <w:lang w:eastAsia="zh-CN" w:bidi="ar"/>
              </w:rPr>
              <w:t>。</w:t>
            </w:r>
          </w:p>
          <w:p w14:paraId="24B3EB1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2、无组织废气</w:t>
            </w:r>
          </w:p>
          <w:p w14:paraId="75932FE3">
            <w:pPr>
              <w:pStyle w:val="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本项目运营期无组织废气主要为</w:t>
            </w:r>
            <w:r>
              <w:rPr>
                <w:rFonts w:hint="eastAsia" w:cs="Times New Roman"/>
                <w:color w:val="auto"/>
                <w:kern w:val="0"/>
                <w:sz w:val="24"/>
                <w:szCs w:val="22"/>
                <w:lang w:val="en-US" w:eastAsia="zh-CN" w:bidi="ar-SA"/>
              </w:rPr>
              <w:t>装卸废气</w:t>
            </w:r>
            <w:r>
              <w:rPr>
                <w:rFonts w:hint="eastAsia" w:ascii="Times New Roman" w:hAnsi="Times New Roman" w:eastAsia="宋体" w:cs="Times New Roman"/>
                <w:color w:val="auto"/>
                <w:kern w:val="0"/>
                <w:sz w:val="24"/>
                <w:szCs w:val="22"/>
                <w:lang w:val="en-US" w:eastAsia="zh-CN" w:bidi="ar-SA"/>
              </w:rPr>
              <w:t>、</w:t>
            </w:r>
            <w:r>
              <w:rPr>
                <w:rFonts w:hint="eastAsia" w:cs="Times New Roman"/>
                <w:color w:val="auto"/>
                <w:kern w:val="0"/>
                <w:sz w:val="24"/>
                <w:szCs w:val="22"/>
                <w:lang w:val="en-US" w:eastAsia="zh-CN" w:bidi="ar-SA"/>
              </w:rPr>
              <w:t>物料</w:t>
            </w:r>
            <w:r>
              <w:rPr>
                <w:rFonts w:hint="eastAsia" w:ascii="Times New Roman" w:hAnsi="Times New Roman" w:eastAsia="宋体" w:cs="Times New Roman"/>
                <w:color w:val="auto"/>
                <w:kern w:val="0"/>
                <w:sz w:val="24"/>
                <w:szCs w:val="22"/>
                <w:lang w:val="en-US" w:eastAsia="zh-CN" w:bidi="ar-SA"/>
              </w:rPr>
              <w:t>运输扬尘、矿粉筒仓废气和未收集到的沥青废气。</w:t>
            </w:r>
          </w:p>
          <w:p w14:paraId="74FFE0B6">
            <w:pPr>
              <w:adjustRightInd w:val="0"/>
              <w:snapToGrid w:val="0"/>
              <w:ind w:firstLine="482"/>
              <w:rPr>
                <w:rFonts w:hint="default" w:ascii="Times New Roman" w:hAnsi="Times New Roman" w:eastAsia="宋体" w:cs="Times New Roman"/>
                <w:b/>
                <w:bCs/>
                <w:color w:val="auto"/>
                <w:szCs w:val="24"/>
                <w:lang w:val="en-US" w:eastAsia="zh-CN"/>
              </w:rPr>
            </w:pPr>
            <w:r>
              <w:rPr>
                <w:rFonts w:hint="eastAsia" w:ascii="Times New Roman" w:hAnsi="Times New Roman" w:eastAsia="宋体" w:cs="Times New Roman"/>
                <w:b/>
                <w:bCs/>
                <w:color w:val="auto"/>
                <w:szCs w:val="24"/>
                <w:lang w:eastAsia="zh-CN"/>
              </w:rPr>
              <w:t>（</w:t>
            </w:r>
            <w:r>
              <w:rPr>
                <w:rFonts w:hint="eastAsia" w:ascii="Times New Roman" w:hAnsi="Times New Roman" w:eastAsia="宋体" w:cs="Times New Roman"/>
                <w:b/>
                <w:bCs/>
                <w:color w:val="auto"/>
                <w:szCs w:val="24"/>
                <w:lang w:val="en-US" w:eastAsia="zh-CN"/>
              </w:rPr>
              <w:t>1</w:t>
            </w:r>
            <w:r>
              <w:rPr>
                <w:rFonts w:hint="eastAsia" w:ascii="Times New Roman" w:hAnsi="Times New Roman" w:eastAsia="宋体" w:cs="Times New Roman"/>
                <w:b/>
                <w:bCs/>
                <w:color w:val="auto"/>
                <w:szCs w:val="24"/>
                <w:lang w:eastAsia="zh-CN"/>
              </w:rPr>
              <w:t>）</w:t>
            </w:r>
            <w:r>
              <w:rPr>
                <w:rFonts w:hint="eastAsia" w:ascii="Times New Roman" w:hAnsi="Times New Roman" w:eastAsia="宋体" w:cs="Times New Roman"/>
                <w:b/>
                <w:bCs/>
                <w:color w:val="auto"/>
                <w:szCs w:val="24"/>
                <w:lang w:val="en-US" w:eastAsia="zh-CN"/>
              </w:rPr>
              <w:t>砂石料</w:t>
            </w:r>
            <w:r>
              <w:rPr>
                <w:rFonts w:hint="eastAsia" w:cs="Times New Roman"/>
                <w:b/>
                <w:bCs/>
                <w:color w:val="auto"/>
                <w:szCs w:val="24"/>
                <w:lang w:val="en-US" w:eastAsia="zh-CN"/>
              </w:rPr>
              <w:t>装卸废气</w:t>
            </w:r>
          </w:p>
          <w:p w14:paraId="3423E170">
            <w:pPr>
              <w:adjustRightInd w:val="0"/>
              <w:snapToGrid w:val="0"/>
              <w:ind w:firstLine="482"/>
              <w:rPr>
                <w:rFonts w:hint="default"/>
                <w:color w:val="auto"/>
                <w:lang w:val="en-US" w:eastAsia="zh-CN"/>
              </w:rPr>
            </w:pPr>
            <w:r>
              <w:rPr>
                <w:rFonts w:hint="eastAsia"/>
              </w:rPr>
              <w:t>根据《逸散性工业粉尘控制技术》原文 P326-327中“表 21-1 沥青混凝土制造厂的逸散性粉尘排放因子”，</w:t>
            </w:r>
            <w:r>
              <w:rPr>
                <w:rFonts w:hint="eastAsia" w:cs="Times New Roman"/>
                <w:color w:val="000000" w:themeColor="text1"/>
                <w:kern w:val="0"/>
                <w:sz w:val="24"/>
                <w:lang w:val="en-US" w:eastAsia="zh-CN" w:bidi="ar"/>
                <w14:textFill>
                  <w14:solidFill>
                    <w14:schemeClr w14:val="tx1"/>
                  </w14:solidFill>
                </w14:textFill>
              </w:rPr>
              <w:t>送料上堆过程中</w:t>
            </w:r>
            <w:r>
              <w:rPr>
                <w:rFonts w:hint="eastAsia"/>
              </w:rPr>
              <w:t>逸散粉尘排放因子为0.0</w:t>
            </w:r>
            <w:r>
              <w:rPr>
                <w:rFonts w:hint="eastAsia"/>
                <w:lang w:val="en-US" w:eastAsia="zh-CN"/>
              </w:rPr>
              <w:t>2</w:t>
            </w:r>
            <w:r>
              <w:rPr>
                <w:rFonts w:hint="eastAsia"/>
              </w:rPr>
              <w:t>kg/t</w:t>
            </w:r>
            <w:r>
              <w:rPr>
                <w:rFonts w:hint="eastAsia"/>
                <w:lang w:val="en-US" w:eastAsia="zh-CN"/>
              </w:rPr>
              <w:t>-</w:t>
            </w:r>
            <w:r>
              <w:rPr>
                <w:rFonts w:ascii="Times New Roman" w:hAnsi="Times New Roman" w:eastAsia="宋体" w:cs="Times New Roman"/>
                <w:color w:val="000000" w:themeColor="text1"/>
                <w:kern w:val="0"/>
                <w:sz w:val="24"/>
                <w:lang w:bidi="ar"/>
                <w14:textFill>
                  <w14:solidFill>
                    <w14:schemeClr w14:val="tx1"/>
                  </w14:solidFill>
                </w14:textFill>
              </w:rPr>
              <w:t>原料</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本项目砂石料使用量为</w:t>
            </w:r>
            <w:r>
              <w:rPr>
                <w:rFonts w:hint="eastAsia" w:cs="Times New Roman"/>
                <w:color w:val="auto"/>
                <w:kern w:val="0"/>
                <w:sz w:val="24"/>
                <w:lang w:val="en-US" w:eastAsia="zh-CN" w:bidi="ar"/>
              </w:rPr>
              <w:t>92000</w:t>
            </w:r>
            <w:r>
              <w:rPr>
                <w:rFonts w:hint="eastAsia" w:ascii="Times New Roman" w:hAnsi="Times New Roman" w:eastAsia="宋体" w:cs="Times New Roman"/>
                <w:color w:val="auto"/>
                <w:kern w:val="0"/>
                <w:sz w:val="24"/>
                <w:lang w:val="en-US" w:eastAsia="zh-CN" w:bidi="ar"/>
              </w:rPr>
              <w:t>t/a，则</w:t>
            </w:r>
            <w:r>
              <w:rPr>
                <w:rFonts w:hint="eastAsia"/>
                <w:b w:val="0"/>
                <w:bCs w:val="0"/>
                <w:color w:val="auto"/>
                <w:lang w:val="en-US" w:eastAsia="zh-CN"/>
              </w:rPr>
              <w:t>砂石料装卸</w:t>
            </w:r>
            <w:r>
              <w:rPr>
                <w:rFonts w:hint="eastAsia" w:ascii="Times New Roman" w:hAnsi="Times New Roman" w:cs="Times New Roman"/>
                <w:color w:val="auto"/>
                <w:szCs w:val="24"/>
                <w:highlight w:val="none"/>
                <w:lang w:val="en-US" w:eastAsia="zh-CN"/>
              </w:rPr>
              <w:t>过程中</w:t>
            </w:r>
            <w:r>
              <w:rPr>
                <w:rFonts w:hint="eastAsia" w:cs="Times New Roman"/>
                <w:color w:val="auto"/>
                <w:szCs w:val="24"/>
                <w:highlight w:val="none"/>
                <w:lang w:val="en-US" w:eastAsia="zh-CN"/>
              </w:rPr>
              <w:t>扬</w:t>
            </w:r>
            <w:r>
              <w:rPr>
                <w:rFonts w:hint="eastAsia" w:ascii="Times New Roman" w:hAnsi="Times New Roman" w:cs="Times New Roman"/>
                <w:color w:val="auto"/>
                <w:szCs w:val="24"/>
                <w:highlight w:val="none"/>
                <w:lang w:val="en-US" w:eastAsia="zh-CN"/>
              </w:rPr>
              <w:t>尘排放量</w:t>
            </w:r>
            <w:r>
              <w:rPr>
                <w:rFonts w:hint="eastAsia" w:ascii="Times New Roman" w:hAnsi="Times New Roman" w:eastAsia="宋体" w:cs="Times New Roman"/>
                <w:color w:val="auto"/>
                <w:kern w:val="0"/>
                <w:sz w:val="24"/>
                <w:lang w:val="en-US" w:eastAsia="zh-CN" w:bidi="ar"/>
              </w:rPr>
              <w:t>为</w:t>
            </w:r>
            <w:r>
              <w:rPr>
                <w:rFonts w:hint="eastAsia" w:cs="Times New Roman"/>
                <w:color w:val="auto"/>
                <w:kern w:val="0"/>
                <w:sz w:val="24"/>
                <w:lang w:val="en-US" w:eastAsia="zh-CN" w:bidi="ar"/>
              </w:rPr>
              <w:t>1.84</w:t>
            </w:r>
            <w:r>
              <w:rPr>
                <w:rFonts w:hint="eastAsia" w:ascii="Times New Roman" w:hAnsi="Times New Roman" w:eastAsia="宋体" w:cs="Times New Roman"/>
                <w:color w:val="auto"/>
                <w:kern w:val="0"/>
                <w:sz w:val="24"/>
                <w:lang w:val="en-US" w:eastAsia="zh-CN" w:bidi="ar"/>
              </w:rPr>
              <w:t>t/a</w:t>
            </w:r>
            <w:r>
              <w:rPr>
                <w:rFonts w:hint="eastAsia" w:cs="Times New Roman"/>
                <w:color w:val="auto"/>
                <w:kern w:val="0"/>
                <w:sz w:val="24"/>
                <w:lang w:val="en-US" w:eastAsia="zh-CN" w:bidi="ar"/>
              </w:rPr>
              <w:t>，排放</w:t>
            </w:r>
            <w:r>
              <w:rPr>
                <w:rFonts w:hint="eastAsia"/>
                <w:color w:val="auto"/>
              </w:rPr>
              <w:t>速率为</w:t>
            </w:r>
            <w:r>
              <w:rPr>
                <w:rFonts w:hint="eastAsia"/>
                <w:color w:val="auto"/>
                <w:lang w:val="en-US" w:eastAsia="zh-CN"/>
              </w:rPr>
              <w:t>1.278</w:t>
            </w:r>
            <w:r>
              <w:rPr>
                <w:rFonts w:hint="eastAsia"/>
                <w:color w:val="auto"/>
              </w:rPr>
              <w:t>kg</w:t>
            </w:r>
            <w:r>
              <w:rPr>
                <w:color w:val="auto"/>
              </w:rPr>
              <w:t>/</w:t>
            </w:r>
            <w:r>
              <w:rPr>
                <w:rFonts w:hint="eastAsia"/>
                <w:color w:val="auto"/>
              </w:rPr>
              <w:t>h</w:t>
            </w:r>
            <w:r>
              <w:rPr>
                <w:rFonts w:hint="eastAsia"/>
                <w:color w:val="auto"/>
                <w:lang w:eastAsia="zh-CN"/>
              </w:rPr>
              <w:t>（</w:t>
            </w:r>
            <w:r>
              <w:rPr>
                <w:rFonts w:hint="eastAsia"/>
                <w:color w:val="auto"/>
              </w:rPr>
              <w:t>年工作</w:t>
            </w:r>
            <w:r>
              <w:rPr>
                <w:color w:val="auto"/>
              </w:rPr>
              <w:t>180</w:t>
            </w:r>
            <w:r>
              <w:rPr>
                <w:rFonts w:hint="eastAsia"/>
                <w:color w:val="auto"/>
              </w:rPr>
              <w:t>天，每天工作8h</w:t>
            </w:r>
            <w:r>
              <w:rPr>
                <w:rFonts w:hint="eastAsia"/>
                <w:color w:val="auto"/>
                <w:lang w:eastAsia="zh-CN"/>
              </w:rPr>
              <w:t>）</w:t>
            </w:r>
            <w:r>
              <w:rPr>
                <w:rFonts w:hint="eastAsia" w:ascii="Times New Roman" w:hAnsi="Times New Roman" w:eastAsia="宋体" w:cs="Times New Roman"/>
                <w:color w:val="auto"/>
                <w:kern w:val="0"/>
                <w:sz w:val="24"/>
                <w:szCs w:val="22"/>
                <w:lang w:val="en-US" w:eastAsia="zh-CN" w:bidi="ar-SA"/>
              </w:rPr>
              <w:t>。通过人工使用软管一天2次进行洒水降尘，</w:t>
            </w:r>
            <w:r>
              <w:rPr>
                <w:rFonts w:hint="eastAsia" w:cs="Times New Roman"/>
                <w:color w:val="auto"/>
                <w:kern w:val="0"/>
                <w:sz w:val="24"/>
                <w:szCs w:val="22"/>
                <w:lang w:val="en-US" w:eastAsia="zh-CN" w:bidi="ar-SA"/>
              </w:rPr>
              <w:t>根据《</w:t>
            </w:r>
            <w:r>
              <w:rPr>
                <w:rFonts w:hint="eastAsia"/>
                <w:color w:val="auto"/>
              </w:rPr>
              <w:t>工业源固体物料堆场颗粒物核算系数手册</w:t>
            </w:r>
            <w:r>
              <w:rPr>
                <w:rFonts w:hint="eastAsia"/>
                <w:color w:val="auto"/>
                <w:lang w:val="en-US" w:eastAsia="zh-CN"/>
              </w:rPr>
              <w:t>》洒水</w:t>
            </w:r>
            <w:r>
              <w:rPr>
                <w:rFonts w:hint="default"/>
                <w:color w:val="auto"/>
                <w:lang w:val="en-US" w:eastAsia="zh-CN"/>
              </w:rPr>
              <w:t>抑尘</w:t>
            </w:r>
            <w:r>
              <w:rPr>
                <w:rFonts w:hint="eastAsia" w:ascii="Times New Roman" w:hAnsi="Times New Roman" w:eastAsia="宋体" w:cs="Times New Roman"/>
                <w:color w:val="auto"/>
                <w:sz w:val="24"/>
                <w:szCs w:val="24"/>
                <w:highlight w:val="none"/>
                <w:lang w:val="en-US" w:eastAsia="zh-CN"/>
              </w:rPr>
              <w:t>效率为</w:t>
            </w:r>
            <w:r>
              <w:rPr>
                <w:rFonts w:hint="eastAsia" w:cs="Times New Roman"/>
                <w:color w:val="auto"/>
                <w:sz w:val="24"/>
                <w:szCs w:val="24"/>
                <w:highlight w:val="none"/>
                <w:lang w:val="en-US" w:eastAsia="zh-CN"/>
              </w:rPr>
              <w:t>74</w:t>
            </w:r>
            <w:r>
              <w:rPr>
                <w:rFonts w:hint="default" w:ascii="Times New Roman" w:hAnsi="Times New Roman" w:eastAsia="宋体" w:cs="Times New Roman"/>
                <w:color w:val="auto"/>
                <w:sz w:val="24"/>
                <w:szCs w:val="24"/>
                <w:highlight w:val="none"/>
                <w:lang w:val="en-US" w:eastAsia="zh-CN"/>
              </w:rPr>
              <w:t>%，则项目</w:t>
            </w:r>
            <w:r>
              <w:rPr>
                <w:rFonts w:hint="eastAsia" w:ascii="Times New Roman" w:hAnsi="Times New Roman" w:eastAsia="宋体" w:cs="Times New Roman"/>
                <w:color w:val="auto"/>
                <w:sz w:val="24"/>
                <w:szCs w:val="24"/>
                <w:highlight w:val="none"/>
                <w:lang w:val="en-US" w:eastAsia="zh-CN"/>
              </w:rPr>
              <w:t>砂石料</w:t>
            </w:r>
            <w:r>
              <w:rPr>
                <w:rFonts w:hint="eastAsia" w:cs="Times New Roman"/>
                <w:color w:val="auto"/>
                <w:sz w:val="24"/>
                <w:szCs w:val="24"/>
                <w:highlight w:val="none"/>
                <w:lang w:val="en-US" w:eastAsia="zh-CN"/>
              </w:rPr>
              <w:t>装卸废气</w:t>
            </w:r>
            <w:r>
              <w:rPr>
                <w:rFonts w:hint="default" w:ascii="Times New Roman" w:hAnsi="Times New Roman" w:eastAsia="宋体" w:cs="Times New Roman"/>
                <w:color w:val="auto"/>
                <w:sz w:val="24"/>
                <w:szCs w:val="24"/>
                <w:highlight w:val="none"/>
                <w:lang w:val="en-US" w:eastAsia="zh-CN"/>
              </w:rPr>
              <w:t>排放量为</w:t>
            </w:r>
            <w:r>
              <w:rPr>
                <w:rFonts w:hint="eastAsia"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478</w:t>
            </w:r>
            <w:r>
              <w:rPr>
                <w:rFonts w:hint="default" w:ascii="Times New Roman" w:hAnsi="Times New Roman" w:eastAsia="宋体"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kern w:val="0"/>
                <w:sz w:val="24"/>
                <w:lang w:val="en-US" w:eastAsia="zh-CN" w:bidi="ar"/>
              </w:rPr>
              <w:t>排放</w:t>
            </w:r>
            <w:r>
              <w:rPr>
                <w:rFonts w:hint="eastAsia"/>
                <w:color w:val="auto"/>
              </w:rPr>
              <w:t>速率</w:t>
            </w:r>
            <w:r>
              <w:rPr>
                <w:rFonts w:hint="eastAsia"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332</w:t>
            </w:r>
            <w:r>
              <w:rPr>
                <w:rFonts w:hint="default" w:ascii="Times New Roman" w:hAnsi="Times New Roman" w:eastAsia="宋体" w:cs="Times New Roman"/>
                <w:color w:val="auto"/>
                <w:sz w:val="24"/>
                <w:szCs w:val="24"/>
                <w:highlight w:val="none"/>
                <w:lang w:val="en-US" w:eastAsia="zh-CN"/>
              </w:rPr>
              <w:t>kg/h（按</w:t>
            </w:r>
            <w:r>
              <w:rPr>
                <w:rFonts w:hint="eastAsia" w:eastAsia="宋体" w:cs="Times New Roman"/>
                <w:color w:val="auto"/>
                <w:sz w:val="24"/>
                <w:szCs w:val="24"/>
                <w:highlight w:val="none"/>
                <w:lang w:val="en-US" w:eastAsia="zh-CN"/>
              </w:rPr>
              <w:t>1440</w:t>
            </w:r>
            <w:r>
              <w:rPr>
                <w:rFonts w:hint="default" w:ascii="Times New Roman" w:hAnsi="Times New Roman" w:eastAsia="宋体" w:cs="Times New Roman"/>
                <w:color w:val="auto"/>
                <w:sz w:val="24"/>
                <w:szCs w:val="24"/>
                <w:highlight w:val="none"/>
                <w:lang w:val="en-US" w:eastAsia="zh-CN"/>
              </w:rPr>
              <w:t>h计）</w:t>
            </w:r>
            <w:r>
              <w:rPr>
                <w:rFonts w:hint="eastAsia" w:eastAsia="宋体" w:cs="Times New Roman"/>
                <w:color w:val="auto"/>
                <w:sz w:val="24"/>
                <w:szCs w:val="24"/>
                <w:highlight w:val="none"/>
                <w:lang w:val="en-US" w:eastAsia="zh-CN"/>
              </w:rPr>
              <w:t>。</w:t>
            </w:r>
          </w:p>
          <w:p w14:paraId="34F34840">
            <w:pPr>
              <w:adjustRightInd w:val="0"/>
              <w:snapToGrid w:val="0"/>
              <w:ind w:firstLine="482"/>
              <w:rPr>
                <w:rFonts w:hint="default" w:ascii="Times New Roman" w:hAnsi="Times New Roman" w:eastAsia="宋体" w:cs="Times New Roman"/>
                <w:b/>
                <w:bCs/>
                <w:color w:val="auto"/>
                <w:szCs w:val="24"/>
                <w:lang w:val="en-US" w:eastAsia="zh-CN"/>
              </w:rPr>
            </w:pPr>
            <w:r>
              <w:rPr>
                <w:rFonts w:hint="eastAsia" w:ascii="Times New Roman" w:hAnsi="Times New Roman" w:eastAsia="宋体" w:cs="Times New Roman"/>
                <w:b/>
                <w:bCs/>
                <w:color w:val="auto"/>
                <w:szCs w:val="24"/>
                <w:lang w:val="en-US" w:eastAsia="zh-CN"/>
              </w:rPr>
              <w:t>（</w:t>
            </w:r>
            <w:r>
              <w:rPr>
                <w:rFonts w:hint="eastAsia" w:cs="Times New Roman"/>
                <w:b/>
                <w:bCs/>
                <w:color w:val="auto"/>
                <w:szCs w:val="24"/>
                <w:lang w:val="en-US" w:eastAsia="zh-CN"/>
              </w:rPr>
              <w:t>2</w:t>
            </w:r>
            <w:r>
              <w:rPr>
                <w:rFonts w:hint="eastAsia" w:ascii="Times New Roman" w:hAnsi="Times New Roman" w:eastAsia="宋体" w:cs="Times New Roman"/>
                <w:b/>
                <w:bCs/>
                <w:color w:val="auto"/>
                <w:szCs w:val="24"/>
                <w:lang w:val="en-US" w:eastAsia="zh-CN"/>
              </w:rPr>
              <w:t>）</w:t>
            </w:r>
            <w:r>
              <w:rPr>
                <w:rFonts w:hint="eastAsia" w:cs="Times New Roman"/>
                <w:b/>
                <w:bCs/>
                <w:color w:val="auto"/>
                <w:szCs w:val="24"/>
                <w:lang w:val="en-US" w:eastAsia="zh-CN"/>
              </w:rPr>
              <w:t>未收集上料扬尘</w:t>
            </w:r>
          </w:p>
          <w:p w14:paraId="15A33BF5">
            <w:pPr>
              <w:adjustRightInd w:val="0"/>
              <w:snapToGrid w:val="0"/>
              <w:ind w:firstLine="482"/>
              <w:rPr>
                <w:rFonts w:hint="eastAsia" w:ascii="Times New Roman" w:hAnsi="Times New Roman" w:eastAsia="宋体" w:cs="Times New Roman"/>
                <w:b/>
                <w:bCs/>
                <w:color w:val="auto"/>
                <w:szCs w:val="24"/>
                <w:lang w:val="en-US" w:eastAsia="zh-CN"/>
              </w:rPr>
            </w:pPr>
            <w:r>
              <w:rPr>
                <w:rFonts w:hint="eastAsia" w:cs="Times New Roman"/>
                <w:b w:val="0"/>
                <w:bCs w:val="0"/>
                <w:color w:val="auto"/>
                <w:szCs w:val="24"/>
                <w:lang w:val="en-US" w:eastAsia="zh-CN"/>
              </w:rPr>
              <w:t>根据前文DA001上料扬尘计算，未收集到的上料扬尘废气量按产生量的40％计算，则无组织上料扬尘产生量为0.736t/a，0.511</w:t>
            </w:r>
            <w:r>
              <w:rPr>
                <w:rFonts w:hint="eastAsia"/>
                <w:b w:val="0"/>
                <w:bCs w:val="0"/>
                <w:color w:val="auto"/>
              </w:rPr>
              <w:t>kg</w:t>
            </w:r>
            <w:r>
              <w:rPr>
                <w:b w:val="0"/>
                <w:bCs w:val="0"/>
                <w:color w:val="auto"/>
              </w:rPr>
              <w:t>/</w:t>
            </w:r>
            <w:r>
              <w:rPr>
                <w:rFonts w:hint="eastAsia"/>
                <w:b w:val="0"/>
                <w:bCs w:val="0"/>
                <w:color w:val="auto"/>
              </w:rPr>
              <w:t>h</w:t>
            </w:r>
            <w:r>
              <w:rPr>
                <w:rFonts w:hint="eastAsia"/>
                <w:b w:val="0"/>
                <w:bCs w:val="0"/>
                <w:color w:val="auto"/>
                <w:lang w:eastAsia="zh-CN"/>
              </w:rPr>
              <w:t>。</w:t>
            </w:r>
            <w:r>
              <w:rPr>
                <w:rFonts w:hint="eastAsia"/>
                <w:b w:val="0"/>
                <w:bCs w:val="0"/>
                <w:color w:val="auto"/>
                <w:lang w:val="en-US" w:eastAsia="zh-CN"/>
              </w:rPr>
              <w:t>通过人工使用软管洒水降尘，</w:t>
            </w:r>
            <w:r>
              <w:rPr>
                <w:rFonts w:hint="eastAsia" w:cs="Times New Roman"/>
                <w:color w:val="auto"/>
                <w:kern w:val="0"/>
                <w:sz w:val="24"/>
                <w:szCs w:val="22"/>
                <w:lang w:val="en-US" w:eastAsia="zh-CN" w:bidi="ar-SA"/>
              </w:rPr>
              <w:t>根据《</w:t>
            </w:r>
            <w:r>
              <w:rPr>
                <w:rFonts w:hint="eastAsia"/>
                <w:color w:val="auto"/>
              </w:rPr>
              <w:t>工业源固体物料堆场颗粒物核算系数手册</w:t>
            </w:r>
            <w:r>
              <w:rPr>
                <w:rFonts w:hint="eastAsia"/>
                <w:color w:val="auto"/>
                <w:lang w:val="en-US" w:eastAsia="zh-CN"/>
              </w:rPr>
              <w:t>》洒水</w:t>
            </w:r>
            <w:r>
              <w:rPr>
                <w:rFonts w:hint="default"/>
                <w:color w:val="auto"/>
                <w:lang w:val="en-US" w:eastAsia="zh-CN"/>
              </w:rPr>
              <w:t>抑尘</w:t>
            </w:r>
            <w:r>
              <w:rPr>
                <w:rFonts w:hint="eastAsia" w:ascii="Times New Roman" w:hAnsi="Times New Roman" w:eastAsia="宋体" w:cs="Times New Roman"/>
                <w:color w:val="auto"/>
                <w:sz w:val="24"/>
                <w:szCs w:val="24"/>
                <w:highlight w:val="none"/>
                <w:lang w:val="en-US" w:eastAsia="zh-CN"/>
              </w:rPr>
              <w:t>效率为</w:t>
            </w:r>
            <w:r>
              <w:rPr>
                <w:rFonts w:hint="eastAsia" w:cs="Times New Roman"/>
                <w:color w:val="auto"/>
                <w:sz w:val="24"/>
                <w:szCs w:val="24"/>
                <w:highlight w:val="none"/>
                <w:lang w:val="en-US" w:eastAsia="zh-CN"/>
              </w:rPr>
              <w:t>74</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则无组织上料扬尘排放量为0.191</w:t>
            </w:r>
            <w:r>
              <w:rPr>
                <w:rFonts w:hint="eastAsia" w:cs="Times New Roman"/>
                <w:b w:val="0"/>
                <w:bCs w:val="0"/>
                <w:color w:val="auto"/>
                <w:szCs w:val="24"/>
                <w:lang w:val="en-US" w:eastAsia="zh-CN"/>
              </w:rPr>
              <w:t>t/a，排放速率为0.133</w:t>
            </w:r>
            <w:r>
              <w:rPr>
                <w:rFonts w:hint="eastAsia"/>
                <w:color w:val="auto"/>
              </w:rPr>
              <w:t>kg</w:t>
            </w:r>
            <w:r>
              <w:rPr>
                <w:color w:val="auto"/>
              </w:rPr>
              <w:t>/</w:t>
            </w:r>
            <w:r>
              <w:rPr>
                <w:rFonts w:hint="eastAsia"/>
                <w:color w:val="auto"/>
              </w:rPr>
              <w:t>h</w:t>
            </w:r>
            <w:r>
              <w:rPr>
                <w:rFonts w:hint="eastAsia"/>
                <w:color w:val="auto"/>
                <w:lang w:eastAsia="zh-CN"/>
              </w:rPr>
              <w:t>。</w:t>
            </w:r>
          </w:p>
          <w:p w14:paraId="63FAB7AC">
            <w:pPr>
              <w:adjustRightInd w:val="0"/>
              <w:snapToGrid w:val="0"/>
              <w:ind w:firstLine="482"/>
              <w:rPr>
                <w:rFonts w:hint="default" w:ascii="Times New Roman" w:hAnsi="Times New Roman" w:eastAsia="宋体" w:cs="Times New Roman"/>
                <w:b/>
                <w:bCs/>
                <w:color w:val="auto"/>
                <w:szCs w:val="24"/>
                <w:lang w:val="en-US" w:eastAsia="zh-CN"/>
              </w:rPr>
            </w:pPr>
            <w:r>
              <w:rPr>
                <w:rFonts w:hint="eastAsia" w:cs="Times New Roman"/>
                <w:b/>
                <w:bCs/>
                <w:color w:val="auto"/>
                <w:szCs w:val="24"/>
                <w:lang w:val="en-US" w:eastAsia="zh-CN"/>
              </w:rPr>
              <w:t>（3）皮带输送扬尘</w:t>
            </w:r>
          </w:p>
          <w:p w14:paraId="5C1080F4">
            <w:pPr>
              <w:widowControl/>
              <w:overflowPunct w:val="0"/>
              <w:spacing w:line="360" w:lineRule="auto"/>
              <w:ind w:firstLine="480" w:firstLineChars="200"/>
              <w:rPr>
                <w:rFonts w:hint="eastAsia" w:ascii="Times New Roman" w:hAnsi="Times New Roman" w:eastAsia="宋体" w:cs="Times New Roman"/>
                <w:b/>
                <w:bCs/>
                <w:color w:val="auto"/>
                <w:szCs w:val="24"/>
                <w:lang w:val="en-US" w:eastAsia="zh-CN"/>
              </w:rPr>
            </w:pPr>
            <w:r>
              <w:rPr>
                <w:rFonts w:hint="eastAsia"/>
                <w:color w:val="auto"/>
              </w:rPr>
              <w:t>由于《排放源统计调查产排污核算方法和系数手册》中“3091石墨及碳素制品制造行业系数手册”系数表中没有相关产污系数，本项目根据《逸散性工业粉尘控制技术》原文 P326-327中“表 21-1 沥青混凝土制造厂的逸散性粉尘排放因子”，</w:t>
            </w:r>
            <w:r>
              <w:rPr>
                <w:rFonts w:hint="eastAsia" w:cs="Times New Roman"/>
                <w:color w:val="auto"/>
                <w:kern w:val="0"/>
                <w:sz w:val="24"/>
                <w:lang w:val="en-US" w:eastAsia="zh-CN" w:bidi="ar"/>
              </w:rPr>
              <w:t>皮带输送过程中</w:t>
            </w:r>
            <w:r>
              <w:rPr>
                <w:rFonts w:hint="eastAsia"/>
                <w:color w:val="auto"/>
              </w:rPr>
              <w:t>逸散粉尘排放因子为0.0</w:t>
            </w:r>
            <w:r>
              <w:rPr>
                <w:rFonts w:hint="eastAsia"/>
                <w:color w:val="auto"/>
                <w:lang w:val="en-US" w:eastAsia="zh-CN"/>
              </w:rPr>
              <w:t>2</w:t>
            </w:r>
            <w:r>
              <w:rPr>
                <w:rFonts w:hint="eastAsia"/>
                <w:color w:val="auto"/>
              </w:rPr>
              <w:t>kg/t</w:t>
            </w:r>
            <w:r>
              <w:rPr>
                <w:rFonts w:hint="eastAsia"/>
                <w:color w:val="auto"/>
                <w:lang w:val="en-US" w:eastAsia="zh-CN"/>
              </w:rPr>
              <w:t>-</w:t>
            </w:r>
            <w:r>
              <w:rPr>
                <w:rFonts w:ascii="Times New Roman" w:hAnsi="Times New Roman" w:eastAsia="宋体" w:cs="Times New Roman"/>
                <w:color w:val="auto"/>
                <w:kern w:val="0"/>
                <w:sz w:val="24"/>
                <w:lang w:bidi="ar"/>
              </w:rPr>
              <w:t>原料</w:t>
            </w:r>
            <w:r>
              <w:rPr>
                <w:rFonts w:hint="eastAsia"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本项目砂石料使用量为</w:t>
            </w:r>
            <w:r>
              <w:rPr>
                <w:rFonts w:hint="eastAsia" w:cs="Times New Roman"/>
                <w:color w:val="auto"/>
                <w:kern w:val="0"/>
                <w:sz w:val="24"/>
                <w:lang w:val="en-US" w:eastAsia="zh-CN" w:bidi="ar"/>
              </w:rPr>
              <w:t>92000</w:t>
            </w:r>
            <w:r>
              <w:rPr>
                <w:rFonts w:hint="eastAsia" w:ascii="Times New Roman" w:hAnsi="Times New Roman" w:eastAsia="宋体" w:cs="Times New Roman"/>
                <w:color w:val="auto"/>
                <w:kern w:val="0"/>
                <w:sz w:val="24"/>
                <w:lang w:val="en-US" w:eastAsia="zh-CN" w:bidi="ar"/>
              </w:rPr>
              <w:t>t/a，</w:t>
            </w:r>
            <w:r>
              <w:rPr>
                <w:rFonts w:hint="eastAsia" w:cs="Times New Roman"/>
                <w:color w:val="auto"/>
                <w:kern w:val="0"/>
                <w:sz w:val="24"/>
                <w:lang w:val="en-US" w:eastAsia="zh-CN" w:bidi="ar"/>
              </w:rPr>
              <w:t>皮带输送廊道密封，</w:t>
            </w:r>
            <w:r>
              <w:rPr>
                <w:rFonts w:hint="eastAsia" w:ascii="Times New Roman" w:hAnsi="Times New Roman" w:eastAsia="宋体" w:cs="Times New Roman"/>
                <w:color w:val="auto"/>
                <w:kern w:val="0"/>
                <w:sz w:val="24"/>
                <w:lang w:val="en-US" w:eastAsia="zh-CN" w:bidi="ar"/>
              </w:rPr>
              <w:t>则</w:t>
            </w:r>
            <w:r>
              <w:rPr>
                <w:rFonts w:hint="eastAsia"/>
                <w:color w:val="auto"/>
                <w:lang w:val="en-US" w:eastAsia="zh-CN"/>
              </w:rPr>
              <w:t>皮带输送扬尘</w:t>
            </w:r>
            <w:r>
              <w:rPr>
                <w:rFonts w:hint="eastAsia" w:ascii="Times New Roman" w:hAnsi="Times New Roman" w:eastAsia="宋体" w:cs="Times New Roman"/>
                <w:color w:val="auto"/>
                <w:kern w:val="0"/>
                <w:sz w:val="24"/>
                <w:lang w:val="en-US" w:eastAsia="zh-CN" w:bidi="ar"/>
              </w:rPr>
              <w:t>产生量为</w:t>
            </w:r>
            <w:r>
              <w:rPr>
                <w:rFonts w:hint="eastAsia" w:cs="Times New Roman"/>
                <w:color w:val="auto"/>
                <w:kern w:val="0"/>
                <w:sz w:val="24"/>
                <w:lang w:val="en-US" w:eastAsia="zh-CN" w:bidi="ar"/>
              </w:rPr>
              <w:t>1.84</w:t>
            </w:r>
            <w:r>
              <w:rPr>
                <w:rFonts w:hint="eastAsia" w:ascii="Times New Roman" w:hAnsi="Times New Roman" w:eastAsia="宋体" w:cs="Times New Roman"/>
                <w:color w:val="auto"/>
                <w:kern w:val="0"/>
                <w:sz w:val="24"/>
                <w:lang w:val="en-US" w:eastAsia="zh-CN" w:bidi="ar"/>
              </w:rPr>
              <w:t>t/a</w:t>
            </w:r>
            <w:r>
              <w:rPr>
                <w:rFonts w:hint="eastAsia" w:cs="Times New Roman"/>
                <w:color w:val="auto"/>
                <w:kern w:val="0"/>
                <w:sz w:val="24"/>
                <w:lang w:val="en-US" w:eastAsia="zh-CN" w:bidi="ar"/>
              </w:rPr>
              <w:t>，</w:t>
            </w:r>
            <w:r>
              <w:rPr>
                <w:rFonts w:hint="eastAsia"/>
                <w:color w:val="auto"/>
              </w:rPr>
              <w:t>产生速率为</w:t>
            </w:r>
            <w:r>
              <w:rPr>
                <w:rFonts w:hint="eastAsia"/>
                <w:color w:val="auto"/>
                <w:lang w:val="en-US" w:eastAsia="zh-CN"/>
              </w:rPr>
              <w:t>1.278</w:t>
            </w:r>
            <w:r>
              <w:rPr>
                <w:rFonts w:hint="eastAsia"/>
                <w:color w:val="auto"/>
              </w:rPr>
              <w:t>kg</w:t>
            </w:r>
            <w:r>
              <w:rPr>
                <w:color w:val="auto"/>
              </w:rPr>
              <w:t>/</w:t>
            </w:r>
            <w:r>
              <w:rPr>
                <w:rFonts w:hint="eastAsia"/>
                <w:color w:val="auto"/>
              </w:rPr>
              <w:t>h</w:t>
            </w:r>
            <w:r>
              <w:rPr>
                <w:rFonts w:hint="eastAsia"/>
                <w:color w:val="auto"/>
                <w:lang w:eastAsia="zh-CN"/>
              </w:rPr>
              <w:t>（</w:t>
            </w:r>
            <w:r>
              <w:rPr>
                <w:rFonts w:hint="eastAsia"/>
                <w:color w:val="auto"/>
              </w:rPr>
              <w:t>年工作</w:t>
            </w:r>
            <w:r>
              <w:rPr>
                <w:color w:val="auto"/>
              </w:rPr>
              <w:t>180</w:t>
            </w:r>
            <w:r>
              <w:rPr>
                <w:rFonts w:hint="eastAsia"/>
                <w:color w:val="auto"/>
              </w:rPr>
              <w:t>天，每天工作8h</w:t>
            </w:r>
            <w:r>
              <w:rPr>
                <w:rFonts w:hint="eastAsia"/>
                <w:color w:val="auto"/>
                <w:lang w:eastAsia="zh-CN"/>
              </w:rPr>
              <w:t>）</w:t>
            </w:r>
            <w:r>
              <w:rPr>
                <w:rFonts w:hint="eastAsia" w:ascii="Times New Roman" w:hAnsi="Times New Roman" w:eastAsia="宋体" w:cs="Times New Roman"/>
                <w:color w:val="auto"/>
                <w:kern w:val="0"/>
                <w:sz w:val="24"/>
                <w:szCs w:val="22"/>
                <w:lang w:val="en-US" w:eastAsia="zh-CN" w:bidi="ar-SA"/>
              </w:rPr>
              <w:t>。</w:t>
            </w:r>
            <w:r>
              <w:rPr>
                <w:rFonts w:hint="eastAsia" w:cs="Times New Roman"/>
                <w:color w:val="auto"/>
                <w:kern w:val="0"/>
                <w:sz w:val="24"/>
                <w:szCs w:val="22"/>
                <w:lang w:val="en-US" w:eastAsia="zh-CN" w:bidi="ar-SA"/>
              </w:rPr>
              <w:t>皮带输送廊道密封，99％扬尘在廊道内沉降，1％扬尘以无组织形式排放，排放量为0.018</w:t>
            </w:r>
            <w:r>
              <w:rPr>
                <w:rFonts w:hint="eastAsia" w:ascii="Times New Roman" w:hAnsi="Times New Roman" w:eastAsia="宋体" w:cs="Times New Roman"/>
                <w:color w:val="auto"/>
                <w:kern w:val="0"/>
                <w:sz w:val="24"/>
                <w:lang w:val="en-US" w:eastAsia="zh-CN" w:bidi="ar"/>
              </w:rPr>
              <w:t>t/a</w:t>
            </w:r>
            <w:r>
              <w:rPr>
                <w:rFonts w:hint="eastAsia" w:cs="Times New Roman"/>
                <w:color w:val="auto"/>
                <w:kern w:val="0"/>
                <w:sz w:val="24"/>
                <w:lang w:val="en-US" w:eastAsia="zh-CN" w:bidi="ar"/>
              </w:rPr>
              <w:t>，排放速率0.013</w:t>
            </w:r>
            <w:r>
              <w:rPr>
                <w:rFonts w:hint="eastAsia"/>
                <w:color w:val="auto"/>
              </w:rPr>
              <w:t>kg</w:t>
            </w:r>
            <w:r>
              <w:rPr>
                <w:color w:val="auto"/>
              </w:rPr>
              <w:t>/</w:t>
            </w:r>
            <w:r>
              <w:rPr>
                <w:rFonts w:hint="eastAsia"/>
                <w:color w:val="auto"/>
              </w:rPr>
              <w:t>h</w:t>
            </w:r>
            <w:r>
              <w:rPr>
                <w:rFonts w:hint="eastAsia"/>
                <w:color w:val="auto"/>
                <w:lang w:eastAsia="zh-CN"/>
              </w:rPr>
              <w:t>。</w:t>
            </w:r>
          </w:p>
          <w:p w14:paraId="565B0788">
            <w:pPr>
              <w:adjustRightInd w:val="0"/>
              <w:snapToGrid w:val="0"/>
              <w:ind w:firstLine="482"/>
              <w:rPr>
                <w:rFonts w:hint="default" w:ascii="Times New Roman" w:hAnsi="Times New Roman" w:eastAsia="宋体" w:cs="Times New Roman"/>
                <w:b/>
                <w:bCs/>
                <w:color w:val="auto"/>
                <w:szCs w:val="24"/>
                <w:lang w:val="en-US" w:eastAsia="zh-CN"/>
              </w:rPr>
            </w:pPr>
            <w:r>
              <w:rPr>
                <w:rFonts w:hint="eastAsia" w:cs="Times New Roman"/>
                <w:b/>
                <w:bCs/>
                <w:color w:val="auto"/>
                <w:szCs w:val="24"/>
                <w:lang w:val="en-US" w:eastAsia="zh-CN"/>
              </w:rPr>
              <w:t>（4）</w:t>
            </w:r>
            <w:r>
              <w:rPr>
                <w:rFonts w:hint="eastAsia" w:ascii="Times New Roman" w:hAnsi="Times New Roman" w:eastAsia="宋体" w:cs="Times New Roman"/>
                <w:b/>
                <w:bCs/>
                <w:color w:val="auto"/>
                <w:szCs w:val="24"/>
                <w:lang w:val="en-US" w:eastAsia="zh-CN"/>
              </w:rPr>
              <w:t>运输扬尘</w:t>
            </w:r>
          </w:p>
          <w:p w14:paraId="14BE313E">
            <w:pPr>
              <w:spacing w:line="360" w:lineRule="auto"/>
              <w:ind w:firstLine="480" w:firstLineChars="200"/>
              <w:jc w:val="both"/>
              <w:rPr>
                <w:rFonts w:ascii="Times New Roman" w:hAnsi="Times New Roman" w:cs="Times New Roman"/>
                <w:color w:val="auto"/>
                <w:sz w:val="24"/>
                <w:szCs w:val="24"/>
                <w:highlight w:val="none"/>
              </w:rPr>
            </w:pPr>
            <w:r>
              <w:rPr>
                <w:rFonts w:hint="eastAsia" w:cs="Times New Roman"/>
                <w:bCs/>
                <w:color w:val="auto"/>
                <w:sz w:val="24"/>
                <w:szCs w:val="20"/>
                <w:highlight w:val="none"/>
                <w:lang w:val="en-US" w:eastAsia="zh-CN"/>
              </w:rPr>
              <w:t>项目物料沥青、矿粉由厂外购买后汽车运入，沥青混凝土产品使用汽车运出。</w:t>
            </w:r>
            <w:r>
              <w:rPr>
                <w:rFonts w:ascii="Times New Roman" w:hAnsi="Times New Roman" w:cs="Times New Roman"/>
                <w:bCs/>
                <w:color w:val="auto"/>
                <w:sz w:val="24"/>
                <w:szCs w:val="20"/>
                <w:highlight w:val="none"/>
              </w:rPr>
              <w:t>车辆行驶产生的扬尘，在道路完全干燥的情况下，可按下列经验公式计算：</w:t>
            </w:r>
          </w:p>
          <w:p w14:paraId="4268E0F5">
            <w:pPr>
              <w:snapToGrid w:val="0"/>
              <w:spacing w:line="360" w:lineRule="auto"/>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32" o:spt="75" type="#_x0000_t75" style="height:52.95pt;width:201.2pt;" o:ole="t" filled="f" o:preferrelative="t" stroked="f" coordsize="21600,21600">
                  <v:path/>
                  <v:fill on="f" focussize="0,0"/>
                  <v:stroke on="f"/>
                  <v:imagedata r:id="rId30" o:title=""/>
                  <o:lock v:ext="edit" aspectratio="t"/>
                  <w10:wrap type="none"/>
                  <w10:anchorlock/>
                </v:shape>
                <o:OLEObject Type="Embed" ProgID="Equation.3" ShapeID="_x0000_i1032" DrawAspect="Content" ObjectID="_1468075732" r:id="rId29">
                  <o:LockedField>false</o:LockedField>
                </o:OLEObject>
              </w:object>
            </w:r>
          </w:p>
          <w:p w14:paraId="202DEDED">
            <w:pPr>
              <w:keepNext w:val="0"/>
              <w:keepLines w:val="0"/>
              <w:pageBreakBefore w:val="0"/>
              <w:widowControl/>
              <w:kinsoku/>
              <w:wordWrap/>
              <w:overflowPunct w:val="0"/>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道路扬尘量（kg/km·辆）；</w:t>
            </w:r>
          </w:p>
          <w:p w14:paraId="693519E8">
            <w:pPr>
              <w:keepNext w:val="0"/>
              <w:keepLines w:val="0"/>
              <w:pageBreakBefore w:val="0"/>
              <w:widowControl/>
              <w:kinsoku/>
              <w:wordWrap/>
              <w:overflowPunct w:val="0"/>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P</w:t>
            </w:r>
            <w:r>
              <w:rPr>
                <w:rFonts w:hint="default" w:ascii="Times New Roman" w:hAnsi="Times New Roman" w:eastAsia="宋体" w:cs="Times New Roman"/>
                <w:color w:val="auto"/>
                <w:sz w:val="24"/>
                <w:szCs w:val="24"/>
                <w:highlight w:val="none"/>
                <w:vertAlign w:val="superscript"/>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总扬尘量（kg/a）；</w:t>
            </w:r>
          </w:p>
          <w:p w14:paraId="61F38135">
            <w:pPr>
              <w:keepNext w:val="0"/>
              <w:keepLines w:val="0"/>
              <w:pageBreakBefore w:val="0"/>
              <w:widowControl/>
              <w:kinsoku/>
              <w:wordWrap/>
              <w:overflowPunct w:val="0"/>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V</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车辆速度（km/h）；</w:t>
            </w:r>
          </w:p>
          <w:p w14:paraId="2FDE8038">
            <w:pPr>
              <w:keepNext w:val="0"/>
              <w:keepLines w:val="0"/>
              <w:pageBreakBefore w:val="0"/>
              <w:widowControl/>
              <w:kinsoku/>
              <w:wordWrap/>
              <w:overflowPunct w:val="0"/>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车辆载重（t/辆）；</w:t>
            </w:r>
          </w:p>
          <w:p w14:paraId="4A6A8C35">
            <w:pPr>
              <w:keepNext w:val="0"/>
              <w:keepLines w:val="0"/>
              <w:pageBreakBefore w:val="0"/>
              <w:widowControl/>
              <w:kinsoku/>
              <w:wordWrap/>
              <w:overflowPunct w:val="0"/>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P</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道路灰尘覆盖量（kg/m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p w14:paraId="77A08074">
            <w:pPr>
              <w:keepNext w:val="0"/>
              <w:keepLines w:val="0"/>
              <w:pageBreakBefore w:val="0"/>
              <w:widowControl/>
              <w:kinsoku/>
              <w:wordWrap/>
              <w:overflowPunct w:val="0"/>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运输距离（km）；</w:t>
            </w:r>
          </w:p>
          <w:p w14:paraId="0C915B3F">
            <w:pPr>
              <w:keepNext w:val="0"/>
              <w:keepLines w:val="0"/>
              <w:pageBreakBefore w:val="0"/>
              <w:widowControl/>
              <w:kinsoku/>
              <w:wordWrap/>
              <w:overflowPunct w:val="0"/>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运输量（t/a）。</w:t>
            </w:r>
          </w:p>
          <w:p w14:paraId="383F8108">
            <w:pPr>
              <w:adjustRightInd w:val="0"/>
              <w:snapToGrid w:val="0"/>
              <w:ind w:firstLine="482"/>
              <w:rPr>
                <w:rFonts w:hint="eastAsia"/>
                <w:b/>
                <w:bCs/>
                <w:color w:val="auto"/>
                <w:lang w:val="en-US" w:eastAsia="zh-CN"/>
              </w:rPr>
            </w:pPr>
            <w:r>
              <w:rPr>
                <w:rFonts w:hint="default" w:ascii="Times New Roman" w:hAnsi="Times New Roman" w:eastAsia="宋体" w:cs="Times New Roman"/>
                <w:b w:val="0"/>
                <w:bCs w:val="0"/>
                <w:color w:val="auto"/>
                <w:sz w:val="24"/>
                <w:szCs w:val="24"/>
                <w:highlight w:val="none"/>
                <w:lang w:eastAsia="zh-CN"/>
              </w:rPr>
              <w:t>沥青混凝土生产线</w:t>
            </w:r>
            <w:r>
              <w:rPr>
                <w:rFonts w:hint="default" w:ascii="Times New Roman" w:hAnsi="Times New Roman" w:eastAsia="宋体" w:cs="Times New Roman"/>
                <w:color w:val="auto"/>
                <w:sz w:val="24"/>
                <w:szCs w:val="24"/>
                <w:highlight w:val="none"/>
                <w:lang w:val="en-US" w:eastAsia="zh-CN"/>
              </w:rPr>
              <w:t>物料</w:t>
            </w:r>
            <w:r>
              <w:rPr>
                <w:rFonts w:hint="eastAsia" w:cs="Times New Roman"/>
                <w:color w:val="auto"/>
                <w:sz w:val="24"/>
                <w:szCs w:val="24"/>
                <w:highlight w:val="none"/>
                <w:lang w:val="en-US" w:eastAsia="zh-CN"/>
              </w:rPr>
              <w:t>运</w:t>
            </w:r>
            <w:r>
              <w:rPr>
                <w:rFonts w:hint="default" w:ascii="Times New Roman" w:hAnsi="Times New Roman" w:eastAsia="宋体" w:cs="Times New Roman"/>
                <w:color w:val="auto"/>
                <w:sz w:val="24"/>
                <w:szCs w:val="24"/>
                <w:highlight w:val="none"/>
                <w:lang w:val="en-US" w:eastAsia="zh-CN"/>
              </w:rPr>
              <w:t>输量约为</w:t>
            </w:r>
            <w:r>
              <w:rPr>
                <w:rFonts w:hint="eastAsia" w:eastAsia="宋体" w:cs="Times New Roman"/>
                <w:color w:val="auto"/>
                <w:sz w:val="24"/>
                <w:szCs w:val="24"/>
                <w:highlight w:val="none"/>
                <w:lang w:val="en-US" w:eastAsia="zh-CN"/>
              </w:rPr>
              <w:t>8000</w:t>
            </w:r>
            <w:r>
              <w:rPr>
                <w:rFonts w:hint="default" w:ascii="Times New Roman" w:hAnsi="Times New Roman" w:eastAsia="宋体" w:cs="Times New Roman"/>
                <w:color w:val="auto"/>
                <w:sz w:val="24"/>
                <w:szCs w:val="24"/>
                <w:highlight w:val="none"/>
                <w:lang w:val="en-US" w:eastAsia="zh-CN"/>
              </w:rPr>
              <w:t>t/a，</w:t>
            </w:r>
            <w:r>
              <w:rPr>
                <w:rFonts w:hint="eastAsia" w:eastAsia="宋体" w:cs="Times New Roman"/>
                <w:color w:val="auto"/>
                <w:sz w:val="24"/>
                <w:szCs w:val="24"/>
                <w:highlight w:val="none"/>
                <w:lang w:val="en-US" w:eastAsia="zh-CN"/>
              </w:rPr>
              <w:t>产品100000t/a，</w:t>
            </w:r>
            <w:r>
              <w:rPr>
                <w:rFonts w:hint="default" w:ascii="Times New Roman" w:hAnsi="Times New Roman" w:eastAsia="宋体" w:cs="Times New Roman"/>
                <w:color w:val="auto"/>
                <w:sz w:val="24"/>
                <w:szCs w:val="24"/>
                <w:highlight w:val="none"/>
                <w:lang w:val="en-US" w:eastAsia="zh-CN"/>
              </w:rPr>
              <w:t>运输车辆平均载重</w:t>
            </w:r>
            <w:r>
              <w:rPr>
                <w:rFonts w:hint="eastAsia"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t，则共运输</w:t>
            </w:r>
            <w:r>
              <w:rPr>
                <w:rFonts w:hint="eastAsia" w:eastAsia="宋体" w:cs="Times New Roman"/>
                <w:color w:val="auto"/>
                <w:sz w:val="24"/>
                <w:szCs w:val="24"/>
                <w:highlight w:val="none"/>
                <w:lang w:val="en-US" w:eastAsia="zh-CN"/>
              </w:rPr>
              <w:t>5400</w:t>
            </w:r>
            <w:r>
              <w:rPr>
                <w:rFonts w:hint="default" w:ascii="Times New Roman" w:hAnsi="Times New Roman" w:eastAsia="宋体" w:cs="Times New Roman"/>
                <w:color w:val="auto"/>
                <w:sz w:val="24"/>
                <w:szCs w:val="24"/>
                <w:highlight w:val="none"/>
                <w:lang w:val="en-US" w:eastAsia="zh-CN"/>
              </w:rPr>
              <w:t>车次/a。</w:t>
            </w:r>
            <w:r>
              <w:rPr>
                <w:rFonts w:hint="eastAsia" w:eastAsia="宋体" w:cs="Times New Roman"/>
                <w:color w:val="auto"/>
                <w:sz w:val="24"/>
                <w:szCs w:val="24"/>
                <w:highlight w:val="none"/>
                <w:lang w:val="en-US" w:eastAsia="zh-CN"/>
              </w:rPr>
              <w:t>各物料及产品在厂内</w:t>
            </w:r>
            <w:r>
              <w:rPr>
                <w:rFonts w:hint="default" w:ascii="Times New Roman" w:hAnsi="Times New Roman" w:eastAsia="宋体" w:cs="Times New Roman"/>
                <w:color w:val="auto"/>
                <w:sz w:val="24"/>
                <w:szCs w:val="24"/>
                <w:highlight w:val="none"/>
              </w:rPr>
              <w:t>运输距离</w:t>
            </w:r>
            <w:r>
              <w:rPr>
                <w:rFonts w:hint="eastAsia" w:eastAsia="宋体"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0.5</w:t>
            </w:r>
            <w:r>
              <w:rPr>
                <w:rFonts w:hint="default" w:ascii="Times New Roman" w:hAnsi="Times New Roman" w:eastAsia="宋体" w:cs="Times New Roman"/>
                <w:color w:val="auto"/>
                <w:sz w:val="24"/>
                <w:szCs w:val="24"/>
                <w:highlight w:val="none"/>
              </w:rPr>
              <w:t>km，运输车辆为</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0t自卸汽车，运输车辆在场内限速5km/h，道路灰尘覆盖量P取0.</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kg/m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。因此道路扬尘量为</w:t>
            </w:r>
            <w:r>
              <w:rPr>
                <w:rFonts w:hint="default" w:ascii="Times New Roman" w:hAnsi="Times New Roman" w:eastAsia="宋体" w:cs="Times New Roman"/>
                <w:color w:val="auto"/>
                <w:sz w:val="24"/>
                <w:szCs w:val="24"/>
                <w:highlight w:val="none"/>
                <w:lang w:val="en-US" w:eastAsia="zh-CN"/>
              </w:rPr>
              <w:t>0.1</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kg/km</w:t>
            </w:r>
            <w:r>
              <w:rPr>
                <w:rFonts w:hint="default" w:ascii="Times New Roman" w:hAnsi="Times New Roman" w:eastAsia="黑体" w:cs="Times New Roman"/>
                <w:color w:val="auto"/>
                <w:sz w:val="24"/>
                <w:szCs w:val="24"/>
                <w:highlight w:val="none"/>
              </w:rPr>
              <w:t>·</w:t>
            </w:r>
            <w:r>
              <w:rPr>
                <w:rFonts w:hint="default" w:ascii="Times New Roman" w:hAnsi="Times New Roman" w:eastAsia="宋体" w:cs="Times New Roman"/>
                <w:color w:val="auto"/>
                <w:sz w:val="24"/>
                <w:szCs w:val="24"/>
                <w:highlight w:val="none"/>
              </w:rPr>
              <w:t>辆，则道路起尘总量为</w:t>
            </w:r>
            <w:r>
              <w:rPr>
                <w:rFonts w:hint="eastAsia" w:eastAsia="宋体" w:cs="Times New Roman"/>
                <w:color w:val="auto"/>
                <w:sz w:val="24"/>
                <w:szCs w:val="24"/>
                <w:highlight w:val="none"/>
                <w:lang w:val="en-US" w:eastAsia="zh-CN"/>
              </w:rPr>
              <w:t>0.27</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0.188</w:t>
            </w:r>
            <w:r>
              <w:rPr>
                <w:rFonts w:hint="default" w:ascii="Times New Roman" w:hAnsi="Times New Roman" w:eastAsia="宋体" w:cs="Times New Roman"/>
                <w:color w:val="auto"/>
                <w:sz w:val="24"/>
                <w:szCs w:val="24"/>
                <w:highlight w:val="none"/>
                <w:lang w:val="en-US" w:eastAsia="zh-CN"/>
              </w:rPr>
              <w:t>kg/h（按</w:t>
            </w:r>
            <w:r>
              <w:rPr>
                <w:rFonts w:hint="eastAsia" w:eastAsia="宋体" w:cs="Times New Roman"/>
                <w:color w:val="auto"/>
                <w:sz w:val="24"/>
                <w:szCs w:val="24"/>
                <w:highlight w:val="none"/>
                <w:lang w:val="en-US" w:eastAsia="zh-CN"/>
              </w:rPr>
              <w:t>1440</w:t>
            </w:r>
            <w:r>
              <w:rPr>
                <w:rFonts w:hint="default" w:ascii="Times New Roman" w:hAnsi="Times New Roman" w:eastAsia="宋体" w:cs="Times New Roman"/>
                <w:color w:val="auto"/>
                <w:sz w:val="24"/>
                <w:szCs w:val="24"/>
                <w:highlight w:val="none"/>
                <w:lang w:val="en-US" w:eastAsia="zh-CN"/>
              </w:rPr>
              <w:t>h计）</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厂区定期进行洒水</w:t>
            </w:r>
            <w:r>
              <w:rPr>
                <w:rFonts w:hint="default" w:ascii="Times New Roman" w:hAnsi="Times New Roman" w:eastAsia="宋体" w:cs="Times New Roman"/>
                <w:color w:val="auto"/>
                <w:sz w:val="24"/>
                <w:szCs w:val="24"/>
                <w:highlight w:val="none"/>
                <w:lang w:val="en-US" w:eastAsia="zh-CN"/>
              </w:rPr>
              <w:t>降尘，可抑尘</w:t>
            </w:r>
            <w:r>
              <w:rPr>
                <w:rFonts w:hint="eastAsia" w:eastAsia="宋体" w:cs="Times New Roman"/>
                <w:color w:val="auto"/>
                <w:sz w:val="24"/>
                <w:szCs w:val="24"/>
                <w:highlight w:val="none"/>
                <w:lang w:val="en-US" w:eastAsia="zh-CN"/>
              </w:rPr>
              <w:t>74</w:t>
            </w:r>
            <w:r>
              <w:rPr>
                <w:rFonts w:hint="default" w:ascii="Times New Roman" w:hAnsi="Times New Roman" w:eastAsia="宋体" w:cs="Times New Roman"/>
                <w:color w:val="auto"/>
                <w:sz w:val="24"/>
                <w:szCs w:val="24"/>
                <w:highlight w:val="none"/>
                <w:lang w:val="en-US" w:eastAsia="zh-CN"/>
              </w:rPr>
              <w:t>%，则项目厂区运输道路扬尘排放量为</w:t>
            </w:r>
            <w:r>
              <w:rPr>
                <w:rFonts w:hint="eastAsia" w:eastAsia="宋体" w:cs="Times New Roman"/>
                <w:color w:val="auto"/>
                <w:sz w:val="24"/>
                <w:szCs w:val="24"/>
                <w:highlight w:val="none"/>
                <w:lang w:val="en-US" w:eastAsia="zh-CN"/>
              </w:rPr>
              <w:t>0.070</w:t>
            </w:r>
            <w:r>
              <w:rPr>
                <w:rFonts w:hint="default" w:ascii="Times New Roman" w:hAnsi="Times New Roman" w:eastAsia="宋体" w:cs="Times New Roman"/>
                <w:color w:val="auto"/>
                <w:sz w:val="24"/>
                <w:szCs w:val="24"/>
                <w:highlight w:val="none"/>
                <w:lang w:val="en-US" w:eastAsia="zh-CN"/>
              </w:rPr>
              <w:t>t/a、</w:t>
            </w:r>
            <w:r>
              <w:rPr>
                <w:rFonts w:hint="eastAsia" w:eastAsia="宋体" w:cs="Times New Roman"/>
                <w:color w:val="auto"/>
                <w:sz w:val="24"/>
                <w:szCs w:val="24"/>
                <w:highlight w:val="none"/>
                <w:lang w:val="en-US" w:eastAsia="zh-CN"/>
              </w:rPr>
              <w:t>0.049</w:t>
            </w:r>
            <w:r>
              <w:rPr>
                <w:rFonts w:hint="default" w:ascii="Times New Roman" w:hAnsi="Times New Roman" w:eastAsia="宋体" w:cs="Times New Roman"/>
                <w:color w:val="auto"/>
                <w:sz w:val="24"/>
                <w:szCs w:val="24"/>
                <w:highlight w:val="none"/>
                <w:lang w:val="en-US" w:eastAsia="zh-CN"/>
              </w:rPr>
              <w:t>kg/h（按</w:t>
            </w:r>
            <w:r>
              <w:rPr>
                <w:rFonts w:hint="eastAsia" w:eastAsia="宋体" w:cs="Times New Roman"/>
                <w:color w:val="auto"/>
                <w:sz w:val="24"/>
                <w:szCs w:val="24"/>
                <w:highlight w:val="none"/>
                <w:lang w:val="en-US" w:eastAsia="zh-CN"/>
              </w:rPr>
              <w:t>1440</w:t>
            </w:r>
            <w:r>
              <w:rPr>
                <w:rFonts w:hint="default" w:ascii="Times New Roman" w:hAnsi="Times New Roman" w:eastAsia="宋体" w:cs="Times New Roman"/>
                <w:color w:val="auto"/>
                <w:sz w:val="24"/>
                <w:szCs w:val="24"/>
                <w:highlight w:val="none"/>
                <w:lang w:val="en-US" w:eastAsia="zh-CN"/>
              </w:rPr>
              <w:t>h计）</w:t>
            </w:r>
            <w:r>
              <w:rPr>
                <w:rFonts w:hint="eastAsia" w:eastAsia="宋体" w:cs="Times New Roman"/>
                <w:color w:val="auto"/>
                <w:sz w:val="24"/>
                <w:szCs w:val="24"/>
                <w:highlight w:val="none"/>
                <w:lang w:val="en-US" w:eastAsia="zh-CN"/>
              </w:rPr>
              <w:t>。</w:t>
            </w:r>
          </w:p>
          <w:p w14:paraId="01E02E86">
            <w:pPr>
              <w:adjustRightInd w:val="0"/>
              <w:snapToGrid w:val="0"/>
              <w:ind w:firstLine="482"/>
              <w:rPr>
                <w:rFonts w:hint="default"/>
                <w:b/>
                <w:bCs/>
                <w:color w:val="auto"/>
                <w:lang w:val="en-US" w:eastAsia="zh-CN"/>
              </w:rPr>
            </w:pPr>
            <w:r>
              <w:rPr>
                <w:rFonts w:hint="eastAsia"/>
                <w:b/>
                <w:bCs/>
                <w:color w:val="auto"/>
                <w:lang w:val="en-US" w:eastAsia="zh-CN"/>
              </w:rPr>
              <w:t>（5）</w:t>
            </w:r>
            <w:r>
              <w:rPr>
                <w:rFonts w:hint="eastAsia"/>
                <w:b/>
                <w:bCs/>
                <w:color w:val="auto"/>
                <w:szCs w:val="24"/>
                <w:lang w:eastAsia="zh-CN"/>
              </w:rPr>
              <w:t>矿粉筒仓废气</w:t>
            </w:r>
          </w:p>
          <w:p w14:paraId="04C0398A">
            <w:pPr>
              <w:adjustRightInd w:val="0"/>
              <w:snapToGrid w:val="0"/>
              <w:ind w:firstLine="480"/>
              <w:rPr>
                <w:rFonts w:hint="eastAsia"/>
                <w:color w:val="auto"/>
                <w:lang w:val="en-US" w:eastAsia="zh-CN"/>
              </w:rPr>
            </w:pPr>
            <w:r>
              <w:rPr>
                <w:rFonts w:hint="eastAsia"/>
                <w:color w:val="auto"/>
              </w:rPr>
              <w:t>项目矿粉</w:t>
            </w:r>
            <w:r>
              <w:rPr>
                <w:rFonts w:hint="eastAsia"/>
                <w:color w:val="auto"/>
                <w:lang w:val="en-US" w:eastAsia="zh-CN"/>
              </w:rPr>
              <w:t>经罐车运输入场后，卸料进入筒仓内，又经管道气力输送加入搅拌器内进行生产利用。</w:t>
            </w:r>
          </w:p>
          <w:p w14:paraId="38A3B3B8">
            <w:pPr>
              <w:adjustRightInd w:val="0"/>
              <w:snapToGrid w:val="0"/>
              <w:ind w:firstLine="480"/>
              <w:rPr>
                <w:rFonts w:hint="eastAsia" w:eastAsia="宋体"/>
                <w:color w:val="auto"/>
                <w:lang w:val="en-US" w:eastAsia="zh-CN"/>
              </w:rPr>
            </w:pPr>
            <w:r>
              <w:rPr>
                <w:rFonts w:hint="eastAsia"/>
                <w:color w:val="auto"/>
                <w:lang w:val="en-US" w:eastAsia="zh-CN"/>
              </w:rPr>
              <w:t>矿粉在进出筒仓时均有粉尘产生，参照</w:t>
            </w:r>
            <w:r>
              <w:rPr>
                <w:rFonts w:hint="eastAsia"/>
                <w:color w:val="auto"/>
              </w:rPr>
              <w:t>《逸散性工业粉尘控制技术》(</w:t>
            </w:r>
            <w:r>
              <w:rPr>
                <w:rFonts w:hint="eastAsia"/>
                <w:color w:val="auto"/>
                <w:lang w:val="en-US" w:eastAsia="zh-CN"/>
              </w:rPr>
              <w:t>J.A.奥里蒙，</w:t>
            </w:r>
            <w:r>
              <w:rPr>
                <w:rFonts w:hint="eastAsia"/>
                <w:color w:val="auto"/>
              </w:rPr>
              <w:t>中国</w:t>
            </w:r>
            <w:r>
              <w:rPr>
                <w:rFonts w:hint="eastAsia"/>
                <w:color w:val="auto"/>
                <w:lang w:val="en-US" w:eastAsia="zh-CN"/>
              </w:rPr>
              <w:t>环境</w:t>
            </w:r>
            <w:r>
              <w:rPr>
                <w:rFonts w:hint="eastAsia"/>
                <w:color w:val="auto"/>
              </w:rPr>
              <w:t>科学出版社)</w:t>
            </w:r>
            <w:r>
              <w:rPr>
                <w:rFonts w:hint="eastAsia"/>
                <w:color w:val="auto"/>
                <w:lang w:eastAsia="zh-CN"/>
              </w:rPr>
              <w:t>，</w:t>
            </w:r>
            <w:r>
              <w:rPr>
                <w:rFonts w:hint="eastAsia"/>
                <w:color w:val="auto"/>
              </w:rPr>
              <w:t>表“22-1混凝土分批搅拌厂</w:t>
            </w:r>
            <w:r>
              <w:rPr>
                <w:rFonts w:hint="eastAsia"/>
                <w:color w:val="auto"/>
                <w:lang w:val="en-US" w:eastAsia="zh-CN"/>
              </w:rPr>
              <w:t>筒仓进料过程中</w:t>
            </w:r>
            <w:r>
              <w:rPr>
                <w:rFonts w:hint="eastAsia"/>
                <w:color w:val="auto"/>
              </w:rPr>
              <w:t>逸散尘的排放因子”</w:t>
            </w:r>
            <w:r>
              <w:rPr>
                <w:rFonts w:hint="eastAsia"/>
                <w:color w:val="auto"/>
                <w:lang w:eastAsia="zh-CN"/>
              </w:rPr>
              <w:t>，</w:t>
            </w:r>
            <w:r>
              <w:rPr>
                <w:rFonts w:hint="eastAsia"/>
                <w:color w:val="auto"/>
                <w:lang w:val="en-US" w:eastAsia="zh-CN"/>
              </w:rPr>
              <w:t>取0.12kg/t，矿粉出筒仓时排放因子与进料时一致</w:t>
            </w:r>
            <w:r>
              <w:rPr>
                <w:rFonts w:hint="eastAsia"/>
                <w:color w:val="auto"/>
              </w:rPr>
              <w:t>。</w:t>
            </w:r>
          </w:p>
          <w:p w14:paraId="3F10D9D9">
            <w:pPr>
              <w:adjustRightInd w:val="0"/>
              <w:snapToGrid w:val="0"/>
              <w:ind w:firstLine="480"/>
              <w:rPr>
                <w:rFonts w:hint="default" w:eastAsia="宋体"/>
                <w:color w:val="auto"/>
                <w:lang w:val="en-US" w:eastAsia="zh-CN"/>
              </w:rPr>
            </w:pPr>
            <w:r>
              <w:rPr>
                <w:rFonts w:hint="eastAsia"/>
                <w:color w:val="auto"/>
                <w:lang w:val="en-US" w:eastAsia="zh-CN"/>
              </w:rPr>
              <w:t>项目矿粉用量4000t/a，矿粉进、出筒仓粉尘产生量约为0.48t/a，</w:t>
            </w:r>
            <w:r>
              <w:rPr>
                <w:rFonts w:hint="eastAsia"/>
                <w:color w:val="auto"/>
                <w:highlight w:val="none"/>
                <w:lang w:val="en-US" w:eastAsia="zh-CN"/>
              </w:rPr>
              <w:t>粉尘经筒仓仓顶自带过滤器</w:t>
            </w:r>
            <w:r>
              <w:rPr>
                <w:rFonts w:hint="eastAsia"/>
                <w:color w:val="auto"/>
                <w:lang w:val="en-US" w:eastAsia="zh-CN"/>
              </w:rPr>
              <w:t>处理后无组织排放，</w:t>
            </w:r>
            <w:r>
              <w:rPr>
                <w:rFonts w:hint="eastAsia"/>
                <w:color w:val="auto"/>
                <w:highlight w:val="none"/>
                <w:lang w:val="en-US" w:eastAsia="zh-CN"/>
              </w:rPr>
              <w:t>过滤器</w:t>
            </w:r>
            <w:r>
              <w:rPr>
                <w:rFonts w:hint="eastAsia"/>
                <w:color w:val="auto"/>
                <w:lang w:val="en-US" w:eastAsia="zh-CN"/>
              </w:rPr>
              <w:t>除尘效率取99%，则矿粉筒仓废气无组织粉尘排放量约为0.005t/a，项目矿粉筒仓储量为60t，筒仓进出料约67次，以每次用时3h，得出矿粉筒仓进出料年运行时间约为201h，则矿粉筒仓粉尘无组织排放速率约为0.24kg/h。</w:t>
            </w:r>
          </w:p>
          <w:p w14:paraId="3582F658">
            <w:pPr>
              <w:adjustRightInd w:val="0"/>
              <w:snapToGrid w:val="0"/>
              <w:ind w:firstLine="482"/>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6</w:t>
            </w:r>
            <w:r>
              <w:rPr>
                <w:rFonts w:hint="eastAsia"/>
                <w:b/>
                <w:bCs/>
                <w:color w:val="auto"/>
                <w:lang w:eastAsia="zh-CN"/>
              </w:rPr>
              <w:t>）</w:t>
            </w:r>
            <w:r>
              <w:rPr>
                <w:rFonts w:hint="eastAsia"/>
                <w:b/>
                <w:bCs/>
                <w:color w:val="auto"/>
                <w:lang w:val="en-US" w:eastAsia="zh-CN"/>
              </w:rPr>
              <w:t>未收集到的沥青</w:t>
            </w:r>
            <w:r>
              <w:rPr>
                <w:rFonts w:hint="eastAsia"/>
                <w:b/>
                <w:bCs/>
                <w:color w:val="auto"/>
                <w:szCs w:val="24"/>
                <w:lang w:eastAsia="zh-CN"/>
              </w:rPr>
              <w:t>废气</w:t>
            </w:r>
          </w:p>
          <w:p w14:paraId="1675C636">
            <w:pPr>
              <w:keepNext w:val="0"/>
              <w:keepLines w:val="0"/>
              <w:pageBreakBefore w:val="0"/>
              <w:kinsoku/>
              <w:overflowPunct/>
              <w:topLinePunct w:val="0"/>
              <w:autoSpaceDE/>
              <w:autoSpaceDN/>
              <w:bidi w:val="0"/>
              <w:adjustRightInd/>
              <w:snapToGrid/>
              <w:spacing w:line="360" w:lineRule="auto"/>
              <w:ind w:left="0" w:right="0" w:firstLine="480" w:firstLineChars="200"/>
              <w:jc w:val="left"/>
              <w:textAlignment w:val="auto"/>
              <w:rPr>
                <w:rFonts w:hint="default" w:cs="Times New Roman"/>
                <w:b/>
                <w:bCs/>
                <w:color w:val="auto"/>
                <w:szCs w:val="24"/>
                <w:lang w:val="en-US" w:eastAsia="zh-CN"/>
              </w:rPr>
            </w:pPr>
            <w:r>
              <w:rPr>
                <w:rFonts w:hint="eastAsia"/>
                <w:color w:val="auto"/>
                <w:lang w:val="en-US" w:eastAsia="zh-CN"/>
              </w:rPr>
              <w:t>根</w:t>
            </w:r>
            <w:r>
              <w:rPr>
                <w:rFonts w:hint="eastAsia" w:ascii="Times New Roman" w:hAnsi="Times New Roman" w:eastAsia="宋体" w:cs="Times New Roman"/>
                <w:color w:val="auto"/>
                <w:lang w:val="en-US" w:eastAsia="zh-CN"/>
              </w:rPr>
              <w:t>据前文排气筒DA003废气核算，未</w:t>
            </w:r>
            <w:r>
              <w:rPr>
                <w:rFonts w:hint="eastAsia"/>
                <w:color w:val="auto"/>
                <w:lang w:val="en-US" w:eastAsia="zh-CN"/>
              </w:rPr>
              <w:t>收集到的沥青废气量以产生废气量的5%计算，则出料口无组织排放量约为：沥青烟</w:t>
            </w:r>
            <w:r>
              <w:rPr>
                <w:rFonts w:hint="eastAsia"/>
                <w:color w:val="auto"/>
                <w:kern w:val="0"/>
                <w:lang w:val="en-US" w:eastAsia="zh-CN" w:bidi="ar"/>
              </w:rPr>
              <w:t>0.010t</w:t>
            </w:r>
            <w:r>
              <w:rPr>
                <w:rFonts w:hint="eastAsia"/>
                <w:color w:val="auto"/>
                <w:kern w:val="0"/>
                <w:lang w:bidi="ar"/>
              </w:rPr>
              <w:t>/a</w:t>
            </w:r>
            <w:r>
              <w:rPr>
                <w:rFonts w:hint="eastAsia"/>
                <w:color w:val="auto"/>
                <w:kern w:val="0"/>
                <w:lang w:eastAsia="zh-CN" w:bidi="ar"/>
              </w:rPr>
              <w:t>，</w:t>
            </w:r>
            <w:r>
              <w:rPr>
                <w:rFonts w:hint="eastAsia"/>
                <w:color w:val="auto"/>
                <w:kern w:val="0"/>
                <w:lang w:val="en-US" w:eastAsia="zh-CN" w:bidi="ar"/>
              </w:rPr>
              <w:t>0.007</w:t>
            </w:r>
            <w:r>
              <w:rPr>
                <w:rFonts w:hint="eastAsia"/>
                <w:color w:val="auto"/>
                <w:kern w:val="0"/>
                <w:lang w:bidi="ar"/>
              </w:rPr>
              <w:t>kg/h</w:t>
            </w:r>
            <w:r>
              <w:rPr>
                <w:rFonts w:hint="eastAsia"/>
                <w:color w:val="auto"/>
                <w:kern w:val="0"/>
                <w:lang w:eastAsia="zh-CN" w:bidi="ar"/>
              </w:rPr>
              <w:t>；</w:t>
            </w:r>
            <w:r>
              <w:rPr>
                <w:rFonts w:hint="eastAsia"/>
                <w:color w:val="auto"/>
                <w:kern w:val="0"/>
                <w:lang w:bidi="ar"/>
              </w:rPr>
              <w:t>非甲烷总烃量</w:t>
            </w:r>
            <w:r>
              <w:rPr>
                <w:rFonts w:hint="eastAsia"/>
                <w:color w:val="auto"/>
                <w:kern w:val="0"/>
                <w:lang w:val="en-US" w:eastAsia="zh-CN" w:bidi="ar"/>
              </w:rPr>
              <w:t>0.007</w:t>
            </w:r>
            <w:r>
              <w:rPr>
                <w:rFonts w:hint="eastAsia"/>
                <w:color w:val="auto"/>
                <w:kern w:val="0"/>
                <w:lang w:bidi="ar"/>
              </w:rPr>
              <w:t>t/a</w:t>
            </w:r>
            <w:r>
              <w:rPr>
                <w:rFonts w:hint="eastAsia"/>
                <w:color w:val="auto"/>
                <w:kern w:val="0"/>
                <w:lang w:eastAsia="zh-CN" w:bidi="ar"/>
              </w:rPr>
              <w:t>，</w:t>
            </w:r>
            <w:r>
              <w:rPr>
                <w:rFonts w:hint="eastAsia"/>
                <w:color w:val="auto"/>
                <w:kern w:val="0"/>
                <w:lang w:val="en-US" w:eastAsia="zh-CN" w:bidi="ar"/>
              </w:rPr>
              <w:t>0.005</w:t>
            </w:r>
            <w:r>
              <w:rPr>
                <w:rFonts w:hint="eastAsia"/>
                <w:color w:val="auto"/>
                <w:kern w:val="0"/>
                <w:lang w:bidi="ar"/>
              </w:rPr>
              <w:t>kg/h</w:t>
            </w:r>
            <w:r>
              <w:rPr>
                <w:rFonts w:hint="eastAsia"/>
                <w:color w:val="auto"/>
                <w:kern w:val="0"/>
                <w:lang w:eastAsia="zh-CN" w:bidi="ar"/>
              </w:rPr>
              <w:t>，</w:t>
            </w:r>
            <w:r>
              <w:rPr>
                <w:color w:val="auto"/>
              </w:rPr>
              <w:t>苯并[a]芘</w:t>
            </w:r>
            <w:r>
              <w:rPr>
                <w:rFonts w:hint="eastAsia"/>
                <w:color w:val="auto"/>
                <w:kern w:val="0"/>
                <w:lang w:bidi="ar"/>
              </w:rPr>
              <w:t>量约为</w:t>
            </w:r>
            <w:r>
              <w:rPr>
                <w:rFonts w:hint="eastAsia"/>
                <w:color w:val="auto"/>
                <w:kern w:val="0"/>
                <w:lang w:val="en-US" w:eastAsia="zh-CN" w:bidi="ar"/>
              </w:rPr>
              <w:t>2</w:t>
            </w:r>
            <w:r>
              <w:rPr>
                <w:rFonts w:hint="eastAsia"/>
                <w:color w:val="auto"/>
                <w:szCs w:val="24"/>
              </w:rPr>
              <w:t>×1</w:t>
            </w:r>
            <w:r>
              <w:rPr>
                <w:color w:val="auto"/>
                <w:szCs w:val="24"/>
              </w:rPr>
              <w:t>0</w:t>
            </w:r>
            <w:r>
              <w:rPr>
                <w:color w:val="auto"/>
                <w:szCs w:val="24"/>
                <w:vertAlign w:val="superscript"/>
              </w:rPr>
              <w:t>-</w:t>
            </w:r>
            <w:r>
              <w:rPr>
                <w:rFonts w:hint="eastAsia"/>
                <w:color w:val="auto"/>
                <w:szCs w:val="24"/>
                <w:vertAlign w:val="superscript"/>
                <w:lang w:val="en-US" w:eastAsia="zh-CN"/>
              </w:rPr>
              <w:t>5</w:t>
            </w:r>
            <w:r>
              <w:rPr>
                <w:rFonts w:hint="eastAsia"/>
                <w:color w:val="auto"/>
                <w:kern w:val="0"/>
                <w:lang w:bidi="ar"/>
              </w:rPr>
              <w:t>t/a</w:t>
            </w:r>
            <w:r>
              <w:rPr>
                <w:rFonts w:hint="eastAsia"/>
                <w:color w:val="auto"/>
                <w:kern w:val="0"/>
                <w:lang w:eastAsia="zh-CN" w:bidi="ar"/>
              </w:rPr>
              <w:t>，</w:t>
            </w:r>
            <w:r>
              <w:rPr>
                <w:rFonts w:hint="eastAsia"/>
                <w:color w:val="auto"/>
                <w:kern w:val="0"/>
                <w:lang w:val="en-US" w:eastAsia="zh-CN" w:bidi="ar"/>
              </w:rPr>
              <w:t>1.389</w:t>
            </w:r>
            <w:r>
              <w:rPr>
                <w:rFonts w:hint="eastAsia"/>
                <w:color w:val="auto"/>
                <w:szCs w:val="24"/>
              </w:rPr>
              <w:t>×1</w:t>
            </w:r>
            <w:r>
              <w:rPr>
                <w:color w:val="auto"/>
                <w:szCs w:val="24"/>
              </w:rPr>
              <w:t>0</w:t>
            </w:r>
            <w:r>
              <w:rPr>
                <w:color w:val="auto"/>
                <w:szCs w:val="24"/>
                <w:vertAlign w:val="superscript"/>
              </w:rPr>
              <w:t>-</w:t>
            </w:r>
            <w:r>
              <w:rPr>
                <w:rFonts w:hint="eastAsia"/>
                <w:color w:val="auto"/>
                <w:szCs w:val="24"/>
                <w:vertAlign w:val="superscript"/>
                <w:lang w:val="en-US" w:eastAsia="zh-CN"/>
              </w:rPr>
              <w:t>5</w:t>
            </w:r>
            <w:r>
              <w:rPr>
                <w:rFonts w:hint="eastAsia"/>
                <w:color w:val="auto"/>
                <w:kern w:val="0"/>
                <w:lang w:bidi="ar"/>
              </w:rPr>
              <w:t>kg/h</w:t>
            </w:r>
            <w:r>
              <w:rPr>
                <w:rFonts w:hint="eastAsia"/>
                <w:color w:val="auto"/>
                <w:kern w:val="0"/>
                <w:lang w:eastAsia="zh-CN" w:bidi="ar"/>
              </w:rPr>
              <w:t>，</w:t>
            </w:r>
            <w:r>
              <w:rPr>
                <w:rFonts w:hint="eastAsia"/>
                <w:color w:val="auto"/>
                <w:kern w:val="0"/>
                <w:lang w:val="en-US" w:eastAsia="zh-CN" w:bidi="ar"/>
              </w:rPr>
              <w:t>颗粒物0.098t/a，0.068kg/h。</w:t>
            </w:r>
          </w:p>
          <w:p w14:paraId="40EA0BC9">
            <w:pPr>
              <w:adjustRightInd w:val="0"/>
              <w:snapToGrid w:val="0"/>
              <w:ind w:firstLine="482"/>
              <w:rPr>
                <w:rFonts w:hint="default"/>
                <w:b/>
                <w:bCs/>
                <w:color w:val="auto"/>
                <w:lang w:val="en-US" w:eastAsia="zh-CN"/>
              </w:rPr>
            </w:pPr>
            <w:r>
              <w:rPr>
                <w:rFonts w:hint="eastAsia"/>
                <w:b/>
                <w:bCs/>
                <w:color w:val="auto"/>
                <w:lang w:val="en-US" w:eastAsia="zh-CN"/>
              </w:rPr>
              <w:t>（7）臭气</w:t>
            </w:r>
          </w:p>
          <w:p w14:paraId="23542E6D">
            <w:pPr>
              <w:pStyle w:val="5"/>
              <w:keepNext w:val="0"/>
              <w:keepLines w:val="0"/>
              <w:pageBreakBefore w:val="0"/>
              <w:kinsoku/>
              <w:overflowPunct/>
              <w:topLinePunct w:val="0"/>
              <w:autoSpaceDE/>
              <w:autoSpaceDN/>
              <w:bidi w:val="0"/>
              <w:adjustRightInd/>
              <w:snapToGrid/>
              <w:spacing w:after="0" w:afterLines="0" w:line="360" w:lineRule="auto"/>
              <w:ind w:left="0" w:right="0" w:firstLine="480" w:firstLineChars="200"/>
              <w:jc w:val="left"/>
              <w:textAlignment w:val="auto"/>
              <w:rPr>
                <w:rFonts w:hint="eastAsia" w:ascii="Times New Roman" w:hAnsi="Times New Roman" w:eastAsia="宋体" w:cs="Times New Roman"/>
                <w:color w:val="auto"/>
                <w:kern w:val="0"/>
                <w:sz w:val="24"/>
                <w:szCs w:val="22"/>
                <w:lang w:val="en-US" w:eastAsia="zh-CN" w:bidi="ar-SA"/>
              </w:rPr>
            </w:pPr>
            <w:r>
              <w:rPr>
                <w:rFonts w:hint="default" w:ascii="Times New Roman" w:hAnsi="Times New Roman" w:cs="Times New Roman"/>
                <w:color w:val="auto"/>
                <w:kern w:val="0"/>
                <w:sz w:val="24"/>
                <w:lang w:bidi="ar"/>
              </w:rPr>
              <w:t>项目所用原料之一为沥青，它是石油气工厂热裂解石油气原料时得到的副产品，平时储存在密闭的储罐中，生产时使用导热油将其加热至150-180℃，然后用沥青泵送至搅拌</w:t>
            </w:r>
            <w:r>
              <w:rPr>
                <w:rFonts w:hint="eastAsia" w:cs="Times New Roman"/>
                <w:color w:val="auto"/>
                <w:kern w:val="0"/>
                <w:sz w:val="24"/>
                <w:lang w:val="en-US" w:eastAsia="zh-CN" w:bidi="ar"/>
              </w:rPr>
              <w:t>器中</w:t>
            </w:r>
            <w:r>
              <w:rPr>
                <w:rFonts w:hint="default" w:ascii="Times New Roman" w:hAnsi="Times New Roman" w:cs="Times New Roman"/>
                <w:color w:val="auto"/>
                <w:kern w:val="0"/>
                <w:sz w:val="24"/>
                <w:lang w:bidi="ar"/>
              </w:rPr>
              <w:t>砂石进行拌和，拌和好的成品温度约为150℃。根据沥青特性，当温度达到80℃左右时，便会挥发出异味。</w:t>
            </w:r>
            <w:r>
              <w:rPr>
                <w:rFonts w:hint="default" w:ascii="Times New Roman" w:hAnsi="Times New Roman" w:cs="Times New Roman"/>
                <w:color w:val="auto"/>
                <w:kern w:val="0"/>
                <w:sz w:val="24"/>
                <w:lang w:eastAsia="zh-CN" w:bidi="ar"/>
              </w:rPr>
              <w:t>建设</w:t>
            </w:r>
            <w:r>
              <w:rPr>
                <w:rFonts w:hint="default" w:ascii="Times New Roman" w:hAnsi="Times New Roman" w:cs="Times New Roman"/>
                <w:color w:val="auto"/>
                <w:kern w:val="0"/>
                <w:sz w:val="24"/>
                <w:lang w:bidi="ar"/>
              </w:rPr>
              <w:t>项目沥青在整个生产过程中虽然温度始终保持在150℃-180℃左右，但从输送到拌和全部在密闭管道和设施中进行</w:t>
            </w:r>
            <w:r>
              <w:rPr>
                <w:rFonts w:hint="default" w:ascii="Times New Roman" w:hAnsi="Times New Roman" w:cs="Times New Roman"/>
                <w:color w:val="auto"/>
                <w:kern w:val="0"/>
                <w:sz w:val="24"/>
                <w:lang w:eastAsia="zh-CN" w:bidi="ar"/>
              </w:rPr>
              <w:t>，项目沥青储罐只在生产时进行加热，并且在</w:t>
            </w:r>
            <w:r>
              <w:rPr>
                <w:rFonts w:hint="default" w:ascii="Times New Roman" w:hAnsi="Times New Roman" w:eastAsia="Times New Roman" w:cs="Times New Roman"/>
                <w:color w:val="auto"/>
                <w:sz w:val="24"/>
                <w:szCs w:val="24"/>
                <w:lang w:val="en-US" w:eastAsia="zh-CN"/>
              </w:rPr>
              <w:t>沥青</w:t>
            </w:r>
            <w:r>
              <w:rPr>
                <w:rFonts w:hint="default" w:ascii="Times New Roman" w:hAnsi="Times New Roman" w:eastAsia="Times New Roman" w:cs="Times New Roman"/>
                <w:color w:val="auto"/>
                <w:sz w:val="24"/>
                <w:szCs w:val="24"/>
                <w:lang w:val="zh-CN" w:eastAsia="zh-CN"/>
              </w:rPr>
              <w:t>储罐</w:t>
            </w:r>
            <w:r>
              <w:rPr>
                <w:rFonts w:hint="eastAsia" w:ascii="Times New Roman" w:hAnsi="Times New Roman" w:eastAsia="Times New Roman" w:cs="Times New Roman"/>
                <w:color w:val="auto"/>
                <w:sz w:val="24"/>
                <w:szCs w:val="24"/>
                <w:lang w:val="en-US" w:eastAsia="zh-CN"/>
              </w:rPr>
              <w:t>呼吸口设置导管，</w:t>
            </w:r>
            <w:r>
              <w:rPr>
                <w:rFonts w:hint="default" w:ascii="Times New Roman" w:hAnsi="Times New Roman" w:eastAsia="Times New Roman" w:cs="Times New Roman"/>
                <w:color w:val="auto"/>
                <w:sz w:val="24"/>
                <w:szCs w:val="24"/>
                <w:lang w:val="zh-CN"/>
              </w:rPr>
              <w:t>成品出料口</w:t>
            </w:r>
            <w:r>
              <w:rPr>
                <w:rFonts w:hint="default" w:ascii="Times New Roman" w:hAnsi="Times New Roman" w:cs="Times New Roman"/>
                <w:color w:val="auto"/>
                <w:kern w:val="0"/>
                <w:sz w:val="24"/>
                <w:lang w:eastAsia="zh-CN" w:bidi="ar"/>
              </w:rPr>
              <w:t>设置了</w:t>
            </w:r>
            <w:r>
              <w:rPr>
                <w:rFonts w:hint="default" w:ascii="Times New Roman" w:hAnsi="Times New Roman" w:cs="Times New Roman"/>
                <w:color w:val="auto"/>
                <w:kern w:val="0"/>
                <w:sz w:val="24"/>
                <w:highlight w:val="none"/>
                <w:lang w:eastAsia="zh-CN" w:bidi="ar"/>
              </w:rPr>
              <w:t>集气罩</w:t>
            </w:r>
            <w:r>
              <w:rPr>
                <w:rFonts w:hint="default" w:ascii="Times New Roman" w:hAnsi="Times New Roman" w:cs="Times New Roman"/>
                <w:color w:val="auto"/>
                <w:kern w:val="0"/>
                <w:sz w:val="24"/>
                <w:lang w:eastAsia="zh-CN" w:bidi="ar"/>
              </w:rPr>
              <w:t>，</w:t>
            </w:r>
            <w:r>
              <w:rPr>
                <w:rFonts w:hint="default" w:ascii="Times New Roman" w:hAnsi="Times New Roman" w:eastAsia="宋体" w:cs="Times New Roman"/>
                <w:color w:val="auto"/>
                <w:sz w:val="24"/>
                <w:szCs w:val="24"/>
                <w:lang w:val="en-US" w:eastAsia="zh-CN"/>
              </w:rPr>
              <w:t>废气</w:t>
            </w:r>
            <w:r>
              <w:rPr>
                <w:rFonts w:hint="default" w:ascii="Times New Roman" w:hAnsi="Times New Roman" w:eastAsia="宋体" w:cs="Times New Roman"/>
                <w:b w:val="0"/>
                <w:bCs w:val="0"/>
                <w:color w:val="auto"/>
                <w:kern w:val="0"/>
                <w:sz w:val="24"/>
                <w:szCs w:val="24"/>
                <w:highlight w:val="none"/>
                <w:lang w:val="en-US" w:eastAsia="zh-CN" w:bidi="ar"/>
              </w:rPr>
              <w:t>由收集后</w:t>
            </w:r>
            <w:r>
              <w:rPr>
                <w:rFonts w:hint="default" w:ascii="Times New Roman" w:hAnsi="Times New Roman" w:eastAsia="Times New Roman" w:cs="Times New Roman"/>
                <w:color w:val="auto"/>
                <w:sz w:val="24"/>
                <w:szCs w:val="24"/>
                <w:lang w:val="zh-CN"/>
              </w:rPr>
              <w:t>经</w:t>
            </w:r>
            <w:r>
              <w:rPr>
                <w:rFonts w:hint="eastAsia" w:ascii="Times New Roman" w:hAnsi="Times New Roman" w:eastAsia="宋体" w:cs="Times New Roman"/>
                <w:color w:val="auto"/>
                <w:sz w:val="24"/>
                <w:vertAlign w:val="baseline"/>
              </w:rPr>
              <w:t>经</w:t>
            </w:r>
            <w:r>
              <w:rPr>
                <w:rFonts w:hint="eastAsia" w:cs="Times New Roman"/>
                <w:color w:val="auto"/>
                <w:sz w:val="24"/>
                <w:vertAlign w:val="baseline"/>
                <w:lang w:eastAsia="zh-CN"/>
              </w:rPr>
              <w:t>“</w:t>
            </w:r>
            <w:r>
              <w:rPr>
                <w:rFonts w:hint="eastAsia" w:cs="Times New Roman"/>
                <w:color w:val="auto"/>
                <w:sz w:val="24"/>
                <w:vertAlign w:val="baseline"/>
                <w:lang w:val="en-US" w:eastAsia="zh-CN"/>
              </w:rPr>
              <w:t>电捕焦油器+</w:t>
            </w:r>
            <w:r>
              <w:rPr>
                <w:rFonts w:hint="eastAsia" w:ascii="Times New Roman" w:hAnsi="Times New Roman" w:eastAsia="宋体" w:cs="Times New Roman"/>
                <w:color w:val="auto"/>
                <w:sz w:val="24"/>
                <w:vertAlign w:val="baseline"/>
              </w:rPr>
              <w:t>活性炭吸附”</w:t>
            </w:r>
            <w:r>
              <w:rPr>
                <w:rFonts w:hint="eastAsia" w:ascii="Times New Roman" w:hAnsi="Times New Roman" w:eastAsia="宋体" w:cs="Times New Roman"/>
                <w:color w:val="auto"/>
                <w:sz w:val="24"/>
                <w:vertAlign w:val="baseline"/>
                <w:lang w:val="zh-CN"/>
              </w:rPr>
              <w:t>装置</w:t>
            </w:r>
            <w:r>
              <w:rPr>
                <w:rFonts w:hint="eastAsia" w:ascii="Times New Roman" w:hAnsi="Times New Roman" w:eastAsia="宋体" w:cs="Times New Roman"/>
                <w:color w:val="auto"/>
                <w:sz w:val="24"/>
                <w:vertAlign w:val="baseline"/>
                <w:lang w:val="en-US" w:eastAsia="zh-CN"/>
              </w:rPr>
              <w:t>处理</w:t>
            </w:r>
            <w:r>
              <w:rPr>
                <w:rFonts w:hint="default" w:ascii="Times New Roman" w:hAnsi="Times New Roman" w:cs="Times New Roman"/>
                <w:color w:val="auto"/>
                <w:kern w:val="0"/>
                <w:sz w:val="24"/>
                <w:lang w:eastAsia="zh-CN" w:bidi="ar"/>
              </w:rPr>
              <w:t>，仅有少量未收集的废气无组织排放，故项目</w:t>
            </w:r>
            <w:r>
              <w:rPr>
                <w:rFonts w:hint="default" w:ascii="Times New Roman" w:hAnsi="Times New Roman" w:cs="Times New Roman"/>
                <w:color w:val="auto"/>
                <w:kern w:val="0"/>
                <w:sz w:val="24"/>
                <w:lang w:bidi="ar"/>
              </w:rPr>
              <w:t>异味散发量较少，对周边环境影响较小</w:t>
            </w:r>
            <w:r>
              <w:rPr>
                <w:rFonts w:hint="eastAsia" w:cs="Times New Roman"/>
                <w:color w:val="auto"/>
                <w:kern w:val="0"/>
                <w:sz w:val="24"/>
                <w:lang w:eastAsia="zh-CN" w:bidi="ar"/>
              </w:rPr>
              <w:t>。</w:t>
            </w:r>
          </w:p>
          <w:p w14:paraId="7D118327">
            <w:pPr>
              <w:ind w:firstLine="480"/>
            </w:pPr>
          </w:p>
        </w:tc>
      </w:tr>
    </w:tbl>
    <w:p w14:paraId="1D163859">
      <w:pPr>
        <w:pStyle w:val="2"/>
        <w:jc w:val="center"/>
        <w:rPr>
          <w:rFonts w:hint="eastAsia"/>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
        <w:gridCol w:w="13934"/>
      </w:tblGrid>
      <w:tr w14:paraId="0DEB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0" w:type="dxa"/>
          </w:tcPr>
          <w:p w14:paraId="5A27467F">
            <w:pPr>
              <w:rPr>
                <w:rFonts w:hint="eastAsia"/>
              </w:rPr>
            </w:pPr>
          </w:p>
        </w:tc>
        <w:tc>
          <w:tcPr>
            <w:tcW w:w="13934" w:type="dxa"/>
          </w:tcPr>
          <w:p w14:paraId="0C8C9CEC">
            <w:pPr>
              <w:widowControl/>
              <w:ind w:left="0" w:leftChars="0" w:firstLine="0" w:firstLineChars="0"/>
              <w:jc w:val="center"/>
              <w:rPr>
                <w:b/>
                <w:bCs/>
                <w:sz w:val="21"/>
                <w:szCs w:val="21"/>
                <w:highlight w:val="none"/>
              </w:rPr>
            </w:pPr>
            <w:r>
              <w:rPr>
                <w:b/>
                <w:bCs/>
                <w:sz w:val="21"/>
                <w:szCs w:val="21"/>
                <w:highlight w:val="none"/>
              </w:rPr>
              <w:t>表4-</w:t>
            </w:r>
            <w:r>
              <w:rPr>
                <w:rFonts w:hint="eastAsia"/>
                <w:b/>
                <w:bCs/>
                <w:sz w:val="21"/>
                <w:szCs w:val="21"/>
                <w:highlight w:val="none"/>
                <w:lang w:val="en-US" w:eastAsia="zh-CN"/>
              </w:rPr>
              <w:t>3</w:t>
            </w:r>
            <w:r>
              <w:rPr>
                <w:b/>
                <w:bCs/>
                <w:sz w:val="21"/>
                <w:szCs w:val="21"/>
                <w:highlight w:val="none"/>
              </w:rPr>
              <w:t xml:space="preserve"> 废气污染物源强核算表</w:t>
            </w:r>
          </w:p>
          <w:tbl>
            <w:tblPr>
              <w:tblStyle w:val="16"/>
              <w:tblW w:w="13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656"/>
              <w:gridCol w:w="904"/>
              <w:gridCol w:w="929"/>
              <w:gridCol w:w="616"/>
              <w:gridCol w:w="982"/>
              <w:gridCol w:w="1209"/>
              <w:gridCol w:w="1247"/>
              <w:gridCol w:w="785"/>
              <w:gridCol w:w="751"/>
              <w:gridCol w:w="730"/>
              <w:gridCol w:w="982"/>
              <w:gridCol w:w="1209"/>
              <w:gridCol w:w="1247"/>
              <w:gridCol w:w="769"/>
            </w:tblGrid>
            <w:tr w14:paraId="2609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01" w:type="dxa"/>
                  <w:vMerge w:val="restart"/>
                  <w:vAlign w:val="center"/>
                </w:tcPr>
                <w:p w14:paraId="096CB38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工序</w:t>
                  </w:r>
                </w:p>
              </w:tc>
              <w:tc>
                <w:tcPr>
                  <w:tcW w:w="656" w:type="dxa"/>
                  <w:vMerge w:val="restart"/>
                  <w:vAlign w:val="center"/>
                </w:tcPr>
                <w:p w14:paraId="2A30C2F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装置</w:t>
                  </w:r>
                </w:p>
              </w:tc>
              <w:tc>
                <w:tcPr>
                  <w:tcW w:w="904" w:type="dxa"/>
                  <w:vMerge w:val="restart"/>
                  <w:vAlign w:val="center"/>
                </w:tcPr>
                <w:p w14:paraId="2BB49E6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tc>
              <w:tc>
                <w:tcPr>
                  <w:tcW w:w="929" w:type="dxa"/>
                  <w:vMerge w:val="restart"/>
                  <w:vAlign w:val="center"/>
                </w:tcPr>
                <w:p w14:paraId="4B2CB37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w:t>
                  </w:r>
                </w:p>
              </w:tc>
              <w:tc>
                <w:tcPr>
                  <w:tcW w:w="4054" w:type="dxa"/>
                  <w:gridSpan w:val="4"/>
                  <w:vAlign w:val="center"/>
                </w:tcPr>
                <w:p w14:paraId="0CEEFB3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污染物产生量</w:t>
                  </w:r>
                </w:p>
              </w:tc>
              <w:tc>
                <w:tcPr>
                  <w:tcW w:w="1536" w:type="dxa"/>
                  <w:gridSpan w:val="2"/>
                  <w:vAlign w:val="center"/>
                </w:tcPr>
                <w:p w14:paraId="4727111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治理措施</w:t>
                  </w:r>
                </w:p>
              </w:tc>
              <w:tc>
                <w:tcPr>
                  <w:tcW w:w="4168" w:type="dxa"/>
                  <w:gridSpan w:val="4"/>
                  <w:vAlign w:val="center"/>
                </w:tcPr>
                <w:p w14:paraId="40C68E9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污染物排放</w:t>
                  </w:r>
                </w:p>
              </w:tc>
              <w:tc>
                <w:tcPr>
                  <w:tcW w:w="769" w:type="dxa"/>
                  <w:vMerge w:val="restart"/>
                  <w:vAlign w:val="center"/>
                </w:tcPr>
                <w:p w14:paraId="1C5939C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排放时间（h）</w:t>
                  </w:r>
                </w:p>
              </w:tc>
            </w:tr>
            <w:tr w14:paraId="1DFD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801" w:type="dxa"/>
                  <w:vMerge w:val="continue"/>
                  <w:vAlign w:val="center"/>
                </w:tcPr>
                <w:p w14:paraId="569EBEB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c>
                <w:tcPr>
                  <w:tcW w:w="656" w:type="dxa"/>
                  <w:vMerge w:val="continue"/>
                  <w:vAlign w:val="center"/>
                </w:tcPr>
                <w:p w14:paraId="23074E3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c>
                <w:tcPr>
                  <w:tcW w:w="904" w:type="dxa"/>
                  <w:vMerge w:val="continue"/>
                  <w:vAlign w:val="center"/>
                </w:tcPr>
                <w:p w14:paraId="6A4F943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29" w:type="dxa"/>
                  <w:vMerge w:val="continue"/>
                  <w:vAlign w:val="center"/>
                </w:tcPr>
                <w:p w14:paraId="09F65A8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c>
                <w:tcPr>
                  <w:tcW w:w="616" w:type="dxa"/>
                  <w:vAlign w:val="center"/>
                </w:tcPr>
                <w:p w14:paraId="4AFB9E4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核算方法</w:t>
                  </w:r>
                </w:p>
              </w:tc>
              <w:tc>
                <w:tcPr>
                  <w:tcW w:w="982" w:type="dxa"/>
                  <w:vAlign w:val="center"/>
                </w:tcPr>
                <w:p w14:paraId="31F3A3D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废气产生量（t/a）</w:t>
                  </w:r>
                </w:p>
              </w:tc>
              <w:tc>
                <w:tcPr>
                  <w:tcW w:w="1209" w:type="dxa"/>
                  <w:vAlign w:val="center"/>
                </w:tcPr>
                <w:p w14:paraId="6AE25D9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产生速率（kg/h）</w:t>
                  </w:r>
                </w:p>
              </w:tc>
              <w:tc>
                <w:tcPr>
                  <w:tcW w:w="1247" w:type="dxa"/>
                  <w:vAlign w:val="center"/>
                </w:tcPr>
                <w:p w14:paraId="092CE01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产生浓度（mg/m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785" w:type="dxa"/>
                  <w:vAlign w:val="center"/>
                </w:tcPr>
                <w:p w14:paraId="199EA15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工艺</w:t>
                  </w:r>
                </w:p>
              </w:tc>
              <w:tc>
                <w:tcPr>
                  <w:tcW w:w="751" w:type="dxa"/>
                  <w:vAlign w:val="center"/>
                </w:tcPr>
                <w:p w14:paraId="75A124A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效率（%）</w:t>
                  </w:r>
                </w:p>
              </w:tc>
              <w:tc>
                <w:tcPr>
                  <w:tcW w:w="730" w:type="dxa"/>
                  <w:vAlign w:val="center"/>
                </w:tcPr>
                <w:p w14:paraId="4209146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核算方法</w:t>
                  </w:r>
                </w:p>
              </w:tc>
              <w:tc>
                <w:tcPr>
                  <w:tcW w:w="982" w:type="dxa"/>
                  <w:vAlign w:val="center"/>
                </w:tcPr>
                <w:p w14:paraId="715FC01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废气排放量（t/a）</w:t>
                  </w:r>
                </w:p>
              </w:tc>
              <w:tc>
                <w:tcPr>
                  <w:tcW w:w="1209" w:type="dxa"/>
                  <w:vAlign w:val="center"/>
                </w:tcPr>
                <w:p w14:paraId="015990B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排放速率（kg/h）</w:t>
                  </w:r>
                </w:p>
              </w:tc>
              <w:tc>
                <w:tcPr>
                  <w:tcW w:w="1247" w:type="dxa"/>
                  <w:vAlign w:val="center"/>
                </w:tcPr>
                <w:p w14:paraId="6412A70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排放浓度（mg/m</w:t>
                  </w:r>
                  <w:r>
                    <w:rPr>
                      <w:rFonts w:hint="default" w:ascii="Times New Roman" w:hAnsi="Times New Roman" w:eastAsia="宋体" w:cs="Times New Roman"/>
                      <w:b/>
                      <w:sz w:val="21"/>
                      <w:szCs w:val="21"/>
                      <w:vertAlign w:val="superscript"/>
                    </w:rPr>
                    <w:t>3</w:t>
                  </w:r>
                  <w:r>
                    <w:rPr>
                      <w:rFonts w:hint="default" w:ascii="Times New Roman" w:hAnsi="Times New Roman" w:eastAsia="宋体" w:cs="Times New Roman"/>
                      <w:b/>
                      <w:sz w:val="21"/>
                      <w:szCs w:val="21"/>
                    </w:rPr>
                    <w:t>）</w:t>
                  </w:r>
                </w:p>
              </w:tc>
              <w:tc>
                <w:tcPr>
                  <w:tcW w:w="769" w:type="dxa"/>
                  <w:vMerge w:val="continue"/>
                  <w:vAlign w:val="center"/>
                </w:tcPr>
                <w:p w14:paraId="3A9FC2B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356C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801" w:type="dxa"/>
                  <w:vMerge w:val="restart"/>
                  <w:vAlign w:val="center"/>
                </w:tcPr>
                <w:p w14:paraId="04D09DC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砂石料</w:t>
                  </w:r>
                  <w:r>
                    <w:rPr>
                      <w:rFonts w:hint="default" w:ascii="Times New Roman" w:hAnsi="Times New Roman" w:eastAsia="宋体" w:cs="Times New Roman"/>
                      <w:bCs/>
                      <w:color w:val="auto"/>
                      <w:sz w:val="21"/>
                      <w:szCs w:val="21"/>
                      <w:lang w:val="en-US" w:eastAsia="zh-CN"/>
                    </w:rPr>
                    <w:t>投料、烘干、筛分</w:t>
                  </w:r>
                </w:p>
              </w:tc>
              <w:tc>
                <w:tcPr>
                  <w:tcW w:w="656" w:type="dxa"/>
                  <w:vMerge w:val="restart"/>
                  <w:vAlign w:val="center"/>
                </w:tcPr>
                <w:p w14:paraId="5811CA7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皮带输送机</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烘干</w:t>
                  </w:r>
                  <w:r>
                    <w:rPr>
                      <w:rFonts w:hint="eastAsia" w:ascii="Times New Roman" w:hAnsi="Times New Roman" w:eastAsia="宋体" w:cs="Times New Roman"/>
                      <w:bCs/>
                      <w:color w:val="auto"/>
                      <w:sz w:val="21"/>
                      <w:szCs w:val="21"/>
                      <w:lang w:val="en-US" w:eastAsia="zh-CN"/>
                    </w:rPr>
                    <w:t>滚筒</w:t>
                  </w:r>
                  <w:r>
                    <w:rPr>
                      <w:rFonts w:hint="default" w:ascii="Times New Roman" w:hAnsi="Times New Roman" w:eastAsia="宋体" w:cs="Times New Roman"/>
                      <w:bCs/>
                      <w:color w:val="auto"/>
                      <w:sz w:val="21"/>
                      <w:szCs w:val="21"/>
                      <w:lang w:val="en-US" w:eastAsia="zh-CN"/>
                    </w:rPr>
                    <w:t>、筛分机</w:t>
                  </w:r>
                </w:p>
              </w:tc>
              <w:tc>
                <w:tcPr>
                  <w:tcW w:w="904" w:type="dxa"/>
                  <w:vMerge w:val="restart"/>
                  <w:vAlign w:val="center"/>
                </w:tcPr>
                <w:p w14:paraId="709D21C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DA001</w:t>
                  </w:r>
                  <w:r>
                    <w:rPr>
                      <w:rFonts w:hint="eastAsia" w:cs="Times New Roman"/>
                      <w:bCs/>
                      <w:color w:val="auto"/>
                      <w:sz w:val="21"/>
                      <w:szCs w:val="21"/>
                      <w:highlight w:val="none"/>
                      <w:lang w:val="en-US" w:eastAsia="zh-CN"/>
                    </w:rPr>
                    <w:t>上料</w:t>
                  </w:r>
                  <w:r>
                    <w:rPr>
                      <w:rFonts w:hint="eastAsia" w:ascii="Times New Roman" w:hAnsi="Times New Roman" w:eastAsia="宋体" w:cs="Times New Roman"/>
                      <w:bCs/>
                      <w:color w:val="auto"/>
                      <w:sz w:val="21"/>
                      <w:szCs w:val="21"/>
                      <w:highlight w:val="none"/>
                      <w:lang w:val="en-US" w:eastAsia="zh-CN"/>
                    </w:rPr>
                    <w:t>扬尘、烘干滚筒燃烧废气、烘干滚筒石料滚动扬尘、筛分扬尘</w:t>
                  </w:r>
                </w:p>
              </w:tc>
              <w:tc>
                <w:tcPr>
                  <w:tcW w:w="929" w:type="dxa"/>
                  <w:vAlign w:val="center"/>
                </w:tcPr>
                <w:p w14:paraId="47A4396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废气量</w:t>
                  </w:r>
                </w:p>
              </w:tc>
              <w:tc>
                <w:tcPr>
                  <w:tcW w:w="616" w:type="dxa"/>
                  <w:vAlign w:val="center"/>
                </w:tcPr>
                <w:p w14:paraId="0B8B154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3438" w:type="dxa"/>
                  <w:gridSpan w:val="3"/>
                  <w:vAlign w:val="center"/>
                </w:tcPr>
                <w:p w14:paraId="7659ADF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70110</w:t>
                  </w:r>
                  <w:r>
                    <w:rPr>
                      <w:rFonts w:hint="default" w:ascii="Times New Roman" w:hAnsi="Times New Roman" w:eastAsia="宋体" w:cs="Times New Roman"/>
                      <w:b w:val="0"/>
                      <w:bCs/>
                      <w:color w:val="auto"/>
                      <w:sz w:val="21"/>
                      <w:szCs w:val="21"/>
                      <w:highlight w:val="no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/h</w:t>
                  </w:r>
                </w:p>
              </w:tc>
              <w:tc>
                <w:tcPr>
                  <w:tcW w:w="785" w:type="dxa"/>
                  <w:vAlign w:val="center"/>
                </w:tcPr>
                <w:p w14:paraId="1668FEA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751" w:type="dxa"/>
                  <w:vAlign w:val="center"/>
                </w:tcPr>
                <w:p w14:paraId="79339FD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730" w:type="dxa"/>
                  <w:vAlign w:val="center"/>
                </w:tcPr>
                <w:p w14:paraId="4B2FA96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w:t>
                  </w:r>
                </w:p>
              </w:tc>
              <w:tc>
                <w:tcPr>
                  <w:tcW w:w="3438" w:type="dxa"/>
                  <w:gridSpan w:val="3"/>
                  <w:vAlign w:val="center"/>
                </w:tcPr>
                <w:p w14:paraId="7C3A9E3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rPr>
                  </w:pPr>
                  <w:r>
                    <w:rPr>
                      <w:rFonts w:hint="eastAsia" w:cs="Times New Roman"/>
                      <w:b w:val="0"/>
                      <w:bCs/>
                      <w:color w:val="auto"/>
                      <w:sz w:val="21"/>
                      <w:szCs w:val="21"/>
                      <w:highlight w:val="none"/>
                      <w:lang w:val="en-US" w:eastAsia="zh-CN"/>
                    </w:rPr>
                    <w:t>70110</w:t>
                  </w:r>
                  <w:r>
                    <w:rPr>
                      <w:rFonts w:hint="default" w:ascii="Times New Roman" w:hAnsi="Times New Roman" w:eastAsia="宋体" w:cs="Times New Roman"/>
                      <w:b w:val="0"/>
                      <w:bCs/>
                      <w:color w:val="auto"/>
                      <w:sz w:val="21"/>
                      <w:szCs w:val="21"/>
                      <w:highlight w:val="no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/h</w:t>
                  </w:r>
                </w:p>
              </w:tc>
              <w:tc>
                <w:tcPr>
                  <w:tcW w:w="769" w:type="dxa"/>
                  <w:vMerge w:val="restart"/>
                  <w:vAlign w:val="center"/>
                </w:tcPr>
                <w:p w14:paraId="23010B9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1440</w:t>
                  </w:r>
                </w:p>
              </w:tc>
            </w:tr>
            <w:tr w14:paraId="560E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801" w:type="dxa"/>
                  <w:vMerge w:val="continue"/>
                  <w:vAlign w:val="center"/>
                </w:tcPr>
                <w:p w14:paraId="177A0BD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lang w:val="en-US" w:eastAsia="zh-CN"/>
                    </w:rPr>
                  </w:pPr>
                </w:p>
              </w:tc>
              <w:tc>
                <w:tcPr>
                  <w:tcW w:w="656" w:type="dxa"/>
                  <w:vMerge w:val="continue"/>
                  <w:vAlign w:val="center"/>
                </w:tcPr>
                <w:p w14:paraId="04549E6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lang w:val="en-US" w:eastAsia="zh-CN"/>
                    </w:rPr>
                  </w:pPr>
                </w:p>
              </w:tc>
              <w:tc>
                <w:tcPr>
                  <w:tcW w:w="904" w:type="dxa"/>
                  <w:vMerge w:val="continue"/>
                  <w:vAlign w:val="center"/>
                </w:tcPr>
                <w:p w14:paraId="018B19F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lang w:val="en-US" w:eastAsia="zh-CN"/>
                    </w:rPr>
                  </w:pPr>
                </w:p>
              </w:tc>
              <w:tc>
                <w:tcPr>
                  <w:tcW w:w="929" w:type="dxa"/>
                  <w:vAlign w:val="center"/>
                </w:tcPr>
                <w:p w14:paraId="1042CA0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16" w:type="dxa"/>
                  <w:vMerge w:val="restart"/>
                  <w:vAlign w:val="center"/>
                </w:tcPr>
                <w:p w14:paraId="565AEC0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产污系数</w:t>
                  </w:r>
                </w:p>
              </w:tc>
              <w:tc>
                <w:tcPr>
                  <w:tcW w:w="982" w:type="dxa"/>
                  <w:vAlign w:val="center"/>
                </w:tcPr>
                <w:p w14:paraId="5C5F63C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15.849</w:t>
                  </w:r>
                </w:p>
              </w:tc>
              <w:tc>
                <w:tcPr>
                  <w:tcW w:w="1209" w:type="dxa"/>
                  <w:vAlign w:val="center"/>
                </w:tcPr>
                <w:p w14:paraId="1E3D3B5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11.006</w:t>
                  </w:r>
                </w:p>
              </w:tc>
              <w:tc>
                <w:tcPr>
                  <w:tcW w:w="1247" w:type="dxa"/>
                  <w:vAlign w:val="center"/>
                </w:tcPr>
                <w:p w14:paraId="4DDA1E1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156.982</w:t>
                  </w:r>
                </w:p>
              </w:tc>
              <w:tc>
                <w:tcPr>
                  <w:tcW w:w="785" w:type="dxa"/>
                  <w:vMerge w:val="restart"/>
                  <w:vAlign w:val="center"/>
                </w:tcPr>
                <w:p w14:paraId="2E8CD5B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Cs/>
                      <w:color w:val="auto"/>
                      <w:sz w:val="21"/>
                      <w:szCs w:val="21"/>
                      <w:lang w:val="en-US" w:eastAsia="zh-CN"/>
                    </w:rPr>
                    <w:t>输送廊道封闭</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旋风除尘器+</w:t>
                  </w:r>
                  <w:r>
                    <w:rPr>
                      <w:rFonts w:hint="default" w:ascii="Times New Roman" w:hAnsi="Times New Roman" w:eastAsia="宋体" w:cs="Times New Roman"/>
                      <w:b w:val="0"/>
                      <w:bCs/>
                      <w:color w:val="auto"/>
                      <w:sz w:val="21"/>
                      <w:szCs w:val="21"/>
                      <w:lang w:val="en-US" w:eastAsia="zh-CN"/>
                    </w:rPr>
                    <w:t>布袋除尘器</w:t>
                  </w:r>
                </w:p>
              </w:tc>
              <w:tc>
                <w:tcPr>
                  <w:tcW w:w="751" w:type="dxa"/>
                  <w:vAlign w:val="center"/>
                </w:tcPr>
                <w:p w14:paraId="742ABC5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99</w:t>
                  </w:r>
                </w:p>
              </w:tc>
              <w:tc>
                <w:tcPr>
                  <w:tcW w:w="730" w:type="dxa"/>
                  <w:vAlign w:val="center"/>
                </w:tcPr>
                <w:p w14:paraId="6585410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排</w:t>
                  </w:r>
                  <w:r>
                    <w:rPr>
                      <w:rFonts w:hint="default" w:ascii="Times New Roman" w:hAnsi="Times New Roman" w:eastAsia="宋体" w:cs="Times New Roman"/>
                      <w:b w:val="0"/>
                      <w:bCs/>
                      <w:color w:val="auto"/>
                      <w:sz w:val="21"/>
                      <w:szCs w:val="21"/>
                    </w:rPr>
                    <w:t>污系数</w:t>
                  </w:r>
                </w:p>
              </w:tc>
              <w:tc>
                <w:tcPr>
                  <w:tcW w:w="982" w:type="dxa"/>
                  <w:vAlign w:val="center"/>
                </w:tcPr>
                <w:p w14:paraId="73A23BD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0.158</w:t>
                  </w:r>
                </w:p>
              </w:tc>
              <w:tc>
                <w:tcPr>
                  <w:tcW w:w="1209" w:type="dxa"/>
                  <w:vAlign w:val="center"/>
                </w:tcPr>
                <w:p w14:paraId="7BDECEF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110</w:t>
                  </w:r>
                </w:p>
              </w:tc>
              <w:tc>
                <w:tcPr>
                  <w:tcW w:w="1247" w:type="dxa"/>
                  <w:vAlign w:val="center"/>
                </w:tcPr>
                <w:p w14:paraId="082A5B3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1.569</w:t>
                  </w:r>
                </w:p>
              </w:tc>
              <w:tc>
                <w:tcPr>
                  <w:tcW w:w="769" w:type="dxa"/>
                  <w:vMerge w:val="continue"/>
                  <w:vAlign w:val="center"/>
                </w:tcPr>
                <w:p w14:paraId="7815FB6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3C61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801" w:type="dxa"/>
                  <w:vMerge w:val="continue"/>
                  <w:vAlign w:val="center"/>
                </w:tcPr>
                <w:p w14:paraId="4A34288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7365B16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5D90039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29" w:type="dxa"/>
                  <w:vAlign w:val="center"/>
                </w:tcPr>
                <w:p w14:paraId="5B07F85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SO</w:t>
                  </w:r>
                  <w:r>
                    <w:rPr>
                      <w:rFonts w:hint="default" w:ascii="Times New Roman" w:hAnsi="Times New Roman" w:eastAsia="宋体" w:cs="Times New Roman"/>
                      <w:b w:val="0"/>
                      <w:bCs/>
                      <w:color w:val="auto"/>
                      <w:sz w:val="21"/>
                      <w:szCs w:val="21"/>
                      <w:vertAlign w:val="subscript"/>
                      <w:lang w:val="en-US" w:eastAsia="zh-CN"/>
                    </w:rPr>
                    <w:t>2</w:t>
                  </w:r>
                </w:p>
              </w:tc>
              <w:tc>
                <w:tcPr>
                  <w:tcW w:w="616" w:type="dxa"/>
                  <w:vMerge w:val="continue"/>
                  <w:vAlign w:val="center"/>
                </w:tcPr>
                <w:p w14:paraId="1F76210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982" w:type="dxa"/>
                  <w:vAlign w:val="center"/>
                </w:tcPr>
                <w:p w14:paraId="0482CDA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0.2</w:t>
                  </w:r>
                </w:p>
              </w:tc>
              <w:tc>
                <w:tcPr>
                  <w:tcW w:w="1209" w:type="dxa"/>
                  <w:vAlign w:val="center"/>
                </w:tcPr>
                <w:p w14:paraId="7E864AD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139</w:t>
                  </w:r>
                </w:p>
              </w:tc>
              <w:tc>
                <w:tcPr>
                  <w:tcW w:w="1247" w:type="dxa"/>
                  <w:vAlign w:val="center"/>
                </w:tcPr>
                <w:p w14:paraId="6080ECB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1.982</w:t>
                  </w:r>
                </w:p>
              </w:tc>
              <w:tc>
                <w:tcPr>
                  <w:tcW w:w="785" w:type="dxa"/>
                  <w:vMerge w:val="continue"/>
                  <w:vAlign w:val="center"/>
                </w:tcPr>
                <w:p w14:paraId="22F800E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751" w:type="dxa"/>
                  <w:vAlign w:val="center"/>
                </w:tcPr>
                <w:p w14:paraId="32923A4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w:t>
                  </w:r>
                </w:p>
              </w:tc>
              <w:tc>
                <w:tcPr>
                  <w:tcW w:w="730" w:type="dxa"/>
                  <w:vAlign w:val="center"/>
                </w:tcPr>
                <w:p w14:paraId="0552A2C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物料衡算</w:t>
                  </w:r>
                </w:p>
              </w:tc>
              <w:tc>
                <w:tcPr>
                  <w:tcW w:w="982" w:type="dxa"/>
                  <w:shd w:val="clear" w:color="auto" w:fill="auto"/>
                  <w:vAlign w:val="center"/>
                </w:tcPr>
                <w:p w14:paraId="56DDD36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0.2</w:t>
                  </w:r>
                </w:p>
              </w:tc>
              <w:tc>
                <w:tcPr>
                  <w:tcW w:w="1209" w:type="dxa"/>
                  <w:shd w:val="clear" w:color="auto" w:fill="auto"/>
                  <w:vAlign w:val="center"/>
                </w:tcPr>
                <w:p w14:paraId="0562E72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139</w:t>
                  </w:r>
                </w:p>
              </w:tc>
              <w:tc>
                <w:tcPr>
                  <w:tcW w:w="1247" w:type="dxa"/>
                  <w:shd w:val="clear" w:color="auto" w:fill="auto"/>
                  <w:vAlign w:val="center"/>
                </w:tcPr>
                <w:p w14:paraId="604AF15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1.982</w:t>
                  </w:r>
                </w:p>
              </w:tc>
              <w:tc>
                <w:tcPr>
                  <w:tcW w:w="769" w:type="dxa"/>
                  <w:vMerge w:val="continue"/>
                  <w:vAlign w:val="center"/>
                </w:tcPr>
                <w:p w14:paraId="5FBA7E9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0233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vAlign w:val="center"/>
                </w:tcPr>
                <w:p w14:paraId="4CCDB52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2D8E81E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1F0FEF4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29" w:type="dxa"/>
                  <w:vAlign w:val="center"/>
                </w:tcPr>
                <w:p w14:paraId="351FB28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NO</w:t>
                  </w:r>
                  <w:r>
                    <w:rPr>
                      <w:rFonts w:hint="default" w:ascii="Times New Roman" w:hAnsi="Times New Roman" w:eastAsia="宋体" w:cs="Times New Roman"/>
                      <w:b w:val="0"/>
                      <w:bCs/>
                      <w:color w:val="auto"/>
                      <w:sz w:val="21"/>
                      <w:szCs w:val="21"/>
                      <w:vertAlign w:val="subscript"/>
                      <w:lang w:val="en-US" w:eastAsia="zh-CN"/>
                    </w:rPr>
                    <w:t>X</w:t>
                  </w:r>
                </w:p>
              </w:tc>
              <w:tc>
                <w:tcPr>
                  <w:tcW w:w="616" w:type="dxa"/>
                  <w:vMerge w:val="continue"/>
                  <w:vAlign w:val="center"/>
                </w:tcPr>
                <w:p w14:paraId="31F3E4A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982" w:type="dxa"/>
                  <w:vAlign w:val="center"/>
                </w:tcPr>
                <w:p w14:paraId="6DE2666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0.184</w:t>
                  </w:r>
                </w:p>
              </w:tc>
              <w:tc>
                <w:tcPr>
                  <w:tcW w:w="1209" w:type="dxa"/>
                  <w:vAlign w:val="center"/>
                </w:tcPr>
                <w:p w14:paraId="16CDBA6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.128</w:t>
                  </w:r>
                </w:p>
              </w:tc>
              <w:tc>
                <w:tcPr>
                  <w:tcW w:w="1247" w:type="dxa"/>
                  <w:vAlign w:val="center"/>
                </w:tcPr>
                <w:p w14:paraId="3F01FFC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1.826</w:t>
                  </w:r>
                </w:p>
              </w:tc>
              <w:tc>
                <w:tcPr>
                  <w:tcW w:w="785" w:type="dxa"/>
                  <w:vMerge w:val="continue"/>
                  <w:vAlign w:val="center"/>
                </w:tcPr>
                <w:p w14:paraId="1D25B8D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751" w:type="dxa"/>
                  <w:vAlign w:val="center"/>
                </w:tcPr>
                <w:p w14:paraId="6066B6D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30" w:type="dxa"/>
                  <w:vAlign w:val="center"/>
                </w:tcPr>
                <w:p w14:paraId="092F658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排</w:t>
                  </w:r>
                  <w:r>
                    <w:rPr>
                      <w:rFonts w:hint="default" w:ascii="Times New Roman" w:hAnsi="Times New Roman" w:eastAsia="宋体" w:cs="Times New Roman"/>
                      <w:b w:val="0"/>
                      <w:bCs/>
                      <w:color w:val="auto"/>
                      <w:sz w:val="21"/>
                      <w:szCs w:val="21"/>
                    </w:rPr>
                    <w:t>污系数</w:t>
                  </w:r>
                </w:p>
              </w:tc>
              <w:tc>
                <w:tcPr>
                  <w:tcW w:w="982" w:type="dxa"/>
                  <w:vAlign w:val="center"/>
                </w:tcPr>
                <w:p w14:paraId="17B33A9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0.184</w:t>
                  </w:r>
                </w:p>
              </w:tc>
              <w:tc>
                <w:tcPr>
                  <w:tcW w:w="1209" w:type="dxa"/>
                  <w:vAlign w:val="center"/>
                </w:tcPr>
                <w:p w14:paraId="57AE0A5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.128</w:t>
                  </w:r>
                </w:p>
              </w:tc>
              <w:tc>
                <w:tcPr>
                  <w:tcW w:w="1247" w:type="dxa"/>
                  <w:vAlign w:val="center"/>
                </w:tcPr>
                <w:p w14:paraId="00357A6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1.826</w:t>
                  </w:r>
                </w:p>
              </w:tc>
              <w:tc>
                <w:tcPr>
                  <w:tcW w:w="769" w:type="dxa"/>
                  <w:vMerge w:val="continue"/>
                  <w:vAlign w:val="center"/>
                </w:tcPr>
                <w:p w14:paraId="0476D4C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574C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01" w:type="dxa"/>
                  <w:vMerge w:val="restart"/>
                  <w:vAlign w:val="center"/>
                </w:tcPr>
                <w:p w14:paraId="388EE0A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沥青预处理</w:t>
                  </w:r>
                </w:p>
              </w:tc>
              <w:tc>
                <w:tcPr>
                  <w:tcW w:w="656" w:type="dxa"/>
                  <w:vMerge w:val="restart"/>
                  <w:vAlign w:val="center"/>
                </w:tcPr>
                <w:p w14:paraId="04F7198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有机热载体炉</w:t>
                  </w:r>
                </w:p>
              </w:tc>
              <w:tc>
                <w:tcPr>
                  <w:tcW w:w="904" w:type="dxa"/>
                  <w:vMerge w:val="restart"/>
                  <w:vAlign w:val="center"/>
                </w:tcPr>
                <w:p w14:paraId="3789C78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DA002</w:t>
                  </w:r>
                  <w:r>
                    <w:rPr>
                      <w:rFonts w:hint="eastAsia" w:ascii="Times New Roman" w:hAnsi="Times New Roman" w:eastAsia="宋体" w:cs="Times New Roman"/>
                      <w:color w:val="auto"/>
                      <w:sz w:val="21"/>
                      <w:szCs w:val="21"/>
                      <w:highlight w:val="none"/>
                      <w:lang w:val="en-US" w:eastAsia="zh-CN"/>
                    </w:rPr>
                    <w:t>有机热载体炉</w:t>
                  </w:r>
                  <w:r>
                    <w:rPr>
                      <w:rFonts w:hint="eastAsia" w:cs="Times New Roman"/>
                      <w:color w:val="auto"/>
                      <w:sz w:val="21"/>
                      <w:szCs w:val="21"/>
                      <w:highlight w:val="none"/>
                      <w:lang w:val="en-US" w:eastAsia="zh-CN"/>
                    </w:rPr>
                    <w:t>废气</w:t>
                  </w:r>
                </w:p>
              </w:tc>
              <w:tc>
                <w:tcPr>
                  <w:tcW w:w="929" w:type="dxa"/>
                  <w:vAlign w:val="center"/>
                </w:tcPr>
                <w:p w14:paraId="5688665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highlight w:val="none"/>
                      <w:lang w:val="en-US" w:eastAsia="zh-CN"/>
                    </w:rPr>
                    <w:t>废气量</w:t>
                  </w:r>
                </w:p>
              </w:tc>
              <w:tc>
                <w:tcPr>
                  <w:tcW w:w="616" w:type="dxa"/>
                  <w:vMerge w:val="restart"/>
                  <w:vAlign w:val="center"/>
                </w:tcPr>
                <w:p w14:paraId="73CE9AF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产污系数</w:t>
                  </w:r>
                </w:p>
              </w:tc>
              <w:tc>
                <w:tcPr>
                  <w:tcW w:w="3438" w:type="dxa"/>
                  <w:gridSpan w:val="3"/>
                  <w:vAlign w:val="center"/>
                </w:tcPr>
                <w:p w14:paraId="0CFD113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618.194</w:t>
                  </w:r>
                  <w:r>
                    <w:rPr>
                      <w:rFonts w:hint="default" w:ascii="Times New Roman" w:hAnsi="Times New Roman" w:eastAsia="宋体" w:cs="Times New Roman"/>
                      <w:b w:val="0"/>
                      <w:bCs/>
                      <w:color w:val="auto"/>
                      <w:sz w:val="21"/>
                      <w:szCs w:val="21"/>
                      <w:lang w:val="en-US" w:eastAsia="zh-CN"/>
                    </w:rPr>
                    <w:t>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/h</w:t>
                  </w:r>
                </w:p>
              </w:tc>
              <w:tc>
                <w:tcPr>
                  <w:tcW w:w="785" w:type="dxa"/>
                  <w:vMerge w:val="restart"/>
                  <w:vAlign w:val="center"/>
                </w:tcPr>
                <w:p w14:paraId="0A299A8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无</w:t>
                  </w:r>
                </w:p>
              </w:tc>
              <w:tc>
                <w:tcPr>
                  <w:tcW w:w="751" w:type="dxa"/>
                  <w:vAlign w:val="center"/>
                </w:tcPr>
                <w:p w14:paraId="7D5741F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w:t>
                  </w:r>
                </w:p>
              </w:tc>
              <w:tc>
                <w:tcPr>
                  <w:tcW w:w="730" w:type="dxa"/>
                  <w:vMerge w:val="restart"/>
                  <w:vAlign w:val="center"/>
                </w:tcPr>
                <w:p w14:paraId="030B903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排污系数</w:t>
                  </w:r>
                </w:p>
              </w:tc>
              <w:tc>
                <w:tcPr>
                  <w:tcW w:w="3438" w:type="dxa"/>
                  <w:gridSpan w:val="3"/>
                  <w:vAlign w:val="center"/>
                </w:tcPr>
                <w:p w14:paraId="6F4AC3B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eastAsia" w:cs="Times New Roman"/>
                      <w:b w:val="0"/>
                      <w:bCs/>
                      <w:color w:val="auto"/>
                      <w:sz w:val="21"/>
                      <w:szCs w:val="21"/>
                      <w:lang w:val="en-US" w:eastAsia="zh-CN"/>
                    </w:rPr>
                    <w:t>618.194</w:t>
                  </w:r>
                  <w:r>
                    <w:rPr>
                      <w:rFonts w:hint="default" w:ascii="Times New Roman" w:hAnsi="Times New Roman" w:eastAsia="宋体" w:cs="Times New Roman"/>
                      <w:b w:val="0"/>
                      <w:bCs/>
                      <w:color w:val="auto"/>
                      <w:sz w:val="21"/>
                      <w:szCs w:val="21"/>
                      <w:lang w:val="en-US" w:eastAsia="zh-CN"/>
                    </w:rPr>
                    <w:t>m</w:t>
                  </w:r>
                  <w:r>
                    <w:rPr>
                      <w:rFonts w:hint="default" w:ascii="Times New Roman" w:hAnsi="Times New Roman" w:eastAsia="宋体" w:cs="Times New Roman"/>
                      <w:b w:val="0"/>
                      <w:bCs/>
                      <w:color w:val="auto"/>
                      <w:sz w:val="21"/>
                      <w:szCs w:val="21"/>
                      <w:vertAlign w:val="superscript"/>
                      <w:lang w:val="en-US" w:eastAsia="zh-CN"/>
                    </w:rPr>
                    <w:t>3</w:t>
                  </w:r>
                  <w:r>
                    <w:rPr>
                      <w:rFonts w:hint="default" w:ascii="Times New Roman" w:hAnsi="Times New Roman" w:eastAsia="宋体" w:cs="Times New Roman"/>
                      <w:b w:val="0"/>
                      <w:bCs/>
                      <w:color w:val="auto"/>
                      <w:sz w:val="21"/>
                      <w:szCs w:val="21"/>
                      <w:lang w:val="en-US" w:eastAsia="zh-CN"/>
                    </w:rPr>
                    <w:t>/h</w:t>
                  </w:r>
                </w:p>
              </w:tc>
              <w:tc>
                <w:tcPr>
                  <w:tcW w:w="769" w:type="dxa"/>
                  <w:vMerge w:val="restart"/>
                  <w:vAlign w:val="center"/>
                </w:tcPr>
                <w:p w14:paraId="4BF333D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1440</w:t>
                  </w:r>
                </w:p>
              </w:tc>
            </w:tr>
            <w:tr w14:paraId="5CA2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01" w:type="dxa"/>
                  <w:vMerge w:val="continue"/>
                  <w:vAlign w:val="center"/>
                </w:tcPr>
                <w:p w14:paraId="6EC1F7C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50AA43D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3290BAA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29" w:type="dxa"/>
                  <w:vAlign w:val="center"/>
                </w:tcPr>
                <w:p w14:paraId="19E237C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c>
                <w:tcPr>
                  <w:tcW w:w="616" w:type="dxa"/>
                  <w:vMerge w:val="continue"/>
                  <w:vAlign w:val="center"/>
                </w:tcPr>
                <w:p w14:paraId="1FE4489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982" w:type="dxa"/>
                  <w:vAlign w:val="center"/>
                </w:tcPr>
                <w:p w14:paraId="2B5E422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13</w:t>
                  </w:r>
                </w:p>
              </w:tc>
              <w:tc>
                <w:tcPr>
                  <w:tcW w:w="1209" w:type="dxa"/>
                  <w:vAlign w:val="center"/>
                </w:tcPr>
                <w:p w14:paraId="6F7B7F2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w:t>
                  </w:r>
                  <w:r>
                    <w:rPr>
                      <w:rFonts w:hint="eastAsia" w:cs="Times New Roman"/>
                      <w:b w:val="0"/>
                      <w:bCs/>
                      <w:color w:val="auto"/>
                      <w:sz w:val="21"/>
                      <w:szCs w:val="21"/>
                      <w:lang w:val="en-US" w:eastAsia="zh-CN"/>
                    </w:rPr>
                    <w:t>9</w:t>
                  </w:r>
                </w:p>
              </w:tc>
              <w:tc>
                <w:tcPr>
                  <w:tcW w:w="1247" w:type="dxa"/>
                  <w:vAlign w:val="center"/>
                </w:tcPr>
                <w:p w14:paraId="2DB41E0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14.558</w:t>
                  </w:r>
                </w:p>
              </w:tc>
              <w:tc>
                <w:tcPr>
                  <w:tcW w:w="785" w:type="dxa"/>
                  <w:vMerge w:val="continue"/>
                  <w:vAlign w:val="center"/>
                </w:tcPr>
                <w:p w14:paraId="4D918F5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751" w:type="dxa"/>
                  <w:vAlign w:val="center"/>
                </w:tcPr>
                <w:p w14:paraId="5D12F3F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30" w:type="dxa"/>
                  <w:vMerge w:val="continue"/>
                  <w:vAlign w:val="center"/>
                </w:tcPr>
                <w:p w14:paraId="4A44504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982" w:type="dxa"/>
                  <w:vAlign w:val="center"/>
                </w:tcPr>
                <w:p w14:paraId="4B6AB03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13</w:t>
                  </w:r>
                </w:p>
              </w:tc>
              <w:tc>
                <w:tcPr>
                  <w:tcW w:w="1209" w:type="dxa"/>
                  <w:vAlign w:val="center"/>
                </w:tcPr>
                <w:p w14:paraId="58B624A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val="0"/>
                      <w:bCs/>
                      <w:color w:val="auto"/>
                      <w:sz w:val="21"/>
                      <w:szCs w:val="21"/>
                      <w:lang w:val="en-US" w:eastAsia="zh-CN"/>
                    </w:rPr>
                    <w:t>0.00</w:t>
                  </w:r>
                  <w:r>
                    <w:rPr>
                      <w:rFonts w:hint="eastAsia" w:cs="Times New Roman"/>
                      <w:b w:val="0"/>
                      <w:bCs/>
                      <w:color w:val="auto"/>
                      <w:sz w:val="21"/>
                      <w:szCs w:val="21"/>
                      <w:lang w:val="en-US" w:eastAsia="zh-CN"/>
                    </w:rPr>
                    <w:t>9</w:t>
                  </w:r>
                </w:p>
              </w:tc>
              <w:tc>
                <w:tcPr>
                  <w:tcW w:w="1247" w:type="dxa"/>
                  <w:vAlign w:val="center"/>
                </w:tcPr>
                <w:p w14:paraId="5AC909D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eastAsia" w:cs="Times New Roman"/>
                      <w:b w:val="0"/>
                      <w:bCs/>
                      <w:color w:val="auto"/>
                      <w:sz w:val="21"/>
                      <w:szCs w:val="21"/>
                      <w:lang w:val="en-US" w:eastAsia="zh-CN"/>
                    </w:rPr>
                    <w:t>14.558</w:t>
                  </w:r>
                </w:p>
              </w:tc>
              <w:tc>
                <w:tcPr>
                  <w:tcW w:w="769" w:type="dxa"/>
                  <w:vMerge w:val="continue"/>
                  <w:vAlign w:val="center"/>
                </w:tcPr>
                <w:p w14:paraId="7B71327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65C12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801" w:type="dxa"/>
                  <w:vMerge w:val="continue"/>
                  <w:vAlign w:val="center"/>
                </w:tcPr>
                <w:p w14:paraId="0FC7D36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06EB0F1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1561D3C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29" w:type="dxa"/>
                  <w:vAlign w:val="center"/>
                </w:tcPr>
                <w:p w14:paraId="0399C89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SO</w:t>
                  </w:r>
                  <w:r>
                    <w:rPr>
                      <w:rFonts w:hint="default" w:ascii="Times New Roman" w:hAnsi="Times New Roman" w:eastAsia="宋体" w:cs="Times New Roman"/>
                      <w:b w:val="0"/>
                      <w:bCs/>
                      <w:color w:val="auto"/>
                      <w:sz w:val="21"/>
                      <w:szCs w:val="21"/>
                      <w:vertAlign w:val="subscript"/>
                      <w:lang w:val="en-US" w:eastAsia="zh-CN"/>
                    </w:rPr>
                    <w:t>2</w:t>
                  </w:r>
                </w:p>
              </w:tc>
              <w:tc>
                <w:tcPr>
                  <w:tcW w:w="616" w:type="dxa"/>
                  <w:vMerge w:val="continue"/>
                  <w:vAlign w:val="center"/>
                </w:tcPr>
                <w:p w14:paraId="5159580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982" w:type="dxa"/>
                  <w:vAlign w:val="center"/>
                </w:tcPr>
                <w:p w14:paraId="7CE4F20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w:t>
                  </w:r>
                </w:p>
              </w:tc>
              <w:tc>
                <w:tcPr>
                  <w:tcW w:w="1209" w:type="dxa"/>
                  <w:vAlign w:val="center"/>
                </w:tcPr>
                <w:p w14:paraId="21B0E5E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69</w:t>
                  </w:r>
                </w:p>
              </w:tc>
              <w:tc>
                <w:tcPr>
                  <w:tcW w:w="1247" w:type="dxa"/>
                  <w:vAlign w:val="center"/>
                </w:tcPr>
                <w:p w14:paraId="552D1A8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111.488</w:t>
                  </w:r>
                </w:p>
              </w:tc>
              <w:tc>
                <w:tcPr>
                  <w:tcW w:w="785" w:type="dxa"/>
                  <w:vMerge w:val="continue"/>
                  <w:vAlign w:val="center"/>
                </w:tcPr>
                <w:p w14:paraId="2D1DE2A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751" w:type="dxa"/>
                  <w:vAlign w:val="center"/>
                </w:tcPr>
                <w:p w14:paraId="55DF810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30" w:type="dxa"/>
                  <w:vAlign w:val="center"/>
                </w:tcPr>
                <w:p w14:paraId="5C12310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eastAsia" w:cs="Times New Roman"/>
                      <w:b w:val="0"/>
                      <w:bCs/>
                      <w:color w:val="auto"/>
                      <w:sz w:val="21"/>
                      <w:szCs w:val="21"/>
                      <w:lang w:val="en-US" w:eastAsia="zh-CN"/>
                    </w:rPr>
                    <w:t>物料衡算</w:t>
                  </w:r>
                </w:p>
              </w:tc>
              <w:tc>
                <w:tcPr>
                  <w:tcW w:w="982" w:type="dxa"/>
                  <w:vAlign w:val="center"/>
                </w:tcPr>
                <w:p w14:paraId="4033D3D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w:t>
                  </w:r>
                </w:p>
              </w:tc>
              <w:tc>
                <w:tcPr>
                  <w:tcW w:w="1209" w:type="dxa"/>
                  <w:vAlign w:val="center"/>
                </w:tcPr>
                <w:p w14:paraId="399E9EC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69</w:t>
                  </w:r>
                </w:p>
              </w:tc>
              <w:tc>
                <w:tcPr>
                  <w:tcW w:w="1247" w:type="dxa"/>
                  <w:vAlign w:val="center"/>
                </w:tcPr>
                <w:p w14:paraId="44FDDC6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lang w:val="en-US"/>
                    </w:rPr>
                  </w:pPr>
                  <w:r>
                    <w:rPr>
                      <w:rFonts w:hint="eastAsia" w:cs="Times New Roman"/>
                      <w:b w:val="0"/>
                      <w:bCs/>
                      <w:color w:val="auto"/>
                      <w:sz w:val="21"/>
                      <w:szCs w:val="21"/>
                      <w:lang w:val="en-US" w:eastAsia="zh-CN"/>
                    </w:rPr>
                    <w:t>111.615</w:t>
                  </w:r>
                </w:p>
              </w:tc>
              <w:tc>
                <w:tcPr>
                  <w:tcW w:w="769" w:type="dxa"/>
                  <w:vMerge w:val="continue"/>
                  <w:vAlign w:val="center"/>
                </w:tcPr>
                <w:p w14:paraId="6DC1FD4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4666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01" w:type="dxa"/>
                  <w:vMerge w:val="continue"/>
                  <w:vAlign w:val="center"/>
                </w:tcPr>
                <w:p w14:paraId="3C735BB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0883DCC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0DBA3C7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29" w:type="dxa"/>
                  <w:vAlign w:val="center"/>
                </w:tcPr>
                <w:p w14:paraId="108F76B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NO</w:t>
                  </w:r>
                  <w:r>
                    <w:rPr>
                      <w:rFonts w:hint="default" w:ascii="Times New Roman" w:hAnsi="Times New Roman" w:eastAsia="宋体" w:cs="Times New Roman"/>
                      <w:b w:val="0"/>
                      <w:bCs/>
                      <w:color w:val="auto"/>
                      <w:sz w:val="21"/>
                      <w:szCs w:val="21"/>
                      <w:vertAlign w:val="subscript"/>
                      <w:lang w:val="en-US" w:eastAsia="zh-CN"/>
                    </w:rPr>
                    <w:t>X</w:t>
                  </w:r>
                </w:p>
              </w:tc>
              <w:tc>
                <w:tcPr>
                  <w:tcW w:w="616" w:type="dxa"/>
                  <w:vMerge w:val="continue"/>
                  <w:vAlign w:val="center"/>
                </w:tcPr>
                <w:p w14:paraId="407EDC0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p>
              </w:tc>
              <w:tc>
                <w:tcPr>
                  <w:tcW w:w="982" w:type="dxa"/>
                  <w:vAlign w:val="center"/>
                </w:tcPr>
                <w:p w14:paraId="70628B0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092</w:t>
                  </w:r>
                </w:p>
              </w:tc>
              <w:tc>
                <w:tcPr>
                  <w:tcW w:w="1209" w:type="dxa"/>
                  <w:vAlign w:val="center"/>
                </w:tcPr>
                <w:p w14:paraId="53D1EE9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064</w:t>
                  </w:r>
                </w:p>
              </w:tc>
              <w:tc>
                <w:tcPr>
                  <w:tcW w:w="1247" w:type="dxa"/>
                  <w:vAlign w:val="center"/>
                </w:tcPr>
                <w:p w14:paraId="410E6CD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0.913</w:t>
                  </w:r>
                </w:p>
              </w:tc>
              <w:tc>
                <w:tcPr>
                  <w:tcW w:w="785" w:type="dxa"/>
                  <w:vMerge w:val="continue"/>
                  <w:vAlign w:val="center"/>
                </w:tcPr>
                <w:p w14:paraId="12EC34C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751" w:type="dxa"/>
                  <w:vAlign w:val="center"/>
                </w:tcPr>
                <w:p w14:paraId="1B0E322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30" w:type="dxa"/>
                  <w:vAlign w:val="center"/>
                </w:tcPr>
                <w:p w14:paraId="4A8BAA8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排污系数</w:t>
                  </w:r>
                </w:p>
              </w:tc>
              <w:tc>
                <w:tcPr>
                  <w:tcW w:w="982" w:type="dxa"/>
                  <w:vAlign w:val="center"/>
                </w:tcPr>
                <w:p w14:paraId="308BCDF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092</w:t>
                  </w:r>
                </w:p>
              </w:tc>
              <w:tc>
                <w:tcPr>
                  <w:tcW w:w="1209" w:type="dxa"/>
                  <w:vAlign w:val="center"/>
                </w:tcPr>
                <w:p w14:paraId="6E8035C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064</w:t>
                  </w:r>
                </w:p>
              </w:tc>
              <w:tc>
                <w:tcPr>
                  <w:tcW w:w="1247" w:type="dxa"/>
                  <w:vAlign w:val="center"/>
                </w:tcPr>
                <w:p w14:paraId="6CACA1C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bCs w:val="0"/>
                      <w:color w:val="auto"/>
                      <w:sz w:val="21"/>
                      <w:szCs w:val="21"/>
                    </w:rPr>
                  </w:pPr>
                  <w:r>
                    <w:rPr>
                      <w:rFonts w:hint="eastAsia" w:cs="Times New Roman"/>
                      <w:b w:val="0"/>
                      <w:bCs/>
                      <w:color w:val="auto"/>
                      <w:sz w:val="21"/>
                      <w:szCs w:val="21"/>
                      <w:lang w:val="en-US" w:eastAsia="zh-CN"/>
                    </w:rPr>
                    <w:t>0.913</w:t>
                  </w:r>
                </w:p>
              </w:tc>
              <w:tc>
                <w:tcPr>
                  <w:tcW w:w="769" w:type="dxa"/>
                  <w:vMerge w:val="continue"/>
                  <w:vAlign w:val="center"/>
                </w:tcPr>
                <w:p w14:paraId="4B528F4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7597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801" w:type="dxa"/>
                  <w:vMerge w:val="restart"/>
                  <w:vAlign w:val="center"/>
                </w:tcPr>
                <w:p w14:paraId="370DB2C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沥青加热、</w:t>
                  </w:r>
                  <w:r>
                    <w:rPr>
                      <w:rFonts w:hint="eastAsia" w:ascii="Times New Roman" w:hAnsi="Times New Roman" w:eastAsia="宋体" w:cs="Times New Roman"/>
                      <w:bCs/>
                      <w:color w:val="auto"/>
                      <w:sz w:val="21"/>
                      <w:szCs w:val="21"/>
                      <w:lang w:val="en-US" w:eastAsia="zh-CN"/>
                    </w:rPr>
                    <w:t>保温、输送、</w:t>
                  </w:r>
                  <w:r>
                    <w:rPr>
                      <w:rFonts w:hint="default" w:ascii="Times New Roman" w:hAnsi="Times New Roman" w:eastAsia="宋体" w:cs="Times New Roman"/>
                      <w:bCs/>
                      <w:color w:val="auto"/>
                      <w:sz w:val="21"/>
                      <w:szCs w:val="21"/>
                    </w:rPr>
                    <w:t>搅拌、出库</w:t>
                  </w:r>
                </w:p>
              </w:tc>
              <w:tc>
                <w:tcPr>
                  <w:tcW w:w="656" w:type="dxa"/>
                  <w:vMerge w:val="restart"/>
                  <w:vAlign w:val="center"/>
                </w:tcPr>
                <w:p w14:paraId="0368EAF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沥青储罐、搅拌</w:t>
                  </w:r>
                  <w:r>
                    <w:rPr>
                      <w:rFonts w:hint="eastAsia" w:ascii="Times New Roman" w:hAnsi="Times New Roman" w:eastAsia="宋体" w:cs="Times New Roman"/>
                      <w:bCs/>
                      <w:color w:val="auto"/>
                      <w:sz w:val="21"/>
                      <w:szCs w:val="21"/>
                      <w:lang w:val="en-US" w:eastAsia="zh-CN"/>
                    </w:rPr>
                    <w:t>器</w:t>
                  </w:r>
                </w:p>
              </w:tc>
              <w:tc>
                <w:tcPr>
                  <w:tcW w:w="904" w:type="dxa"/>
                  <w:vMerge w:val="restart"/>
                  <w:vAlign w:val="center"/>
                </w:tcPr>
                <w:p w14:paraId="43DBB2A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DA003</w:t>
                  </w:r>
                  <w:r>
                    <w:rPr>
                      <w:rFonts w:hint="eastAsia" w:ascii="Times New Roman" w:hAnsi="Times New Roman" w:eastAsia="宋体" w:cs="Times New Roman"/>
                      <w:color w:val="auto"/>
                      <w:sz w:val="21"/>
                      <w:szCs w:val="21"/>
                      <w:highlight w:val="none"/>
                      <w:lang w:val="en-US" w:eastAsia="zh-CN"/>
                    </w:rPr>
                    <w:t>沥青加热</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搅拌、出料</w:t>
                  </w:r>
                  <w:r>
                    <w:rPr>
                      <w:rFonts w:hint="eastAsia" w:cs="Times New Roman"/>
                      <w:color w:val="auto"/>
                      <w:sz w:val="21"/>
                      <w:szCs w:val="21"/>
                      <w:highlight w:val="none"/>
                      <w:lang w:val="en-US" w:eastAsia="zh-CN"/>
                    </w:rPr>
                    <w:t>口逸散</w:t>
                  </w:r>
                  <w:r>
                    <w:rPr>
                      <w:rFonts w:hint="eastAsia" w:ascii="Times New Roman" w:hAnsi="Times New Roman" w:eastAsia="宋体" w:cs="Times New Roman"/>
                      <w:color w:val="auto"/>
                      <w:sz w:val="21"/>
                      <w:szCs w:val="21"/>
                      <w:highlight w:val="none"/>
                      <w:lang w:val="en-US" w:eastAsia="zh-CN"/>
                    </w:rPr>
                    <w:t>废气</w:t>
                  </w:r>
                </w:p>
              </w:tc>
              <w:tc>
                <w:tcPr>
                  <w:tcW w:w="929" w:type="dxa"/>
                  <w:vAlign w:val="center"/>
                </w:tcPr>
                <w:p w14:paraId="5187558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废气量</w:t>
                  </w:r>
                </w:p>
              </w:tc>
              <w:tc>
                <w:tcPr>
                  <w:tcW w:w="616" w:type="dxa"/>
                  <w:vAlign w:val="center"/>
                </w:tcPr>
                <w:p w14:paraId="311AB15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3438" w:type="dxa"/>
                  <w:gridSpan w:val="3"/>
                  <w:vAlign w:val="center"/>
                </w:tcPr>
                <w:p w14:paraId="5DACA86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10000m</w:t>
                  </w:r>
                  <w:r>
                    <w:rPr>
                      <w:rFonts w:hint="eastAsia" w:ascii="Times New Roman" w:hAnsi="Times New Roman" w:eastAsia="宋体" w:cs="Times New Roman"/>
                      <w:b w:val="0"/>
                      <w:bCs/>
                      <w:color w:val="auto"/>
                      <w:sz w:val="21"/>
                      <w:szCs w:val="21"/>
                      <w:highlight w:val="none"/>
                      <w:vertAlign w:val="superscript"/>
                      <w:lang w:val="en-US" w:eastAsia="zh-CN"/>
                    </w:rPr>
                    <w:t>3</w:t>
                  </w:r>
                  <w:r>
                    <w:rPr>
                      <w:rFonts w:hint="eastAsia" w:ascii="Times New Roman" w:hAnsi="Times New Roman" w:eastAsia="宋体" w:cs="Times New Roman"/>
                      <w:b w:val="0"/>
                      <w:bCs/>
                      <w:color w:val="auto"/>
                      <w:sz w:val="21"/>
                      <w:szCs w:val="21"/>
                      <w:highlight w:val="none"/>
                      <w:lang w:val="en-US" w:eastAsia="zh-CN"/>
                    </w:rPr>
                    <w:t>/h</w:t>
                  </w:r>
                </w:p>
              </w:tc>
              <w:tc>
                <w:tcPr>
                  <w:tcW w:w="785" w:type="dxa"/>
                  <w:vAlign w:val="center"/>
                </w:tcPr>
                <w:p w14:paraId="05EA94D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751" w:type="dxa"/>
                  <w:vAlign w:val="center"/>
                </w:tcPr>
                <w:p w14:paraId="09C3E5C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730" w:type="dxa"/>
                  <w:vAlign w:val="center"/>
                </w:tcPr>
                <w:p w14:paraId="3BAF760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w:t>
                  </w:r>
                </w:p>
              </w:tc>
              <w:tc>
                <w:tcPr>
                  <w:tcW w:w="3438" w:type="dxa"/>
                  <w:gridSpan w:val="3"/>
                  <w:vAlign w:val="center"/>
                </w:tcPr>
                <w:p w14:paraId="5D2116A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10000m</w:t>
                  </w:r>
                  <w:r>
                    <w:rPr>
                      <w:rFonts w:hint="eastAsia" w:ascii="Times New Roman" w:hAnsi="Times New Roman" w:eastAsia="宋体" w:cs="Times New Roman"/>
                      <w:b w:val="0"/>
                      <w:bCs/>
                      <w:color w:val="auto"/>
                      <w:sz w:val="21"/>
                      <w:szCs w:val="21"/>
                      <w:highlight w:val="none"/>
                      <w:vertAlign w:val="superscript"/>
                      <w:lang w:val="en-US" w:eastAsia="zh-CN"/>
                    </w:rPr>
                    <w:t>3</w:t>
                  </w:r>
                  <w:r>
                    <w:rPr>
                      <w:rFonts w:hint="eastAsia" w:ascii="Times New Roman" w:hAnsi="Times New Roman" w:eastAsia="宋体" w:cs="Times New Roman"/>
                      <w:b w:val="0"/>
                      <w:bCs/>
                      <w:color w:val="auto"/>
                      <w:sz w:val="21"/>
                      <w:szCs w:val="21"/>
                      <w:highlight w:val="none"/>
                      <w:lang w:val="en-US" w:eastAsia="zh-CN"/>
                    </w:rPr>
                    <w:t>/h</w:t>
                  </w:r>
                </w:p>
              </w:tc>
              <w:tc>
                <w:tcPr>
                  <w:tcW w:w="769" w:type="dxa"/>
                  <w:vMerge w:val="restart"/>
                  <w:vAlign w:val="center"/>
                </w:tcPr>
                <w:p w14:paraId="6D362CB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1440</w:t>
                  </w:r>
                </w:p>
              </w:tc>
            </w:tr>
            <w:tr w14:paraId="073D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01" w:type="dxa"/>
                  <w:vMerge w:val="continue"/>
                  <w:vAlign w:val="center"/>
                </w:tcPr>
                <w:p w14:paraId="2C57697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3076960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0711DB"/>
                      <w:sz w:val="21"/>
                      <w:szCs w:val="21"/>
                      <w:lang w:val="en-US" w:eastAsia="zh-CN"/>
                    </w:rPr>
                  </w:pPr>
                </w:p>
              </w:tc>
              <w:tc>
                <w:tcPr>
                  <w:tcW w:w="904" w:type="dxa"/>
                  <w:vMerge w:val="continue"/>
                  <w:vAlign w:val="center"/>
                </w:tcPr>
                <w:p w14:paraId="5067996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lang w:val="en-US" w:eastAsia="zh-CN"/>
                    </w:rPr>
                  </w:pPr>
                </w:p>
              </w:tc>
              <w:tc>
                <w:tcPr>
                  <w:tcW w:w="929" w:type="dxa"/>
                  <w:vAlign w:val="center"/>
                </w:tcPr>
                <w:p w14:paraId="31743FE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沥青烟</w:t>
                  </w:r>
                </w:p>
              </w:tc>
              <w:tc>
                <w:tcPr>
                  <w:tcW w:w="616" w:type="dxa"/>
                  <w:vMerge w:val="restart"/>
                  <w:vAlign w:val="center"/>
                </w:tcPr>
                <w:p w14:paraId="53C58CE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产污系数</w:t>
                  </w:r>
                </w:p>
              </w:tc>
              <w:tc>
                <w:tcPr>
                  <w:tcW w:w="982" w:type="dxa"/>
                  <w:vAlign w:val="center"/>
                </w:tcPr>
                <w:p w14:paraId="55B8E56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olor w:val="auto"/>
                      <w:sz w:val="21"/>
                      <w:szCs w:val="21"/>
                      <w:lang w:val="en-US" w:eastAsia="zh-CN"/>
                    </w:rPr>
                  </w:pPr>
                  <w:r>
                    <w:rPr>
                      <w:rFonts w:hint="eastAsia" w:ascii="Times New Roman" w:hAnsi="Times New Roman" w:eastAsia="宋体" w:cs="Times New Roman"/>
                      <w:bCs/>
                      <w:color w:val="auto"/>
                      <w:sz w:val="21"/>
                      <w:szCs w:val="21"/>
                      <w:lang w:val="en-US" w:eastAsia="zh-CN"/>
                    </w:rPr>
                    <w:t>0209</w:t>
                  </w:r>
                </w:p>
              </w:tc>
              <w:tc>
                <w:tcPr>
                  <w:tcW w:w="1209" w:type="dxa"/>
                  <w:vAlign w:val="center"/>
                </w:tcPr>
                <w:p w14:paraId="2A9D267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0.145</w:t>
                  </w:r>
                </w:p>
              </w:tc>
              <w:tc>
                <w:tcPr>
                  <w:tcW w:w="1247" w:type="dxa"/>
                  <w:vAlign w:val="center"/>
                </w:tcPr>
                <w:p w14:paraId="69D8ADE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14.5</w:t>
                  </w:r>
                </w:p>
              </w:tc>
              <w:tc>
                <w:tcPr>
                  <w:tcW w:w="785" w:type="dxa"/>
                  <w:vMerge w:val="restart"/>
                  <w:vAlign w:val="center"/>
                </w:tcPr>
                <w:p w14:paraId="3893F2C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电捕焦油器+</w:t>
                  </w:r>
                  <w:r>
                    <w:rPr>
                      <w:rFonts w:hint="default" w:ascii="Times New Roman" w:hAnsi="Times New Roman" w:eastAsia="宋体" w:cs="Times New Roman"/>
                      <w:bCs/>
                      <w:color w:val="auto"/>
                      <w:sz w:val="21"/>
                      <w:szCs w:val="21"/>
                      <w:lang w:val="en-US" w:eastAsia="zh-CN"/>
                    </w:rPr>
                    <w:t>活性炭吸附</w:t>
                  </w:r>
                </w:p>
              </w:tc>
              <w:tc>
                <w:tcPr>
                  <w:tcW w:w="751" w:type="dxa"/>
                  <w:vAlign w:val="center"/>
                </w:tcPr>
                <w:p w14:paraId="1ED6565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95</w:t>
                  </w:r>
                </w:p>
              </w:tc>
              <w:tc>
                <w:tcPr>
                  <w:tcW w:w="730" w:type="dxa"/>
                  <w:vMerge w:val="restart"/>
                  <w:vAlign w:val="center"/>
                </w:tcPr>
                <w:p w14:paraId="1FBA7C4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排</w:t>
                  </w:r>
                  <w:r>
                    <w:rPr>
                      <w:rFonts w:hint="default" w:ascii="Times New Roman" w:hAnsi="Times New Roman" w:eastAsia="宋体" w:cs="Times New Roman"/>
                      <w:bCs/>
                      <w:color w:val="auto"/>
                      <w:sz w:val="21"/>
                      <w:szCs w:val="21"/>
                    </w:rPr>
                    <w:t>污系数</w:t>
                  </w:r>
                </w:p>
              </w:tc>
              <w:tc>
                <w:tcPr>
                  <w:tcW w:w="982" w:type="dxa"/>
                  <w:vAlign w:val="center"/>
                </w:tcPr>
                <w:p w14:paraId="503F811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10</w:t>
                  </w:r>
                </w:p>
              </w:tc>
              <w:tc>
                <w:tcPr>
                  <w:tcW w:w="1209" w:type="dxa"/>
                  <w:vAlign w:val="center"/>
                </w:tcPr>
                <w:p w14:paraId="2F49525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07</w:t>
                  </w:r>
                </w:p>
              </w:tc>
              <w:tc>
                <w:tcPr>
                  <w:tcW w:w="1247" w:type="dxa"/>
                  <w:vAlign w:val="center"/>
                </w:tcPr>
                <w:p w14:paraId="2AE973E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0.10</w:t>
                  </w:r>
                </w:p>
              </w:tc>
              <w:tc>
                <w:tcPr>
                  <w:tcW w:w="769" w:type="dxa"/>
                  <w:vMerge w:val="continue"/>
                  <w:vAlign w:val="center"/>
                </w:tcPr>
                <w:p w14:paraId="5911498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486B7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1" w:type="dxa"/>
                  <w:vMerge w:val="continue"/>
                  <w:vAlign w:val="center"/>
                </w:tcPr>
                <w:p w14:paraId="535B619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73BCFFB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34AB832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29" w:type="dxa"/>
                  <w:vAlign w:val="center"/>
                </w:tcPr>
                <w:p w14:paraId="32D316F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苯并[a]芘</w:t>
                  </w:r>
                </w:p>
              </w:tc>
              <w:tc>
                <w:tcPr>
                  <w:tcW w:w="616" w:type="dxa"/>
                  <w:vMerge w:val="continue"/>
                  <w:vAlign w:val="center"/>
                </w:tcPr>
                <w:p w14:paraId="672479C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7D610A7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0.0004</w:t>
                  </w:r>
                </w:p>
              </w:tc>
              <w:tc>
                <w:tcPr>
                  <w:tcW w:w="1209" w:type="dxa"/>
                  <w:vAlign w:val="center"/>
                </w:tcPr>
                <w:p w14:paraId="0EDBF13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0.000278</w:t>
                  </w:r>
                </w:p>
              </w:tc>
              <w:tc>
                <w:tcPr>
                  <w:tcW w:w="1247" w:type="dxa"/>
                  <w:vAlign w:val="center"/>
                </w:tcPr>
                <w:p w14:paraId="26C0BCD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0.028</w:t>
                  </w:r>
                </w:p>
              </w:tc>
              <w:tc>
                <w:tcPr>
                  <w:tcW w:w="785" w:type="dxa"/>
                  <w:vMerge w:val="continue"/>
                  <w:vAlign w:val="center"/>
                </w:tcPr>
                <w:p w14:paraId="4B196E5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751" w:type="dxa"/>
                  <w:vAlign w:val="center"/>
                </w:tcPr>
                <w:p w14:paraId="29AB624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98</w:t>
                  </w:r>
                </w:p>
              </w:tc>
              <w:tc>
                <w:tcPr>
                  <w:tcW w:w="730" w:type="dxa"/>
                  <w:vMerge w:val="continue"/>
                  <w:vAlign w:val="center"/>
                </w:tcPr>
                <w:p w14:paraId="2EE58FF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37CFBDB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7.6</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-6</w:t>
                  </w:r>
                </w:p>
              </w:tc>
              <w:tc>
                <w:tcPr>
                  <w:tcW w:w="1209" w:type="dxa"/>
                  <w:vAlign w:val="center"/>
                </w:tcPr>
                <w:p w14:paraId="37AE9D1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5.278</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6</w:t>
                  </w:r>
                </w:p>
              </w:tc>
              <w:tc>
                <w:tcPr>
                  <w:tcW w:w="1247" w:type="dxa"/>
                  <w:vAlign w:val="center"/>
                </w:tcPr>
                <w:p w14:paraId="40CCE28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7.528</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c>
                <w:tcPr>
                  <w:tcW w:w="769" w:type="dxa"/>
                  <w:vMerge w:val="continue"/>
                  <w:vAlign w:val="center"/>
                </w:tcPr>
                <w:p w14:paraId="0F1C36B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6588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01" w:type="dxa"/>
                  <w:vMerge w:val="continue"/>
                  <w:vAlign w:val="center"/>
                </w:tcPr>
                <w:p w14:paraId="0D3BC08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264115E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6C05E12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29" w:type="dxa"/>
                  <w:vAlign w:val="center"/>
                </w:tcPr>
                <w:p w14:paraId="716D240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非甲烷总烃</w:t>
                  </w:r>
                </w:p>
              </w:tc>
              <w:tc>
                <w:tcPr>
                  <w:tcW w:w="616" w:type="dxa"/>
                  <w:vMerge w:val="continue"/>
                  <w:vAlign w:val="center"/>
                </w:tcPr>
                <w:p w14:paraId="0BFAA43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173F598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0.146</w:t>
                  </w:r>
                </w:p>
              </w:tc>
              <w:tc>
                <w:tcPr>
                  <w:tcW w:w="1209" w:type="dxa"/>
                  <w:vAlign w:val="center"/>
                </w:tcPr>
                <w:p w14:paraId="7E539F8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0.101</w:t>
                  </w:r>
                </w:p>
              </w:tc>
              <w:tc>
                <w:tcPr>
                  <w:tcW w:w="1247" w:type="dxa"/>
                  <w:vAlign w:val="center"/>
                </w:tcPr>
                <w:p w14:paraId="03DADCA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10.1</w:t>
                  </w:r>
                </w:p>
              </w:tc>
              <w:tc>
                <w:tcPr>
                  <w:tcW w:w="785" w:type="dxa"/>
                  <w:vMerge w:val="continue"/>
                  <w:vAlign w:val="center"/>
                </w:tcPr>
                <w:p w14:paraId="044D433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751" w:type="dxa"/>
                  <w:vAlign w:val="center"/>
                </w:tcPr>
                <w:p w14:paraId="4BB8AB3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80</w:t>
                  </w:r>
                </w:p>
              </w:tc>
              <w:tc>
                <w:tcPr>
                  <w:tcW w:w="730" w:type="dxa"/>
                  <w:vMerge w:val="continue"/>
                  <w:vAlign w:val="center"/>
                </w:tcPr>
                <w:p w14:paraId="23E2127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6A33752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r>
                    <w:rPr>
                      <w:rFonts w:hint="eastAsia" w:cs="Times New Roman"/>
                      <w:color w:val="auto"/>
                      <w:sz w:val="21"/>
                      <w:szCs w:val="21"/>
                      <w:lang w:val="en-US" w:eastAsia="zh-CN"/>
                    </w:rPr>
                    <w:t>8</w:t>
                  </w:r>
                </w:p>
              </w:tc>
              <w:tc>
                <w:tcPr>
                  <w:tcW w:w="1209" w:type="dxa"/>
                  <w:vAlign w:val="center"/>
                </w:tcPr>
                <w:p w14:paraId="68F5250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19</w:t>
                  </w:r>
                </w:p>
              </w:tc>
              <w:tc>
                <w:tcPr>
                  <w:tcW w:w="1247" w:type="dxa"/>
                  <w:vAlign w:val="center"/>
                </w:tcPr>
                <w:p w14:paraId="659C5DC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0.271</w:t>
                  </w:r>
                </w:p>
              </w:tc>
              <w:tc>
                <w:tcPr>
                  <w:tcW w:w="769" w:type="dxa"/>
                  <w:vMerge w:val="continue"/>
                  <w:vAlign w:val="center"/>
                </w:tcPr>
                <w:p w14:paraId="54CE947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3B1B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vAlign w:val="center"/>
                </w:tcPr>
                <w:p w14:paraId="4E00648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485659B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33BD2E7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29" w:type="dxa"/>
                  <w:vAlign w:val="center"/>
                </w:tcPr>
                <w:p w14:paraId="7BACEC7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616" w:type="dxa"/>
                  <w:vMerge w:val="continue"/>
                  <w:vAlign w:val="center"/>
                </w:tcPr>
                <w:p w14:paraId="33F86B8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5C41A28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1.96</w:t>
                  </w:r>
                </w:p>
              </w:tc>
              <w:tc>
                <w:tcPr>
                  <w:tcW w:w="1209" w:type="dxa"/>
                  <w:vAlign w:val="center"/>
                </w:tcPr>
                <w:p w14:paraId="5D04433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1.361</w:t>
                  </w:r>
                </w:p>
              </w:tc>
              <w:tc>
                <w:tcPr>
                  <w:tcW w:w="1247" w:type="dxa"/>
                  <w:vAlign w:val="center"/>
                </w:tcPr>
                <w:p w14:paraId="0793AE1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136.1</w:t>
                  </w:r>
                </w:p>
              </w:tc>
              <w:tc>
                <w:tcPr>
                  <w:tcW w:w="785" w:type="dxa"/>
                  <w:vMerge w:val="continue"/>
                  <w:vAlign w:val="center"/>
                </w:tcPr>
                <w:p w14:paraId="478952C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751" w:type="dxa"/>
                  <w:vAlign w:val="center"/>
                </w:tcPr>
                <w:p w14:paraId="7A3AB57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90</w:t>
                  </w:r>
                </w:p>
              </w:tc>
              <w:tc>
                <w:tcPr>
                  <w:tcW w:w="730" w:type="dxa"/>
                  <w:vMerge w:val="continue"/>
                  <w:vAlign w:val="center"/>
                </w:tcPr>
                <w:p w14:paraId="3950E0D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6ECE519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0.186</w:t>
                  </w:r>
                </w:p>
              </w:tc>
              <w:tc>
                <w:tcPr>
                  <w:tcW w:w="1209" w:type="dxa"/>
                  <w:vAlign w:val="center"/>
                </w:tcPr>
                <w:p w14:paraId="7C1C5A7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129</w:t>
                  </w:r>
                </w:p>
              </w:tc>
              <w:tc>
                <w:tcPr>
                  <w:tcW w:w="1247" w:type="dxa"/>
                  <w:vAlign w:val="center"/>
                </w:tcPr>
                <w:p w14:paraId="66C6FD4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1.840</w:t>
                  </w:r>
                </w:p>
              </w:tc>
              <w:tc>
                <w:tcPr>
                  <w:tcW w:w="769" w:type="dxa"/>
                  <w:vMerge w:val="continue"/>
                  <w:vAlign w:val="center"/>
                </w:tcPr>
                <w:p w14:paraId="7AEEED8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p>
              </w:tc>
            </w:tr>
            <w:tr w14:paraId="26BD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Align w:val="center"/>
                </w:tcPr>
                <w:p w14:paraId="4A4AE2C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砂石料上料过程</w:t>
                  </w:r>
                </w:p>
              </w:tc>
              <w:tc>
                <w:tcPr>
                  <w:tcW w:w="656" w:type="dxa"/>
                  <w:vAlign w:val="center"/>
                </w:tcPr>
                <w:p w14:paraId="6F45413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904" w:type="dxa"/>
                  <w:vAlign w:val="center"/>
                </w:tcPr>
                <w:p w14:paraId="6EC19D0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w:t>
                  </w:r>
                  <w:r>
                    <w:rPr>
                      <w:rFonts w:hint="default" w:ascii="Times New Roman" w:hAnsi="Times New Roman" w:eastAsia="宋体" w:cs="Times New Roman"/>
                      <w:bCs/>
                      <w:color w:val="auto"/>
                      <w:sz w:val="21"/>
                      <w:szCs w:val="21"/>
                    </w:rPr>
                    <w:t>组织</w:t>
                  </w:r>
                  <w:r>
                    <w:rPr>
                      <w:rFonts w:hint="eastAsia" w:ascii="Times New Roman" w:hAnsi="Times New Roman" w:eastAsia="宋体" w:cs="Times New Roman"/>
                      <w:bCs/>
                      <w:color w:val="auto"/>
                      <w:sz w:val="21"/>
                      <w:szCs w:val="21"/>
                      <w:lang w:val="en-US" w:eastAsia="zh-CN"/>
                    </w:rPr>
                    <w:t>上料扬尘</w:t>
                  </w:r>
                </w:p>
              </w:tc>
              <w:tc>
                <w:tcPr>
                  <w:tcW w:w="929" w:type="dxa"/>
                  <w:vAlign w:val="center"/>
                </w:tcPr>
                <w:p w14:paraId="51CEA2C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颗粒物</w:t>
                  </w:r>
                </w:p>
              </w:tc>
              <w:tc>
                <w:tcPr>
                  <w:tcW w:w="616" w:type="dxa"/>
                  <w:vAlign w:val="center"/>
                </w:tcPr>
                <w:p w14:paraId="20BE8F4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产污系数</w:t>
                  </w:r>
                </w:p>
              </w:tc>
              <w:tc>
                <w:tcPr>
                  <w:tcW w:w="982" w:type="dxa"/>
                  <w:vAlign w:val="center"/>
                </w:tcPr>
                <w:p w14:paraId="6740F4D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0.736</w:t>
                  </w:r>
                </w:p>
              </w:tc>
              <w:tc>
                <w:tcPr>
                  <w:tcW w:w="1209" w:type="dxa"/>
                  <w:vAlign w:val="center"/>
                </w:tcPr>
                <w:p w14:paraId="4863A44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0.511</w:t>
                  </w:r>
                </w:p>
              </w:tc>
              <w:tc>
                <w:tcPr>
                  <w:tcW w:w="1247" w:type="dxa"/>
                  <w:vAlign w:val="center"/>
                </w:tcPr>
                <w:p w14:paraId="49AE485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85" w:type="dxa"/>
                  <w:vAlign w:val="center"/>
                </w:tcPr>
                <w:p w14:paraId="3E5E322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洒水降尘</w:t>
                  </w:r>
                </w:p>
              </w:tc>
              <w:tc>
                <w:tcPr>
                  <w:tcW w:w="751" w:type="dxa"/>
                  <w:vAlign w:val="center"/>
                </w:tcPr>
                <w:p w14:paraId="6A4BA0A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74</w:t>
                  </w:r>
                </w:p>
              </w:tc>
              <w:tc>
                <w:tcPr>
                  <w:tcW w:w="730" w:type="dxa"/>
                  <w:vAlign w:val="center"/>
                </w:tcPr>
                <w:p w14:paraId="0F0E20F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排</w:t>
                  </w:r>
                  <w:r>
                    <w:rPr>
                      <w:rFonts w:hint="default" w:ascii="Times New Roman" w:hAnsi="Times New Roman" w:eastAsia="宋体" w:cs="Times New Roman"/>
                      <w:bCs/>
                      <w:color w:val="auto"/>
                      <w:sz w:val="21"/>
                      <w:szCs w:val="21"/>
                    </w:rPr>
                    <w:t>污系数</w:t>
                  </w:r>
                </w:p>
              </w:tc>
              <w:tc>
                <w:tcPr>
                  <w:tcW w:w="982" w:type="dxa"/>
                  <w:vAlign w:val="center"/>
                </w:tcPr>
                <w:p w14:paraId="263FAD9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0.191</w:t>
                  </w:r>
                </w:p>
              </w:tc>
              <w:tc>
                <w:tcPr>
                  <w:tcW w:w="1209" w:type="dxa"/>
                  <w:vAlign w:val="center"/>
                </w:tcPr>
                <w:p w14:paraId="3C4D8C1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0.133</w:t>
                  </w:r>
                </w:p>
              </w:tc>
              <w:tc>
                <w:tcPr>
                  <w:tcW w:w="1247" w:type="dxa"/>
                  <w:vAlign w:val="center"/>
                </w:tcPr>
                <w:p w14:paraId="6E802E9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bCs/>
                      <w:color w:val="FF0000"/>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69" w:type="dxa"/>
                  <w:vAlign w:val="center"/>
                </w:tcPr>
                <w:p w14:paraId="61F289F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color w:val="auto"/>
                      <w:sz w:val="21"/>
                      <w:szCs w:val="21"/>
                    </w:rPr>
                    <w:t>1440</w:t>
                  </w:r>
                </w:p>
              </w:tc>
            </w:tr>
            <w:tr w14:paraId="5B85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801" w:type="dxa"/>
                  <w:vAlign w:val="center"/>
                </w:tcPr>
                <w:p w14:paraId="3D8E7AE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砂石料</w:t>
                  </w:r>
                  <w:r>
                    <w:rPr>
                      <w:rFonts w:hint="eastAsia" w:cs="Times New Roman"/>
                      <w:bCs/>
                      <w:color w:val="auto"/>
                      <w:sz w:val="21"/>
                      <w:szCs w:val="21"/>
                      <w:lang w:val="en-US" w:eastAsia="zh-CN"/>
                    </w:rPr>
                    <w:t>装卸</w:t>
                  </w:r>
                </w:p>
              </w:tc>
              <w:tc>
                <w:tcPr>
                  <w:tcW w:w="656" w:type="dxa"/>
                  <w:vAlign w:val="center"/>
                </w:tcPr>
                <w:p w14:paraId="1E0E274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铲车</w:t>
                  </w:r>
                </w:p>
              </w:tc>
              <w:tc>
                <w:tcPr>
                  <w:tcW w:w="904" w:type="dxa"/>
                  <w:vAlign w:val="center"/>
                </w:tcPr>
                <w:p w14:paraId="200547C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w:t>
                  </w:r>
                  <w:r>
                    <w:rPr>
                      <w:rFonts w:hint="default" w:ascii="Times New Roman" w:hAnsi="Times New Roman" w:eastAsia="宋体" w:cs="Times New Roman"/>
                      <w:bCs/>
                      <w:color w:val="auto"/>
                      <w:sz w:val="21"/>
                      <w:szCs w:val="21"/>
                    </w:rPr>
                    <w:t>组织</w:t>
                  </w:r>
                  <w:r>
                    <w:rPr>
                      <w:rFonts w:hint="eastAsia" w:cs="Times New Roman"/>
                      <w:bCs/>
                      <w:color w:val="auto"/>
                      <w:sz w:val="21"/>
                      <w:szCs w:val="21"/>
                      <w:lang w:val="en-US" w:eastAsia="zh-CN"/>
                    </w:rPr>
                    <w:t>砂石料装卸废气</w:t>
                  </w:r>
                </w:p>
              </w:tc>
              <w:tc>
                <w:tcPr>
                  <w:tcW w:w="929" w:type="dxa"/>
                  <w:vAlign w:val="center"/>
                </w:tcPr>
                <w:p w14:paraId="059E67B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颗粒物</w:t>
                  </w:r>
                </w:p>
              </w:tc>
              <w:tc>
                <w:tcPr>
                  <w:tcW w:w="616" w:type="dxa"/>
                  <w:vAlign w:val="center"/>
                </w:tcPr>
                <w:p w14:paraId="28FEB97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产污系数</w:t>
                  </w:r>
                </w:p>
              </w:tc>
              <w:tc>
                <w:tcPr>
                  <w:tcW w:w="982" w:type="dxa"/>
                  <w:vAlign w:val="center"/>
                </w:tcPr>
                <w:p w14:paraId="37B9E80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1.84</w:t>
                  </w:r>
                </w:p>
              </w:tc>
              <w:tc>
                <w:tcPr>
                  <w:tcW w:w="1209" w:type="dxa"/>
                  <w:vAlign w:val="center"/>
                </w:tcPr>
                <w:p w14:paraId="26AC60D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1.278</w:t>
                  </w:r>
                </w:p>
              </w:tc>
              <w:tc>
                <w:tcPr>
                  <w:tcW w:w="1247" w:type="dxa"/>
                  <w:vAlign w:val="center"/>
                </w:tcPr>
                <w:p w14:paraId="3E0C1CF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85" w:type="dxa"/>
                  <w:vAlign w:val="center"/>
                </w:tcPr>
                <w:p w14:paraId="71BF985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rPr>
                  </w:pPr>
                  <w:r>
                    <w:rPr>
                      <w:rFonts w:hint="eastAsia" w:cs="Times New Roman"/>
                      <w:bCs/>
                      <w:color w:val="auto"/>
                      <w:sz w:val="21"/>
                      <w:szCs w:val="21"/>
                      <w:lang w:val="en-US" w:eastAsia="zh-CN"/>
                    </w:rPr>
                    <w:t>2次/d洒水降尘</w:t>
                  </w:r>
                </w:p>
              </w:tc>
              <w:tc>
                <w:tcPr>
                  <w:tcW w:w="751" w:type="dxa"/>
                  <w:vAlign w:val="center"/>
                </w:tcPr>
                <w:p w14:paraId="5E449B1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74</w:t>
                  </w:r>
                </w:p>
              </w:tc>
              <w:tc>
                <w:tcPr>
                  <w:tcW w:w="730" w:type="dxa"/>
                  <w:vAlign w:val="center"/>
                </w:tcPr>
                <w:p w14:paraId="08FFD9C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排</w:t>
                  </w:r>
                  <w:r>
                    <w:rPr>
                      <w:rFonts w:hint="default" w:ascii="Times New Roman" w:hAnsi="Times New Roman" w:eastAsia="宋体" w:cs="Times New Roman"/>
                      <w:bCs/>
                      <w:color w:val="auto"/>
                      <w:sz w:val="21"/>
                      <w:szCs w:val="21"/>
                    </w:rPr>
                    <w:t>污系数</w:t>
                  </w:r>
                </w:p>
              </w:tc>
              <w:tc>
                <w:tcPr>
                  <w:tcW w:w="982" w:type="dxa"/>
                  <w:vAlign w:val="center"/>
                </w:tcPr>
                <w:p w14:paraId="5A52F8F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0.478</w:t>
                  </w:r>
                </w:p>
              </w:tc>
              <w:tc>
                <w:tcPr>
                  <w:tcW w:w="1209" w:type="dxa"/>
                  <w:vAlign w:val="center"/>
                </w:tcPr>
                <w:p w14:paraId="3C25183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0.332</w:t>
                  </w:r>
                </w:p>
              </w:tc>
              <w:tc>
                <w:tcPr>
                  <w:tcW w:w="1247" w:type="dxa"/>
                  <w:vAlign w:val="center"/>
                </w:tcPr>
                <w:p w14:paraId="761F71B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69" w:type="dxa"/>
                  <w:vAlign w:val="center"/>
                </w:tcPr>
                <w:p w14:paraId="2F5B457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1440</w:t>
                  </w:r>
                </w:p>
              </w:tc>
            </w:tr>
            <w:tr w14:paraId="51E0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801" w:type="dxa"/>
                  <w:vAlign w:val="center"/>
                </w:tcPr>
                <w:p w14:paraId="4A40DE6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砂石料上料</w:t>
                  </w:r>
                </w:p>
              </w:tc>
              <w:tc>
                <w:tcPr>
                  <w:tcW w:w="656" w:type="dxa"/>
                  <w:vAlign w:val="center"/>
                </w:tcPr>
                <w:p w14:paraId="03E2FDD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皮带输送机</w:t>
                  </w:r>
                </w:p>
              </w:tc>
              <w:tc>
                <w:tcPr>
                  <w:tcW w:w="904" w:type="dxa"/>
                  <w:vAlign w:val="center"/>
                </w:tcPr>
                <w:p w14:paraId="747E1E4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无组织皮带输送扬尘</w:t>
                  </w:r>
                </w:p>
              </w:tc>
              <w:tc>
                <w:tcPr>
                  <w:tcW w:w="929" w:type="dxa"/>
                  <w:shd w:val="clear" w:color="auto" w:fill="auto"/>
                  <w:vAlign w:val="center"/>
                </w:tcPr>
                <w:p w14:paraId="1ED6D39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颗粒物</w:t>
                  </w:r>
                </w:p>
              </w:tc>
              <w:tc>
                <w:tcPr>
                  <w:tcW w:w="616" w:type="dxa"/>
                  <w:shd w:val="clear" w:color="auto" w:fill="auto"/>
                  <w:vAlign w:val="center"/>
                </w:tcPr>
                <w:p w14:paraId="1E585EE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产污系数</w:t>
                  </w:r>
                </w:p>
              </w:tc>
              <w:tc>
                <w:tcPr>
                  <w:tcW w:w="982" w:type="dxa"/>
                  <w:vAlign w:val="center"/>
                </w:tcPr>
                <w:p w14:paraId="1D1BCBB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1.84</w:t>
                  </w:r>
                </w:p>
              </w:tc>
              <w:tc>
                <w:tcPr>
                  <w:tcW w:w="1209" w:type="dxa"/>
                  <w:vAlign w:val="center"/>
                </w:tcPr>
                <w:p w14:paraId="0C15FC3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1.278</w:t>
                  </w:r>
                </w:p>
              </w:tc>
              <w:tc>
                <w:tcPr>
                  <w:tcW w:w="1247" w:type="dxa"/>
                  <w:vAlign w:val="center"/>
                </w:tcPr>
                <w:p w14:paraId="51C95CF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785" w:type="dxa"/>
                  <w:vAlign w:val="center"/>
                </w:tcPr>
                <w:p w14:paraId="0964E56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输送廊道密封</w:t>
                  </w:r>
                </w:p>
              </w:tc>
              <w:tc>
                <w:tcPr>
                  <w:tcW w:w="751" w:type="dxa"/>
                  <w:vAlign w:val="center"/>
                </w:tcPr>
                <w:p w14:paraId="043637C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99</w:t>
                  </w:r>
                </w:p>
              </w:tc>
              <w:tc>
                <w:tcPr>
                  <w:tcW w:w="730" w:type="dxa"/>
                  <w:vAlign w:val="center"/>
                </w:tcPr>
                <w:p w14:paraId="3EA03D6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排</w:t>
                  </w:r>
                  <w:r>
                    <w:rPr>
                      <w:rFonts w:hint="default" w:ascii="Times New Roman" w:hAnsi="Times New Roman" w:eastAsia="宋体" w:cs="Times New Roman"/>
                      <w:bCs/>
                      <w:color w:val="auto"/>
                      <w:sz w:val="21"/>
                      <w:szCs w:val="21"/>
                    </w:rPr>
                    <w:t>污系数</w:t>
                  </w:r>
                </w:p>
              </w:tc>
              <w:tc>
                <w:tcPr>
                  <w:tcW w:w="982" w:type="dxa"/>
                  <w:vAlign w:val="center"/>
                </w:tcPr>
                <w:p w14:paraId="3501301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0.018</w:t>
                  </w:r>
                </w:p>
              </w:tc>
              <w:tc>
                <w:tcPr>
                  <w:tcW w:w="1209" w:type="dxa"/>
                  <w:vAlign w:val="center"/>
                </w:tcPr>
                <w:p w14:paraId="02E391D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0.013</w:t>
                  </w:r>
                </w:p>
              </w:tc>
              <w:tc>
                <w:tcPr>
                  <w:tcW w:w="1247" w:type="dxa"/>
                  <w:vAlign w:val="center"/>
                </w:tcPr>
                <w:p w14:paraId="3BC5888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69" w:type="dxa"/>
                  <w:vAlign w:val="center"/>
                </w:tcPr>
                <w:p w14:paraId="145FD64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1440</w:t>
                  </w:r>
                </w:p>
              </w:tc>
            </w:tr>
            <w:tr w14:paraId="4E8F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801" w:type="dxa"/>
                  <w:vAlign w:val="center"/>
                </w:tcPr>
                <w:p w14:paraId="20E38DB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物料运输</w:t>
                  </w:r>
                </w:p>
              </w:tc>
              <w:tc>
                <w:tcPr>
                  <w:tcW w:w="656" w:type="dxa"/>
                  <w:vAlign w:val="center"/>
                </w:tcPr>
                <w:p w14:paraId="4028E34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运输车</w:t>
                  </w:r>
                </w:p>
              </w:tc>
              <w:tc>
                <w:tcPr>
                  <w:tcW w:w="904" w:type="dxa"/>
                  <w:vAlign w:val="center"/>
                </w:tcPr>
                <w:p w14:paraId="08E9166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w:t>
                  </w:r>
                  <w:r>
                    <w:rPr>
                      <w:rFonts w:hint="default" w:ascii="Times New Roman" w:hAnsi="Times New Roman" w:eastAsia="宋体" w:cs="Times New Roman"/>
                      <w:bCs/>
                      <w:color w:val="auto"/>
                      <w:sz w:val="21"/>
                      <w:szCs w:val="21"/>
                    </w:rPr>
                    <w:t>组织</w:t>
                  </w:r>
                  <w:r>
                    <w:rPr>
                      <w:rFonts w:hint="eastAsia" w:ascii="Times New Roman" w:hAnsi="Times New Roman" w:eastAsia="宋体" w:cs="Times New Roman"/>
                      <w:bCs/>
                      <w:color w:val="auto"/>
                      <w:sz w:val="21"/>
                      <w:szCs w:val="21"/>
                      <w:lang w:val="en-US" w:eastAsia="zh-CN"/>
                    </w:rPr>
                    <w:t>运输扬尘</w:t>
                  </w:r>
                </w:p>
              </w:tc>
              <w:tc>
                <w:tcPr>
                  <w:tcW w:w="929" w:type="dxa"/>
                  <w:shd w:val="clear" w:color="auto" w:fill="auto"/>
                  <w:vAlign w:val="center"/>
                </w:tcPr>
                <w:p w14:paraId="36895FC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颗粒物</w:t>
                  </w:r>
                </w:p>
              </w:tc>
              <w:tc>
                <w:tcPr>
                  <w:tcW w:w="616" w:type="dxa"/>
                  <w:shd w:val="clear" w:color="auto" w:fill="auto"/>
                  <w:vAlign w:val="center"/>
                </w:tcPr>
                <w:p w14:paraId="0AC47CC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产污系数</w:t>
                  </w:r>
                </w:p>
              </w:tc>
              <w:tc>
                <w:tcPr>
                  <w:tcW w:w="982" w:type="dxa"/>
                  <w:vAlign w:val="center"/>
                </w:tcPr>
                <w:p w14:paraId="39C5394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0.27</w:t>
                  </w:r>
                </w:p>
              </w:tc>
              <w:tc>
                <w:tcPr>
                  <w:tcW w:w="1209" w:type="dxa"/>
                  <w:vAlign w:val="center"/>
                </w:tcPr>
                <w:p w14:paraId="0DB4A19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0.188</w:t>
                  </w:r>
                </w:p>
              </w:tc>
              <w:tc>
                <w:tcPr>
                  <w:tcW w:w="1247" w:type="dxa"/>
                  <w:shd w:val="clear" w:color="auto" w:fill="auto"/>
                  <w:vAlign w:val="center"/>
                </w:tcPr>
                <w:p w14:paraId="5A55B67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785" w:type="dxa"/>
                  <w:shd w:val="clear" w:color="auto" w:fill="auto"/>
                  <w:vAlign w:val="center"/>
                </w:tcPr>
                <w:p w14:paraId="5DF8C9B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洒水降尘</w:t>
                  </w:r>
                </w:p>
              </w:tc>
              <w:tc>
                <w:tcPr>
                  <w:tcW w:w="751" w:type="dxa"/>
                  <w:shd w:val="clear" w:color="auto" w:fill="auto"/>
                  <w:vAlign w:val="center"/>
                </w:tcPr>
                <w:p w14:paraId="2907035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74</w:t>
                  </w:r>
                </w:p>
              </w:tc>
              <w:tc>
                <w:tcPr>
                  <w:tcW w:w="730" w:type="dxa"/>
                  <w:shd w:val="clear" w:color="auto" w:fill="auto"/>
                  <w:vAlign w:val="center"/>
                </w:tcPr>
                <w:p w14:paraId="5BCF71D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排</w:t>
                  </w:r>
                  <w:r>
                    <w:rPr>
                      <w:rFonts w:hint="default" w:ascii="Times New Roman" w:hAnsi="Times New Roman" w:eastAsia="宋体" w:cs="Times New Roman"/>
                      <w:bCs/>
                      <w:color w:val="auto"/>
                      <w:sz w:val="21"/>
                      <w:szCs w:val="21"/>
                    </w:rPr>
                    <w:t>污系数</w:t>
                  </w:r>
                </w:p>
              </w:tc>
              <w:tc>
                <w:tcPr>
                  <w:tcW w:w="982" w:type="dxa"/>
                  <w:vAlign w:val="center"/>
                </w:tcPr>
                <w:p w14:paraId="675ECCA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0.070</w:t>
                  </w:r>
                </w:p>
              </w:tc>
              <w:tc>
                <w:tcPr>
                  <w:tcW w:w="1209" w:type="dxa"/>
                  <w:vAlign w:val="center"/>
                </w:tcPr>
                <w:p w14:paraId="2466180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0.049</w:t>
                  </w:r>
                </w:p>
              </w:tc>
              <w:tc>
                <w:tcPr>
                  <w:tcW w:w="1247" w:type="dxa"/>
                  <w:shd w:val="clear" w:color="auto" w:fill="auto"/>
                  <w:vAlign w:val="center"/>
                </w:tcPr>
                <w:p w14:paraId="275C9C5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w:t>
                  </w:r>
                </w:p>
              </w:tc>
              <w:tc>
                <w:tcPr>
                  <w:tcW w:w="769" w:type="dxa"/>
                  <w:shd w:val="clear" w:color="auto" w:fill="auto"/>
                  <w:vAlign w:val="center"/>
                </w:tcPr>
                <w:p w14:paraId="0D67A5F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1440</w:t>
                  </w:r>
                </w:p>
              </w:tc>
            </w:tr>
            <w:tr w14:paraId="1149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Align w:val="center"/>
                </w:tcPr>
                <w:p w14:paraId="218B4F7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lang w:val="en-US" w:eastAsia="zh-CN"/>
                    </w:rPr>
                  </w:pPr>
                  <w:r>
                    <w:rPr>
                      <w:rFonts w:hint="eastAsia" w:ascii="Times New Roman" w:hAnsi="Times New Roman" w:eastAsia="宋体" w:cs="Times New Roman"/>
                      <w:color w:val="auto"/>
                      <w:sz w:val="21"/>
                      <w:szCs w:val="21"/>
                      <w:lang w:val="en-US" w:eastAsia="zh-CN"/>
                    </w:rPr>
                    <w:t>矿粉进、出筒仓</w:t>
                  </w:r>
                </w:p>
              </w:tc>
              <w:tc>
                <w:tcPr>
                  <w:tcW w:w="656" w:type="dxa"/>
                  <w:vAlign w:val="center"/>
                </w:tcPr>
                <w:p w14:paraId="2F211B7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lang w:val="en-US" w:eastAsia="zh-CN"/>
                    </w:rPr>
                  </w:pPr>
                  <w:r>
                    <w:rPr>
                      <w:rFonts w:hint="eastAsia" w:ascii="Times New Roman" w:hAnsi="Times New Roman" w:eastAsia="宋体" w:cs="Times New Roman"/>
                      <w:color w:val="auto"/>
                      <w:sz w:val="21"/>
                      <w:szCs w:val="21"/>
                      <w:lang w:val="en-US" w:eastAsia="zh-CN"/>
                    </w:rPr>
                    <w:t>矿粉筒仓</w:t>
                  </w:r>
                </w:p>
              </w:tc>
              <w:tc>
                <w:tcPr>
                  <w:tcW w:w="904" w:type="dxa"/>
                  <w:vAlign w:val="center"/>
                </w:tcPr>
                <w:p w14:paraId="5BB25C1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lang w:val="en-US" w:eastAsia="zh-CN"/>
                    </w:rPr>
                  </w:pPr>
                  <w:r>
                    <w:rPr>
                      <w:rFonts w:hint="eastAsia" w:ascii="Times New Roman" w:hAnsi="Times New Roman" w:eastAsia="宋体" w:cs="Times New Roman"/>
                      <w:bCs/>
                      <w:color w:val="auto"/>
                      <w:sz w:val="21"/>
                      <w:szCs w:val="21"/>
                      <w:lang w:val="en-US" w:eastAsia="zh-CN"/>
                    </w:rPr>
                    <w:t>无组织</w:t>
                  </w:r>
                  <w:r>
                    <w:rPr>
                      <w:rFonts w:hint="eastAsia" w:ascii="Times New Roman" w:hAnsi="Times New Roman" w:eastAsia="宋体" w:cs="Times New Roman"/>
                      <w:color w:val="auto"/>
                      <w:sz w:val="21"/>
                      <w:szCs w:val="21"/>
                      <w:lang w:val="en-US" w:eastAsia="zh-CN"/>
                    </w:rPr>
                    <w:t>矿粉筒仓废气</w:t>
                  </w:r>
                </w:p>
              </w:tc>
              <w:tc>
                <w:tcPr>
                  <w:tcW w:w="929" w:type="dxa"/>
                  <w:vAlign w:val="center"/>
                </w:tcPr>
                <w:p w14:paraId="7C0767E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616" w:type="dxa"/>
                  <w:vAlign w:val="center"/>
                </w:tcPr>
                <w:p w14:paraId="26E1077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产污系数</w:t>
                  </w:r>
                </w:p>
              </w:tc>
              <w:tc>
                <w:tcPr>
                  <w:tcW w:w="982" w:type="dxa"/>
                  <w:vAlign w:val="center"/>
                </w:tcPr>
                <w:p w14:paraId="4F8FBB3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0.48</w:t>
                  </w:r>
                </w:p>
              </w:tc>
              <w:tc>
                <w:tcPr>
                  <w:tcW w:w="1209" w:type="dxa"/>
                  <w:vAlign w:val="center"/>
                </w:tcPr>
                <w:p w14:paraId="1928666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2.390</w:t>
                  </w:r>
                </w:p>
              </w:tc>
              <w:tc>
                <w:tcPr>
                  <w:tcW w:w="1247" w:type="dxa"/>
                  <w:vAlign w:val="center"/>
                </w:tcPr>
                <w:p w14:paraId="115815C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85" w:type="dxa"/>
                  <w:vAlign w:val="center"/>
                </w:tcPr>
                <w:p w14:paraId="139E621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自带</w:t>
                  </w:r>
                  <w:r>
                    <w:rPr>
                      <w:rFonts w:hint="eastAsia" w:ascii="Times New Roman" w:hAnsi="Times New Roman" w:eastAsia="宋体" w:cs="Times New Roman"/>
                      <w:bCs/>
                      <w:color w:val="auto"/>
                      <w:sz w:val="21"/>
                      <w:szCs w:val="21"/>
                      <w:lang w:val="en-US" w:eastAsia="zh-CN"/>
                    </w:rPr>
                    <w:t>过滤器</w:t>
                  </w:r>
                </w:p>
              </w:tc>
              <w:tc>
                <w:tcPr>
                  <w:tcW w:w="751" w:type="dxa"/>
                  <w:vAlign w:val="center"/>
                </w:tcPr>
                <w:p w14:paraId="1A1E242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99</w:t>
                  </w:r>
                </w:p>
              </w:tc>
              <w:tc>
                <w:tcPr>
                  <w:tcW w:w="730" w:type="dxa"/>
                  <w:vAlign w:val="center"/>
                </w:tcPr>
                <w:p w14:paraId="7F8BB56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排</w:t>
                  </w:r>
                  <w:r>
                    <w:rPr>
                      <w:rFonts w:hint="default" w:ascii="Times New Roman" w:hAnsi="Times New Roman" w:eastAsia="宋体" w:cs="Times New Roman"/>
                      <w:bCs/>
                      <w:color w:val="auto"/>
                      <w:sz w:val="21"/>
                      <w:szCs w:val="21"/>
                    </w:rPr>
                    <w:t>污系数</w:t>
                  </w:r>
                </w:p>
              </w:tc>
              <w:tc>
                <w:tcPr>
                  <w:tcW w:w="982" w:type="dxa"/>
                  <w:vAlign w:val="center"/>
                </w:tcPr>
                <w:p w14:paraId="29E6F9D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w:t>
                  </w:r>
                  <w:r>
                    <w:rPr>
                      <w:rFonts w:hint="eastAsia" w:cs="Times New Roman"/>
                      <w:bCs/>
                      <w:color w:val="auto"/>
                      <w:sz w:val="21"/>
                      <w:szCs w:val="21"/>
                      <w:lang w:val="en-US" w:eastAsia="zh-CN"/>
                    </w:rPr>
                    <w:t>5</w:t>
                  </w:r>
                </w:p>
              </w:tc>
              <w:tc>
                <w:tcPr>
                  <w:tcW w:w="1209" w:type="dxa"/>
                  <w:vAlign w:val="center"/>
                </w:tcPr>
                <w:p w14:paraId="34E0B59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0.02</w:t>
                  </w:r>
                  <w:r>
                    <w:rPr>
                      <w:rFonts w:hint="eastAsia" w:cs="Times New Roman"/>
                      <w:bCs/>
                      <w:color w:val="auto"/>
                      <w:sz w:val="21"/>
                      <w:szCs w:val="21"/>
                      <w:lang w:val="en-US" w:eastAsia="zh-CN"/>
                    </w:rPr>
                    <w:t>4</w:t>
                  </w:r>
                </w:p>
              </w:tc>
              <w:tc>
                <w:tcPr>
                  <w:tcW w:w="1247" w:type="dxa"/>
                  <w:vAlign w:val="center"/>
                </w:tcPr>
                <w:p w14:paraId="3FF7E28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69" w:type="dxa"/>
                  <w:vAlign w:val="center"/>
                </w:tcPr>
                <w:p w14:paraId="6BEF36D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201</w:t>
                  </w:r>
                </w:p>
              </w:tc>
            </w:tr>
            <w:tr w14:paraId="6AFD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1" w:type="dxa"/>
                  <w:vMerge w:val="restart"/>
                  <w:vAlign w:val="center"/>
                </w:tcPr>
                <w:p w14:paraId="61E79A4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沥青加热、</w:t>
                  </w:r>
                  <w:r>
                    <w:rPr>
                      <w:rFonts w:hint="eastAsia" w:ascii="Times New Roman" w:hAnsi="Times New Roman" w:eastAsia="宋体" w:cs="Times New Roman"/>
                      <w:bCs/>
                      <w:color w:val="auto"/>
                      <w:sz w:val="21"/>
                      <w:szCs w:val="21"/>
                      <w:lang w:val="en-US" w:eastAsia="zh-CN"/>
                    </w:rPr>
                    <w:t>保温、输送、</w:t>
                  </w:r>
                  <w:r>
                    <w:rPr>
                      <w:rFonts w:hint="default" w:ascii="Times New Roman" w:hAnsi="Times New Roman" w:eastAsia="宋体" w:cs="Times New Roman"/>
                      <w:bCs/>
                      <w:color w:val="auto"/>
                      <w:sz w:val="21"/>
                      <w:szCs w:val="21"/>
                    </w:rPr>
                    <w:t>搅拌、出</w:t>
                  </w:r>
                  <w:r>
                    <w:rPr>
                      <w:rFonts w:hint="eastAsia" w:ascii="Times New Roman" w:hAnsi="Times New Roman" w:eastAsia="宋体" w:cs="Times New Roman"/>
                      <w:bCs/>
                      <w:color w:val="auto"/>
                      <w:sz w:val="21"/>
                      <w:szCs w:val="21"/>
                      <w:lang w:val="en-US" w:eastAsia="zh-CN"/>
                    </w:rPr>
                    <w:t>料</w:t>
                  </w:r>
                </w:p>
              </w:tc>
              <w:tc>
                <w:tcPr>
                  <w:tcW w:w="656" w:type="dxa"/>
                  <w:vMerge w:val="restart"/>
                  <w:vAlign w:val="center"/>
                </w:tcPr>
                <w:p w14:paraId="6189EB0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rPr>
                    <w:t>沥青储罐、搅拌</w:t>
                  </w:r>
                  <w:r>
                    <w:rPr>
                      <w:rFonts w:hint="eastAsia" w:ascii="Times New Roman" w:hAnsi="Times New Roman" w:eastAsia="宋体" w:cs="Times New Roman"/>
                      <w:bCs/>
                      <w:color w:val="auto"/>
                      <w:sz w:val="21"/>
                      <w:szCs w:val="21"/>
                      <w:lang w:val="en-US" w:eastAsia="zh-CN"/>
                    </w:rPr>
                    <w:t>器</w:t>
                  </w:r>
                  <w:r>
                    <w:rPr>
                      <w:rFonts w:hint="eastAsia" w:cs="Times New Roman"/>
                      <w:bCs/>
                      <w:color w:val="auto"/>
                      <w:sz w:val="21"/>
                      <w:szCs w:val="21"/>
                      <w:lang w:val="en-US" w:eastAsia="zh-CN"/>
                    </w:rPr>
                    <w:t>、出料</w:t>
                  </w:r>
                </w:p>
              </w:tc>
              <w:tc>
                <w:tcPr>
                  <w:tcW w:w="904" w:type="dxa"/>
                  <w:vMerge w:val="restart"/>
                  <w:vAlign w:val="center"/>
                </w:tcPr>
                <w:p w14:paraId="141F928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无组织未收集到的沥青废气</w:t>
                  </w:r>
                </w:p>
              </w:tc>
              <w:tc>
                <w:tcPr>
                  <w:tcW w:w="929" w:type="dxa"/>
                  <w:vAlign w:val="center"/>
                </w:tcPr>
                <w:p w14:paraId="08EDE1F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沥青烟</w:t>
                  </w:r>
                </w:p>
              </w:tc>
              <w:tc>
                <w:tcPr>
                  <w:tcW w:w="616" w:type="dxa"/>
                  <w:vMerge w:val="restart"/>
                  <w:vAlign w:val="center"/>
                </w:tcPr>
                <w:p w14:paraId="150D325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类比法</w:t>
                  </w:r>
                </w:p>
              </w:tc>
              <w:tc>
                <w:tcPr>
                  <w:tcW w:w="982" w:type="dxa"/>
                  <w:vAlign w:val="center"/>
                </w:tcPr>
                <w:p w14:paraId="6EE6677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010</w:t>
                  </w:r>
                </w:p>
              </w:tc>
              <w:tc>
                <w:tcPr>
                  <w:tcW w:w="1209" w:type="dxa"/>
                  <w:vAlign w:val="center"/>
                </w:tcPr>
                <w:p w14:paraId="32888A1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0.007</w:t>
                  </w:r>
                </w:p>
              </w:tc>
              <w:tc>
                <w:tcPr>
                  <w:tcW w:w="1247" w:type="dxa"/>
                  <w:vAlign w:val="center"/>
                </w:tcPr>
                <w:p w14:paraId="60E74DF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85" w:type="dxa"/>
                  <w:vMerge w:val="restart"/>
                  <w:vAlign w:val="center"/>
                </w:tcPr>
                <w:p w14:paraId="59A9AE4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集气罩未收集到的废气</w:t>
                  </w:r>
                </w:p>
              </w:tc>
              <w:tc>
                <w:tcPr>
                  <w:tcW w:w="751" w:type="dxa"/>
                  <w:vAlign w:val="center"/>
                </w:tcPr>
                <w:p w14:paraId="1C2E175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730" w:type="dxa"/>
                  <w:vMerge w:val="restart"/>
                  <w:vAlign w:val="center"/>
                </w:tcPr>
                <w:p w14:paraId="13D05DF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类比</w:t>
                  </w:r>
                </w:p>
              </w:tc>
              <w:tc>
                <w:tcPr>
                  <w:tcW w:w="982" w:type="dxa"/>
                  <w:vAlign w:val="center"/>
                </w:tcPr>
                <w:p w14:paraId="1528956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010</w:t>
                  </w:r>
                </w:p>
              </w:tc>
              <w:tc>
                <w:tcPr>
                  <w:tcW w:w="1209" w:type="dxa"/>
                  <w:vAlign w:val="center"/>
                </w:tcPr>
                <w:p w14:paraId="3184E2F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0.007</w:t>
                  </w:r>
                </w:p>
              </w:tc>
              <w:tc>
                <w:tcPr>
                  <w:tcW w:w="1247" w:type="dxa"/>
                  <w:vAlign w:val="center"/>
                </w:tcPr>
                <w:p w14:paraId="3DDA9CA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w:t>
                  </w:r>
                </w:p>
              </w:tc>
              <w:tc>
                <w:tcPr>
                  <w:tcW w:w="769" w:type="dxa"/>
                  <w:vMerge w:val="restart"/>
                  <w:vAlign w:val="center"/>
                </w:tcPr>
                <w:p w14:paraId="36178F0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1440</w:t>
                  </w:r>
                </w:p>
              </w:tc>
            </w:tr>
            <w:tr w14:paraId="28BA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1" w:type="dxa"/>
                  <w:vMerge w:val="continue"/>
                  <w:vAlign w:val="center"/>
                </w:tcPr>
                <w:p w14:paraId="00507E7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6C2001A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2EDF911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0711DB"/>
                      <w:sz w:val="21"/>
                      <w:szCs w:val="21"/>
                      <w:lang w:val="en-US" w:eastAsia="zh-CN"/>
                    </w:rPr>
                  </w:pPr>
                </w:p>
              </w:tc>
              <w:tc>
                <w:tcPr>
                  <w:tcW w:w="929" w:type="dxa"/>
                  <w:vAlign w:val="center"/>
                </w:tcPr>
                <w:p w14:paraId="7F5DF0B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苯并[a]芘</w:t>
                  </w:r>
                </w:p>
              </w:tc>
              <w:tc>
                <w:tcPr>
                  <w:tcW w:w="616" w:type="dxa"/>
                  <w:vMerge w:val="continue"/>
                  <w:vAlign w:val="center"/>
                </w:tcPr>
                <w:p w14:paraId="3F462D3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57A32B6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c>
                <w:tcPr>
                  <w:tcW w:w="1209" w:type="dxa"/>
                  <w:vAlign w:val="center"/>
                </w:tcPr>
                <w:p w14:paraId="5322D68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1.389</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c>
                <w:tcPr>
                  <w:tcW w:w="1247" w:type="dxa"/>
                  <w:vAlign w:val="center"/>
                </w:tcPr>
                <w:p w14:paraId="711169E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85" w:type="dxa"/>
                  <w:vMerge w:val="continue"/>
                  <w:vAlign w:val="center"/>
                </w:tcPr>
                <w:p w14:paraId="7AA4614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751" w:type="dxa"/>
                  <w:vAlign w:val="center"/>
                </w:tcPr>
                <w:p w14:paraId="509ED55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730" w:type="dxa"/>
                  <w:vMerge w:val="continue"/>
                  <w:vAlign w:val="center"/>
                </w:tcPr>
                <w:p w14:paraId="1B666B0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57C2F1A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2</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c>
                <w:tcPr>
                  <w:tcW w:w="1209" w:type="dxa"/>
                  <w:vAlign w:val="center"/>
                </w:tcPr>
                <w:p w14:paraId="77024B6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1.389</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c>
                <w:tcPr>
                  <w:tcW w:w="1247" w:type="dxa"/>
                  <w:vAlign w:val="center"/>
                </w:tcPr>
                <w:p w14:paraId="0406A88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w:t>
                  </w:r>
                </w:p>
              </w:tc>
              <w:tc>
                <w:tcPr>
                  <w:tcW w:w="769" w:type="dxa"/>
                  <w:vMerge w:val="continue"/>
                  <w:vAlign w:val="center"/>
                </w:tcPr>
                <w:p w14:paraId="03E7767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r>
            <w:tr w14:paraId="207EF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1" w:type="dxa"/>
                  <w:vMerge w:val="continue"/>
                  <w:vAlign w:val="center"/>
                </w:tcPr>
                <w:p w14:paraId="0CB37FC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13CF5A8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5B26B88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0711DB"/>
                      <w:sz w:val="21"/>
                      <w:szCs w:val="21"/>
                      <w:lang w:val="en-US" w:eastAsia="zh-CN"/>
                    </w:rPr>
                  </w:pPr>
                </w:p>
              </w:tc>
              <w:tc>
                <w:tcPr>
                  <w:tcW w:w="929" w:type="dxa"/>
                  <w:vAlign w:val="center"/>
                </w:tcPr>
                <w:p w14:paraId="4F13C24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非甲烷总烃</w:t>
                  </w:r>
                </w:p>
              </w:tc>
              <w:tc>
                <w:tcPr>
                  <w:tcW w:w="616" w:type="dxa"/>
                  <w:vMerge w:val="continue"/>
                  <w:vAlign w:val="center"/>
                </w:tcPr>
                <w:p w14:paraId="32DDA6D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2E338ED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07</w:t>
                  </w:r>
                </w:p>
              </w:tc>
              <w:tc>
                <w:tcPr>
                  <w:tcW w:w="1209" w:type="dxa"/>
                  <w:vAlign w:val="center"/>
                </w:tcPr>
                <w:p w14:paraId="517CD56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0.005</w:t>
                  </w:r>
                </w:p>
              </w:tc>
              <w:tc>
                <w:tcPr>
                  <w:tcW w:w="1247" w:type="dxa"/>
                  <w:vAlign w:val="center"/>
                </w:tcPr>
                <w:p w14:paraId="435EBAE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85" w:type="dxa"/>
                  <w:vMerge w:val="continue"/>
                  <w:vAlign w:val="center"/>
                </w:tcPr>
                <w:p w14:paraId="663DD82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751" w:type="dxa"/>
                  <w:vAlign w:val="center"/>
                </w:tcPr>
                <w:p w14:paraId="6685677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730" w:type="dxa"/>
                  <w:vMerge w:val="continue"/>
                  <w:vAlign w:val="center"/>
                </w:tcPr>
                <w:p w14:paraId="66DEF0F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514A526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07</w:t>
                  </w:r>
                </w:p>
              </w:tc>
              <w:tc>
                <w:tcPr>
                  <w:tcW w:w="1209" w:type="dxa"/>
                  <w:vAlign w:val="center"/>
                </w:tcPr>
                <w:p w14:paraId="0D5230C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cs="Times New Roman"/>
                      <w:bCs/>
                      <w:color w:val="auto"/>
                      <w:sz w:val="21"/>
                      <w:szCs w:val="21"/>
                      <w:lang w:val="en-US" w:eastAsia="zh-CN"/>
                    </w:rPr>
                    <w:t>0.005</w:t>
                  </w:r>
                </w:p>
              </w:tc>
              <w:tc>
                <w:tcPr>
                  <w:tcW w:w="1247" w:type="dxa"/>
                  <w:vAlign w:val="center"/>
                </w:tcPr>
                <w:p w14:paraId="599B8E7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w:t>
                  </w:r>
                </w:p>
              </w:tc>
              <w:tc>
                <w:tcPr>
                  <w:tcW w:w="769" w:type="dxa"/>
                  <w:vMerge w:val="continue"/>
                  <w:vAlign w:val="center"/>
                </w:tcPr>
                <w:p w14:paraId="322A0C9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r>
            <w:tr w14:paraId="7693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dxa"/>
                  <w:vMerge w:val="continue"/>
                  <w:vAlign w:val="center"/>
                </w:tcPr>
                <w:p w14:paraId="250F390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656" w:type="dxa"/>
                  <w:vMerge w:val="continue"/>
                  <w:vAlign w:val="center"/>
                </w:tcPr>
                <w:p w14:paraId="3303C2D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c>
                <w:tcPr>
                  <w:tcW w:w="904" w:type="dxa"/>
                  <w:vMerge w:val="continue"/>
                  <w:vAlign w:val="center"/>
                </w:tcPr>
                <w:p w14:paraId="0C9A4DE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0711DB"/>
                      <w:sz w:val="21"/>
                      <w:szCs w:val="21"/>
                      <w:lang w:val="en-US" w:eastAsia="zh-CN"/>
                    </w:rPr>
                  </w:pPr>
                </w:p>
              </w:tc>
              <w:tc>
                <w:tcPr>
                  <w:tcW w:w="929" w:type="dxa"/>
                  <w:vAlign w:val="center"/>
                </w:tcPr>
                <w:p w14:paraId="750CB00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颗粒物</w:t>
                  </w:r>
                </w:p>
              </w:tc>
              <w:tc>
                <w:tcPr>
                  <w:tcW w:w="616" w:type="dxa"/>
                  <w:vMerge w:val="continue"/>
                  <w:vAlign w:val="center"/>
                </w:tcPr>
                <w:p w14:paraId="345C3B4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6EB2D5F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098</w:t>
                  </w:r>
                </w:p>
              </w:tc>
              <w:tc>
                <w:tcPr>
                  <w:tcW w:w="1209" w:type="dxa"/>
                  <w:vAlign w:val="center"/>
                </w:tcPr>
                <w:p w14:paraId="3785F33C">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068</w:t>
                  </w:r>
                </w:p>
              </w:tc>
              <w:tc>
                <w:tcPr>
                  <w:tcW w:w="1247" w:type="dxa"/>
                  <w:vAlign w:val="center"/>
                </w:tcPr>
                <w:p w14:paraId="272694D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85" w:type="dxa"/>
                  <w:vMerge w:val="continue"/>
                  <w:vAlign w:val="center"/>
                </w:tcPr>
                <w:p w14:paraId="118B653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751" w:type="dxa"/>
                  <w:vAlign w:val="center"/>
                </w:tcPr>
                <w:p w14:paraId="32F7961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p>
              </w:tc>
              <w:tc>
                <w:tcPr>
                  <w:tcW w:w="730" w:type="dxa"/>
                  <w:vMerge w:val="continue"/>
                  <w:vAlign w:val="center"/>
                </w:tcPr>
                <w:p w14:paraId="26DE25C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p>
              </w:tc>
              <w:tc>
                <w:tcPr>
                  <w:tcW w:w="982" w:type="dxa"/>
                  <w:vAlign w:val="center"/>
                </w:tcPr>
                <w:p w14:paraId="2B935EB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098</w:t>
                  </w:r>
                </w:p>
              </w:tc>
              <w:tc>
                <w:tcPr>
                  <w:tcW w:w="1209" w:type="dxa"/>
                  <w:vAlign w:val="center"/>
                </w:tcPr>
                <w:p w14:paraId="6B9F1F2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068</w:t>
                  </w:r>
                </w:p>
              </w:tc>
              <w:tc>
                <w:tcPr>
                  <w:tcW w:w="1247" w:type="dxa"/>
                  <w:vAlign w:val="center"/>
                </w:tcPr>
                <w:p w14:paraId="0C7E7F6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w:t>
                  </w:r>
                </w:p>
              </w:tc>
              <w:tc>
                <w:tcPr>
                  <w:tcW w:w="769" w:type="dxa"/>
                  <w:vMerge w:val="continue"/>
                  <w:vAlign w:val="center"/>
                </w:tcPr>
                <w:p w14:paraId="6D96575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0711DB"/>
                      <w:sz w:val="21"/>
                      <w:szCs w:val="21"/>
                    </w:rPr>
                  </w:pPr>
                </w:p>
              </w:tc>
            </w:tr>
            <w:tr w14:paraId="7AB9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801" w:type="dxa"/>
                  <w:vAlign w:val="center"/>
                </w:tcPr>
                <w:p w14:paraId="6FCD8AE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沥青使用</w:t>
                  </w:r>
                </w:p>
              </w:tc>
              <w:tc>
                <w:tcPr>
                  <w:tcW w:w="656" w:type="dxa"/>
                  <w:vAlign w:val="center"/>
                </w:tcPr>
                <w:p w14:paraId="1700AFD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沥青使用过程</w:t>
                  </w:r>
                </w:p>
              </w:tc>
              <w:tc>
                <w:tcPr>
                  <w:tcW w:w="904" w:type="dxa"/>
                  <w:vAlign w:val="center"/>
                </w:tcPr>
                <w:p w14:paraId="6C55AE4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无组织</w:t>
                  </w:r>
                </w:p>
              </w:tc>
              <w:tc>
                <w:tcPr>
                  <w:tcW w:w="929" w:type="dxa"/>
                  <w:vAlign w:val="center"/>
                </w:tcPr>
                <w:p w14:paraId="7140696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臭气</w:t>
                  </w:r>
                </w:p>
              </w:tc>
              <w:tc>
                <w:tcPr>
                  <w:tcW w:w="616" w:type="dxa"/>
                  <w:vAlign w:val="center"/>
                </w:tcPr>
                <w:p w14:paraId="72768A2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类比</w:t>
                  </w:r>
                </w:p>
              </w:tc>
              <w:tc>
                <w:tcPr>
                  <w:tcW w:w="982" w:type="dxa"/>
                  <w:vAlign w:val="center"/>
                </w:tcPr>
                <w:p w14:paraId="5FE5FEC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少量</w:t>
                  </w:r>
                </w:p>
              </w:tc>
              <w:tc>
                <w:tcPr>
                  <w:tcW w:w="1209" w:type="dxa"/>
                  <w:vAlign w:val="center"/>
                </w:tcPr>
                <w:p w14:paraId="3AD4856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247" w:type="dxa"/>
                  <w:vAlign w:val="center"/>
                </w:tcPr>
                <w:p w14:paraId="553BB33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85" w:type="dxa"/>
                  <w:vAlign w:val="center"/>
                </w:tcPr>
                <w:p w14:paraId="308C662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沥青储存、运输及利用</w:t>
                  </w:r>
                </w:p>
              </w:tc>
              <w:tc>
                <w:tcPr>
                  <w:tcW w:w="751" w:type="dxa"/>
                  <w:vAlign w:val="center"/>
                </w:tcPr>
                <w:p w14:paraId="7913A65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30" w:type="dxa"/>
                  <w:vAlign w:val="center"/>
                </w:tcPr>
                <w:p w14:paraId="1D024B1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类比</w:t>
                  </w:r>
                </w:p>
              </w:tc>
              <w:tc>
                <w:tcPr>
                  <w:tcW w:w="982" w:type="dxa"/>
                  <w:vAlign w:val="center"/>
                </w:tcPr>
                <w:p w14:paraId="126D010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少量</w:t>
                  </w:r>
                </w:p>
              </w:tc>
              <w:tc>
                <w:tcPr>
                  <w:tcW w:w="1209" w:type="dxa"/>
                  <w:vAlign w:val="center"/>
                </w:tcPr>
                <w:p w14:paraId="59608F2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247" w:type="dxa"/>
                  <w:vAlign w:val="center"/>
                </w:tcPr>
                <w:p w14:paraId="3137B4F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769" w:type="dxa"/>
                  <w:vAlign w:val="center"/>
                </w:tcPr>
                <w:p w14:paraId="22F3C42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1440</w:t>
                  </w:r>
                </w:p>
              </w:tc>
            </w:tr>
          </w:tbl>
          <w:p w14:paraId="68E9DC6F">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3、废气排放口基本情况</w:t>
            </w:r>
          </w:p>
          <w:p w14:paraId="3257ACDF">
            <w:pPr>
              <w:keepNext w:val="0"/>
              <w:keepLines w:val="0"/>
              <w:pageBreakBefore w:val="0"/>
              <w:widowControl w:val="0"/>
              <w:kinsoku/>
              <w:wordWrap/>
              <w:overflowPunct/>
              <w:topLinePunct w:val="0"/>
              <w:autoSpaceDE/>
              <w:autoSpaceDN/>
              <w:bidi w:val="0"/>
              <w:adjustRightInd/>
              <w:snapToGrid/>
              <w:ind w:firstLine="480"/>
              <w:textAlignment w:val="auto"/>
              <w:rPr>
                <w:b/>
                <w:bCs/>
                <w:sz w:val="21"/>
                <w:szCs w:val="21"/>
              </w:rPr>
            </w:pPr>
            <w:r>
              <w:t>本项目废气排放口设置基本情况如下</w:t>
            </w:r>
            <w:r>
              <w:rPr>
                <w:rFonts w:hint="eastAsia"/>
                <w:lang w:eastAsia="zh-CN"/>
              </w:rPr>
              <w:t>：</w:t>
            </w:r>
          </w:p>
          <w:p w14:paraId="69212999">
            <w:pPr>
              <w:widowControl/>
              <w:ind w:left="0" w:leftChars="0" w:firstLine="0" w:firstLineChars="0"/>
              <w:jc w:val="center"/>
              <w:rPr>
                <w:b/>
                <w:bCs/>
                <w:sz w:val="21"/>
                <w:szCs w:val="21"/>
              </w:rPr>
            </w:pPr>
            <w:r>
              <w:rPr>
                <w:b/>
                <w:bCs/>
                <w:sz w:val="21"/>
                <w:szCs w:val="21"/>
              </w:rPr>
              <w:t>表4-</w:t>
            </w:r>
            <w:r>
              <w:rPr>
                <w:rFonts w:hint="eastAsia"/>
                <w:b/>
                <w:bCs/>
                <w:sz w:val="21"/>
                <w:szCs w:val="21"/>
                <w:lang w:val="en-US" w:eastAsia="zh-CN"/>
              </w:rPr>
              <w:t>4</w:t>
            </w:r>
            <w:r>
              <w:rPr>
                <w:b/>
                <w:bCs/>
                <w:sz w:val="21"/>
                <w:szCs w:val="21"/>
              </w:rPr>
              <w:t xml:space="preserve"> 废气排放口基本情况表</w:t>
            </w:r>
          </w:p>
          <w:tbl>
            <w:tblPr>
              <w:tblStyle w:val="16"/>
              <w:tblW w:w="13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930"/>
              <w:gridCol w:w="869"/>
              <w:gridCol w:w="887"/>
              <w:gridCol w:w="869"/>
              <w:gridCol w:w="954"/>
              <w:gridCol w:w="1654"/>
              <w:gridCol w:w="891"/>
              <w:gridCol w:w="1294"/>
              <w:gridCol w:w="993"/>
              <w:gridCol w:w="863"/>
              <w:gridCol w:w="844"/>
              <w:gridCol w:w="787"/>
              <w:gridCol w:w="812"/>
            </w:tblGrid>
            <w:tr w14:paraId="71D2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18" w:type="pct"/>
                  <w:vMerge w:val="restart"/>
                  <w:vAlign w:val="center"/>
                </w:tcPr>
                <w:p w14:paraId="7C6E9A6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工序</w:t>
                  </w:r>
                </w:p>
              </w:tc>
              <w:tc>
                <w:tcPr>
                  <w:tcW w:w="2555" w:type="pct"/>
                  <w:gridSpan w:val="7"/>
                  <w:vAlign w:val="center"/>
                </w:tcPr>
                <w:p w14:paraId="783AFD7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排气筒</w:t>
                  </w:r>
                </w:p>
              </w:tc>
              <w:tc>
                <w:tcPr>
                  <w:tcW w:w="1141" w:type="pct"/>
                  <w:gridSpan w:val="3"/>
                  <w:vAlign w:val="center"/>
                </w:tcPr>
                <w:p w14:paraId="636A463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排放情况</w:t>
                  </w:r>
                </w:p>
              </w:tc>
              <w:tc>
                <w:tcPr>
                  <w:tcW w:w="885" w:type="pct"/>
                  <w:gridSpan w:val="3"/>
                  <w:vAlign w:val="center"/>
                </w:tcPr>
                <w:p w14:paraId="7CFFEA7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排放</w:t>
                  </w:r>
                  <w:r>
                    <w:rPr>
                      <w:rFonts w:hint="eastAsia" w:ascii="Times New Roman" w:hAnsi="Times New Roman" w:eastAsia="宋体" w:cs="Times New Roman"/>
                      <w:b/>
                      <w:color w:val="auto"/>
                      <w:sz w:val="21"/>
                      <w:szCs w:val="21"/>
                      <w:highlight w:val="none"/>
                      <w:lang w:val="en-US" w:eastAsia="zh-CN"/>
                    </w:rPr>
                    <w:t>情况</w:t>
                  </w:r>
                </w:p>
              </w:tc>
            </w:tr>
            <w:tr w14:paraId="7DBC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18" w:type="pct"/>
                  <w:vMerge w:val="continue"/>
                  <w:vAlign w:val="center"/>
                </w:tcPr>
                <w:p w14:paraId="711BFE2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p>
              </w:tc>
              <w:tc>
                <w:tcPr>
                  <w:tcW w:w="336" w:type="pct"/>
                  <w:vMerge w:val="restart"/>
                  <w:vAlign w:val="center"/>
                </w:tcPr>
                <w:p w14:paraId="211E338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名称</w:t>
                  </w:r>
                </w:p>
              </w:tc>
              <w:tc>
                <w:tcPr>
                  <w:tcW w:w="314" w:type="pct"/>
                  <w:vMerge w:val="restart"/>
                  <w:vAlign w:val="center"/>
                </w:tcPr>
                <w:p w14:paraId="6CC2254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高度m</w:t>
                  </w:r>
                </w:p>
              </w:tc>
              <w:tc>
                <w:tcPr>
                  <w:tcW w:w="321" w:type="pct"/>
                  <w:vMerge w:val="restart"/>
                  <w:vAlign w:val="center"/>
                </w:tcPr>
                <w:p w14:paraId="76E124B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内径m</w:t>
                  </w:r>
                </w:p>
              </w:tc>
              <w:tc>
                <w:tcPr>
                  <w:tcW w:w="314" w:type="pct"/>
                  <w:vMerge w:val="restart"/>
                  <w:vAlign w:val="center"/>
                </w:tcPr>
                <w:p w14:paraId="060EBCA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温度℃</w:t>
                  </w:r>
                </w:p>
              </w:tc>
              <w:tc>
                <w:tcPr>
                  <w:tcW w:w="345" w:type="pct"/>
                  <w:vMerge w:val="restart"/>
                  <w:vAlign w:val="center"/>
                </w:tcPr>
                <w:p w14:paraId="22DD971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eastAsia="zh-CN"/>
                    </w:rPr>
                    <w:t>速率</w:t>
                  </w:r>
                  <w:r>
                    <w:rPr>
                      <w:rFonts w:hint="default" w:ascii="Times New Roman" w:hAnsi="Times New Roman" w:eastAsia="宋体" w:cs="Times New Roman"/>
                      <w:b/>
                      <w:color w:val="auto"/>
                      <w:sz w:val="21"/>
                      <w:szCs w:val="21"/>
                      <w:highlight w:val="none"/>
                      <w:lang w:val="en-US" w:eastAsia="zh-CN"/>
                    </w:rPr>
                    <w:t>m/s</w:t>
                  </w:r>
                </w:p>
              </w:tc>
              <w:tc>
                <w:tcPr>
                  <w:tcW w:w="599" w:type="pct"/>
                  <w:vMerge w:val="restart"/>
                  <w:vAlign w:val="center"/>
                </w:tcPr>
                <w:p w14:paraId="7827C05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地理坐标</w:t>
                  </w:r>
                </w:p>
              </w:tc>
              <w:tc>
                <w:tcPr>
                  <w:tcW w:w="322" w:type="pct"/>
                  <w:vMerge w:val="restart"/>
                  <w:vAlign w:val="center"/>
                </w:tcPr>
                <w:p w14:paraId="2FB88DD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类型</w:t>
                  </w:r>
                </w:p>
              </w:tc>
              <w:tc>
                <w:tcPr>
                  <w:tcW w:w="468" w:type="pct"/>
                  <w:vMerge w:val="restart"/>
                  <w:vAlign w:val="center"/>
                </w:tcPr>
                <w:p w14:paraId="043FCAE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pacing w:val="-11"/>
                      <w:sz w:val="21"/>
                      <w:szCs w:val="21"/>
                      <w:highlight w:val="none"/>
                    </w:rPr>
                    <w:t>污染物</w:t>
                  </w:r>
                </w:p>
              </w:tc>
              <w:tc>
                <w:tcPr>
                  <w:tcW w:w="359" w:type="pct"/>
                  <w:vMerge w:val="restart"/>
                  <w:vAlign w:val="center"/>
                </w:tcPr>
                <w:p w14:paraId="7688796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浓度</w:t>
                  </w:r>
                  <w:r>
                    <w:rPr>
                      <w:rFonts w:hint="default" w:ascii="Times New Roman" w:hAnsi="Times New Roman" w:eastAsia="宋体" w:cs="Times New Roman"/>
                      <w:b/>
                      <w:color w:val="auto"/>
                      <w:spacing w:val="-11"/>
                      <w:sz w:val="21"/>
                      <w:szCs w:val="21"/>
                      <w:highlight w:val="none"/>
                    </w:rPr>
                    <w:t>mg/m</w:t>
                  </w:r>
                  <w:r>
                    <w:rPr>
                      <w:rFonts w:hint="default" w:ascii="Times New Roman" w:hAnsi="Times New Roman" w:eastAsia="宋体" w:cs="Times New Roman"/>
                      <w:b/>
                      <w:color w:val="auto"/>
                      <w:spacing w:val="-11"/>
                      <w:sz w:val="21"/>
                      <w:szCs w:val="21"/>
                      <w:highlight w:val="none"/>
                      <w:vertAlign w:val="superscript"/>
                    </w:rPr>
                    <w:t>3</w:t>
                  </w:r>
                </w:p>
              </w:tc>
              <w:tc>
                <w:tcPr>
                  <w:tcW w:w="312" w:type="pct"/>
                  <w:vMerge w:val="restart"/>
                  <w:vAlign w:val="center"/>
                </w:tcPr>
                <w:p w14:paraId="3CB1A32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w:t>
                  </w:r>
                </w:p>
                <w:p w14:paraId="3474D53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kg/h</w:t>
                  </w:r>
                </w:p>
              </w:tc>
              <w:tc>
                <w:tcPr>
                  <w:tcW w:w="590" w:type="pct"/>
                  <w:gridSpan w:val="2"/>
                  <w:vAlign w:val="center"/>
                </w:tcPr>
                <w:p w14:paraId="5013D17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执行标准</w:t>
                  </w:r>
                </w:p>
              </w:tc>
              <w:tc>
                <w:tcPr>
                  <w:tcW w:w="294" w:type="pct"/>
                  <w:vMerge w:val="restart"/>
                  <w:vAlign w:val="center"/>
                </w:tcPr>
                <w:p w14:paraId="741BB59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达标情况</w:t>
                  </w:r>
                </w:p>
              </w:tc>
            </w:tr>
            <w:tr w14:paraId="2DC1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18" w:type="pct"/>
                  <w:vMerge w:val="continue"/>
                  <w:vAlign w:val="center"/>
                </w:tcPr>
                <w:p w14:paraId="16C8077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p>
              </w:tc>
              <w:tc>
                <w:tcPr>
                  <w:tcW w:w="336" w:type="pct"/>
                  <w:vMerge w:val="continue"/>
                  <w:vAlign w:val="center"/>
                </w:tcPr>
                <w:p w14:paraId="25F06D5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bCs w:val="0"/>
                      <w:color w:val="auto"/>
                      <w:sz w:val="21"/>
                      <w:szCs w:val="21"/>
                      <w:highlight w:val="none"/>
                      <w:lang w:val="en-US" w:eastAsia="zh-CN"/>
                    </w:rPr>
                  </w:pPr>
                </w:p>
              </w:tc>
              <w:tc>
                <w:tcPr>
                  <w:tcW w:w="314" w:type="pct"/>
                  <w:vMerge w:val="continue"/>
                  <w:vAlign w:val="center"/>
                </w:tcPr>
                <w:p w14:paraId="19E0702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21" w:type="pct"/>
                  <w:vMerge w:val="continue"/>
                  <w:vAlign w:val="center"/>
                </w:tcPr>
                <w:p w14:paraId="643FCD8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14" w:type="pct"/>
                  <w:vMerge w:val="continue"/>
                  <w:vAlign w:val="center"/>
                </w:tcPr>
                <w:p w14:paraId="7303B05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45" w:type="pct"/>
                  <w:vMerge w:val="continue"/>
                  <w:vAlign w:val="center"/>
                </w:tcPr>
                <w:p w14:paraId="57BF748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lang w:eastAsia="zh-CN"/>
                    </w:rPr>
                  </w:pPr>
                </w:p>
              </w:tc>
              <w:tc>
                <w:tcPr>
                  <w:tcW w:w="599" w:type="pct"/>
                  <w:vMerge w:val="continue"/>
                  <w:vAlign w:val="center"/>
                </w:tcPr>
                <w:p w14:paraId="09E6B08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22" w:type="pct"/>
                  <w:vMerge w:val="continue"/>
                  <w:vAlign w:val="center"/>
                </w:tcPr>
                <w:p w14:paraId="186D67A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468" w:type="pct"/>
                  <w:vMerge w:val="continue"/>
                  <w:vAlign w:val="center"/>
                </w:tcPr>
                <w:p w14:paraId="1D7E1A4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59" w:type="pct"/>
                  <w:vMerge w:val="continue"/>
                  <w:vAlign w:val="center"/>
                </w:tcPr>
                <w:p w14:paraId="24674D1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12" w:type="pct"/>
                  <w:vMerge w:val="continue"/>
                  <w:vAlign w:val="center"/>
                </w:tcPr>
                <w:p w14:paraId="2006A0F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p>
              </w:tc>
              <w:tc>
                <w:tcPr>
                  <w:tcW w:w="305" w:type="pct"/>
                  <w:vAlign w:val="center"/>
                </w:tcPr>
                <w:p w14:paraId="45F1947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浓度</w:t>
                  </w:r>
                  <w:r>
                    <w:rPr>
                      <w:rFonts w:hint="default" w:ascii="Times New Roman" w:hAnsi="Times New Roman" w:eastAsia="宋体" w:cs="Times New Roman"/>
                      <w:b/>
                      <w:color w:val="auto"/>
                      <w:spacing w:val="-11"/>
                      <w:sz w:val="21"/>
                      <w:szCs w:val="21"/>
                      <w:highlight w:val="none"/>
                    </w:rPr>
                    <w:t>mg/m</w:t>
                  </w:r>
                  <w:r>
                    <w:rPr>
                      <w:rFonts w:hint="default" w:ascii="Times New Roman" w:hAnsi="Times New Roman" w:eastAsia="宋体" w:cs="Times New Roman"/>
                      <w:b/>
                      <w:color w:val="auto"/>
                      <w:spacing w:val="-11"/>
                      <w:sz w:val="21"/>
                      <w:szCs w:val="21"/>
                      <w:highlight w:val="none"/>
                      <w:vertAlign w:val="superscript"/>
                    </w:rPr>
                    <w:t>3</w:t>
                  </w:r>
                </w:p>
              </w:tc>
              <w:tc>
                <w:tcPr>
                  <w:tcW w:w="285" w:type="pct"/>
                  <w:vAlign w:val="center"/>
                </w:tcPr>
                <w:p w14:paraId="6FFAC20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速率</w:t>
                  </w:r>
                </w:p>
                <w:p w14:paraId="499E81F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kg/h</w:t>
                  </w:r>
                </w:p>
              </w:tc>
              <w:tc>
                <w:tcPr>
                  <w:tcW w:w="294" w:type="pct"/>
                  <w:vMerge w:val="continue"/>
                  <w:vAlign w:val="center"/>
                </w:tcPr>
                <w:p w14:paraId="2E553CB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cs="Times New Roman"/>
                      <w:b/>
                      <w:color w:val="auto"/>
                      <w:sz w:val="21"/>
                      <w:szCs w:val="21"/>
                      <w:highlight w:val="none"/>
                      <w:lang w:val="en-US" w:eastAsia="zh-CN"/>
                    </w:rPr>
                  </w:pPr>
                </w:p>
              </w:tc>
            </w:tr>
            <w:tr w14:paraId="3992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restart"/>
                  <w:vAlign w:val="center"/>
                </w:tcPr>
                <w:p w14:paraId="23F71C5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lang w:val="en-US" w:eastAsia="zh-CN"/>
                    </w:rPr>
                    <w:t>砂石料</w:t>
                  </w:r>
                  <w:r>
                    <w:rPr>
                      <w:rFonts w:hint="default" w:ascii="Times New Roman" w:hAnsi="Times New Roman" w:eastAsia="宋体" w:cs="Times New Roman"/>
                      <w:bCs/>
                      <w:color w:val="auto"/>
                      <w:sz w:val="21"/>
                      <w:szCs w:val="21"/>
                      <w:lang w:val="en-US" w:eastAsia="zh-CN"/>
                    </w:rPr>
                    <w:t>投料、烘干、筛分</w:t>
                  </w:r>
                </w:p>
              </w:tc>
              <w:tc>
                <w:tcPr>
                  <w:tcW w:w="336" w:type="pct"/>
                  <w:vMerge w:val="restart"/>
                  <w:vAlign w:val="center"/>
                </w:tcPr>
                <w:p w14:paraId="4457FEA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排气筒DA00</w:t>
                  </w:r>
                  <w:r>
                    <w:rPr>
                      <w:rFonts w:hint="eastAsia" w:ascii="Times New Roman" w:hAnsi="Times New Roman" w:eastAsia="宋体" w:cs="Times New Roman"/>
                      <w:color w:val="auto"/>
                      <w:sz w:val="21"/>
                      <w:szCs w:val="21"/>
                      <w:highlight w:val="none"/>
                      <w:lang w:val="en-US" w:eastAsia="zh-CN"/>
                    </w:rPr>
                    <w:t>1</w:t>
                  </w:r>
                </w:p>
              </w:tc>
              <w:tc>
                <w:tcPr>
                  <w:tcW w:w="314" w:type="pct"/>
                  <w:vMerge w:val="restart"/>
                  <w:vAlign w:val="center"/>
                </w:tcPr>
                <w:p w14:paraId="07D5A99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21" w:type="pct"/>
                  <w:vMerge w:val="restart"/>
                  <w:vAlign w:val="center"/>
                </w:tcPr>
                <w:p w14:paraId="473C799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5</w:t>
                  </w:r>
                </w:p>
              </w:tc>
              <w:tc>
                <w:tcPr>
                  <w:tcW w:w="314" w:type="pct"/>
                  <w:vMerge w:val="restart"/>
                  <w:vAlign w:val="center"/>
                </w:tcPr>
                <w:p w14:paraId="318F405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60</w:t>
                  </w:r>
                </w:p>
              </w:tc>
              <w:tc>
                <w:tcPr>
                  <w:tcW w:w="345" w:type="pct"/>
                  <w:vMerge w:val="restart"/>
                  <w:vAlign w:val="center"/>
                </w:tcPr>
                <w:p w14:paraId="7757461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2.597</w:t>
                  </w:r>
                </w:p>
              </w:tc>
              <w:tc>
                <w:tcPr>
                  <w:tcW w:w="599" w:type="pct"/>
                  <w:vMerge w:val="restart"/>
                  <w:vAlign w:val="center"/>
                </w:tcPr>
                <w:p w14:paraId="0EE8013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pacing w:val="-11"/>
                      <w:sz w:val="21"/>
                      <w:szCs w:val="21"/>
                      <w:highlight w:val="none"/>
                      <w:lang w:val="en-US" w:eastAsia="zh-CN"/>
                    </w:rPr>
                  </w:pPr>
                  <w:r>
                    <w:rPr>
                      <w:rFonts w:hint="default" w:ascii="Times New Roman" w:hAnsi="Times New Roman" w:eastAsia="宋体" w:cs="Times New Roman"/>
                      <w:bCs/>
                      <w:color w:val="auto"/>
                      <w:spacing w:val="-11"/>
                      <w:sz w:val="21"/>
                      <w:szCs w:val="21"/>
                      <w:highlight w:val="none"/>
                    </w:rPr>
                    <w:t>103.317054403°</w:t>
                  </w:r>
                  <w:r>
                    <w:rPr>
                      <w:rFonts w:hint="eastAsia" w:ascii="Times New Roman" w:hAnsi="Times New Roman" w:eastAsia="宋体" w:cs="Times New Roman"/>
                      <w:bCs/>
                      <w:color w:val="auto"/>
                      <w:spacing w:val="-11"/>
                      <w:sz w:val="21"/>
                      <w:szCs w:val="21"/>
                      <w:highlight w:val="none"/>
                      <w:lang w:val="en-US" w:eastAsia="zh-CN"/>
                    </w:rPr>
                    <w:t>E</w:t>
                  </w:r>
                </w:p>
                <w:p w14:paraId="5C191BA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r>
                    <w:rPr>
                      <w:rFonts w:hint="default" w:ascii="Times New Roman" w:hAnsi="Times New Roman" w:eastAsia="宋体" w:cs="Times New Roman"/>
                      <w:bCs/>
                      <w:color w:val="auto"/>
                      <w:spacing w:val="-11"/>
                      <w:sz w:val="21"/>
                      <w:szCs w:val="21"/>
                      <w:highlight w:val="none"/>
                    </w:rPr>
                    <w:t>25.568350749°N</w:t>
                  </w:r>
                </w:p>
              </w:tc>
              <w:tc>
                <w:tcPr>
                  <w:tcW w:w="322" w:type="pct"/>
                  <w:vMerge w:val="restart"/>
                  <w:vAlign w:val="center"/>
                </w:tcPr>
                <w:p w14:paraId="4D5201B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5F72783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993" w:type="dxa"/>
                  <w:vAlign w:val="center"/>
                </w:tcPr>
                <w:p w14:paraId="12A04E5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color w:val="auto"/>
                      <w:sz w:val="21"/>
                      <w:szCs w:val="21"/>
                      <w:lang w:val="en-US" w:eastAsia="zh-CN"/>
                    </w:rPr>
                    <w:t>1.569</w:t>
                  </w:r>
                </w:p>
              </w:tc>
              <w:tc>
                <w:tcPr>
                  <w:tcW w:w="863" w:type="dxa"/>
                  <w:vAlign w:val="center"/>
                </w:tcPr>
                <w:p w14:paraId="087D9FA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110</w:t>
                  </w:r>
                </w:p>
              </w:tc>
              <w:tc>
                <w:tcPr>
                  <w:tcW w:w="305" w:type="pct"/>
                  <w:vAlign w:val="center"/>
                </w:tcPr>
                <w:p w14:paraId="1567B2C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285" w:type="pct"/>
                  <w:shd w:val="clear" w:color="auto" w:fill="auto"/>
                  <w:vAlign w:val="center"/>
                </w:tcPr>
                <w:p w14:paraId="30B7C9E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bCs/>
                      <w:color w:val="000000" w:themeColor="text1"/>
                      <w:sz w:val="21"/>
                      <w:szCs w:val="21"/>
                      <w:lang w:val="en-US" w:eastAsia="zh-CN"/>
                      <w14:textFill>
                        <w14:solidFill>
                          <w14:schemeClr w14:val="tx1"/>
                        </w14:solidFill>
                      </w14:textFill>
                    </w:rPr>
                    <w:t>3.5</w:t>
                  </w:r>
                </w:p>
              </w:tc>
              <w:tc>
                <w:tcPr>
                  <w:tcW w:w="294" w:type="pct"/>
                  <w:vAlign w:val="center"/>
                </w:tcPr>
                <w:p w14:paraId="10654022">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0FBB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continue"/>
                  <w:vAlign w:val="center"/>
                </w:tcPr>
                <w:p w14:paraId="0509E5B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Merge w:val="continue"/>
                  <w:vAlign w:val="center"/>
                </w:tcPr>
                <w:p w14:paraId="7305FD4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4" w:type="pct"/>
                  <w:vMerge w:val="continue"/>
                  <w:vAlign w:val="center"/>
                </w:tcPr>
                <w:p w14:paraId="606291B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00341F7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2FA6C9D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4C84A71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788D252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p>
              </w:tc>
              <w:tc>
                <w:tcPr>
                  <w:tcW w:w="322" w:type="pct"/>
                  <w:vMerge w:val="continue"/>
                  <w:vAlign w:val="center"/>
                </w:tcPr>
                <w:p w14:paraId="249782F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p>
              </w:tc>
              <w:tc>
                <w:tcPr>
                  <w:tcW w:w="468" w:type="pct"/>
                  <w:vAlign w:val="center"/>
                </w:tcPr>
                <w:p w14:paraId="73D7FD9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SO</w:t>
                  </w:r>
                  <w:r>
                    <w:rPr>
                      <w:rFonts w:hint="default" w:ascii="Times New Roman" w:hAnsi="Times New Roman" w:eastAsia="宋体" w:cs="Times New Roman"/>
                      <w:bCs/>
                      <w:color w:val="auto"/>
                      <w:sz w:val="21"/>
                      <w:szCs w:val="21"/>
                      <w:highlight w:val="none"/>
                      <w:vertAlign w:val="subscript"/>
                    </w:rPr>
                    <w:t>2</w:t>
                  </w:r>
                </w:p>
              </w:tc>
              <w:tc>
                <w:tcPr>
                  <w:tcW w:w="993" w:type="dxa"/>
                  <w:vAlign w:val="center"/>
                </w:tcPr>
                <w:p w14:paraId="75F05C1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color w:val="auto"/>
                      <w:sz w:val="21"/>
                      <w:szCs w:val="21"/>
                      <w:lang w:val="en-US" w:eastAsia="zh-CN"/>
                    </w:rPr>
                    <w:t>1.982</w:t>
                  </w:r>
                </w:p>
              </w:tc>
              <w:tc>
                <w:tcPr>
                  <w:tcW w:w="863" w:type="dxa"/>
                  <w:vAlign w:val="center"/>
                </w:tcPr>
                <w:p w14:paraId="35F7C5E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139</w:t>
                  </w:r>
                </w:p>
              </w:tc>
              <w:tc>
                <w:tcPr>
                  <w:tcW w:w="305" w:type="pct"/>
                  <w:vAlign w:val="center"/>
                </w:tcPr>
                <w:p w14:paraId="4ED924E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550</w:t>
                  </w:r>
                </w:p>
              </w:tc>
              <w:tc>
                <w:tcPr>
                  <w:tcW w:w="285" w:type="pct"/>
                  <w:shd w:val="clear" w:color="auto" w:fill="auto"/>
                  <w:vAlign w:val="center"/>
                </w:tcPr>
                <w:p w14:paraId="1B304C90">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bCs/>
                      <w:color w:val="000000" w:themeColor="text1"/>
                      <w:sz w:val="21"/>
                      <w:szCs w:val="21"/>
                      <w:lang w:val="en-US" w:eastAsia="zh-CN"/>
                      <w14:textFill>
                        <w14:solidFill>
                          <w14:schemeClr w14:val="tx1"/>
                        </w14:solidFill>
                      </w14:textFill>
                    </w:rPr>
                    <w:t>2.6</w:t>
                  </w:r>
                </w:p>
              </w:tc>
              <w:tc>
                <w:tcPr>
                  <w:tcW w:w="294" w:type="pct"/>
                  <w:vAlign w:val="center"/>
                </w:tcPr>
                <w:p w14:paraId="69DBB64B">
                  <w:pPr>
                    <w:keepNext w:val="0"/>
                    <w:keepLines w:val="0"/>
                    <w:pageBreakBefore w:val="0"/>
                    <w:widowControl/>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7945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18" w:type="pct"/>
                  <w:vMerge w:val="continue"/>
                  <w:vAlign w:val="center"/>
                </w:tcPr>
                <w:p w14:paraId="6662979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Merge w:val="continue"/>
                  <w:vAlign w:val="center"/>
                </w:tcPr>
                <w:p w14:paraId="369FC3F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4" w:type="pct"/>
                  <w:vMerge w:val="continue"/>
                  <w:vAlign w:val="center"/>
                </w:tcPr>
                <w:p w14:paraId="557B3C2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3F92E2C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154C9B6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6BEEE0D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3DE4528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rPr>
                  </w:pPr>
                </w:p>
              </w:tc>
              <w:tc>
                <w:tcPr>
                  <w:tcW w:w="322" w:type="pct"/>
                  <w:vMerge w:val="continue"/>
                  <w:vAlign w:val="center"/>
                </w:tcPr>
                <w:p w14:paraId="62E88E5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p>
              </w:tc>
              <w:tc>
                <w:tcPr>
                  <w:tcW w:w="468" w:type="pct"/>
                  <w:vAlign w:val="center"/>
                </w:tcPr>
                <w:p w14:paraId="5E7FFE0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rPr>
                    <w:t>X</w:t>
                  </w:r>
                </w:p>
              </w:tc>
              <w:tc>
                <w:tcPr>
                  <w:tcW w:w="993" w:type="dxa"/>
                  <w:vAlign w:val="center"/>
                </w:tcPr>
                <w:p w14:paraId="1574ABB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 w:val="0"/>
                      <w:bCs/>
                      <w:color w:val="auto"/>
                      <w:sz w:val="21"/>
                      <w:szCs w:val="21"/>
                      <w:lang w:val="en-US" w:eastAsia="zh-CN"/>
                    </w:rPr>
                    <w:t>1.826</w:t>
                  </w:r>
                </w:p>
              </w:tc>
              <w:tc>
                <w:tcPr>
                  <w:tcW w:w="863" w:type="dxa"/>
                  <w:vAlign w:val="center"/>
                </w:tcPr>
                <w:p w14:paraId="116A734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.128</w:t>
                  </w:r>
                </w:p>
              </w:tc>
              <w:tc>
                <w:tcPr>
                  <w:tcW w:w="305" w:type="pct"/>
                  <w:vAlign w:val="center"/>
                </w:tcPr>
                <w:p w14:paraId="6977B64A">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240</w:t>
                  </w:r>
                </w:p>
              </w:tc>
              <w:tc>
                <w:tcPr>
                  <w:tcW w:w="285" w:type="pct"/>
                  <w:shd w:val="clear" w:color="auto" w:fill="auto"/>
                  <w:vAlign w:val="center"/>
                </w:tcPr>
                <w:p w14:paraId="5936092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SA"/>
                    </w:rPr>
                  </w:pPr>
                  <w:r>
                    <w:rPr>
                      <w:rFonts w:hint="eastAsia" w:cs="Times New Roman"/>
                      <w:bCs/>
                      <w:color w:val="000000" w:themeColor="text1"/>
                      <w:sz w:val="21"/>
                      <w:szCs w:val="21"/>
                      <w:lang w:val="en-US" w:eastAsia="zh-CN"/>
                      <w14:textFill>
                        <w14:solidFill>
                          <w14:schemeClr w14:val="tx1"/>
                        </w14:solidFill>
                      </w14:textFill>
                    </w:rPr>
                    <w:t>0.77</w:t>
                  </w:r>
                </w:p>
              </w:tc>
              <w:tc>
                <w:tcPr>
                  <w:tcW w:w="294" w:type="pct"/>
                  <w:vAlign w:val="center"/>
                </w:tcPr>
                <w:p w14:paraId="621380E5">
                  <w:pPr>
                    <w:keepNext w:val="0"/>
                    <w:keepLines w:val="0"/>
                    <w:pageBreakBefore w:val="0"/>
                    <w:widowControl/>
                    <w:kinsoku/>
                    <w:wordWrap/>
                    <w:overflowPunct w:val="0"/>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5BDA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restart"/>
                  <w:vAlign w:val="center"/>
                </w:tcPr>
                <w:p w14:paraId="770EA526">
                  <w:pPr>
                    <w:keepNext w:val="0"/>
                    <w:keepLines w:val="0"/>
                    <w:pageBreakBefore w:val="0"/>
                    <w:kinsoku/>
                    <w:wordWrap/>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sz w:val="21"/>
                      <w:szCs w:val="21"/>
                      <w:lang w:val="en-US" w:eastAsia="zh-CN"/>
                    </w:rPr>
                    <w:t>有机热载体炉废气</w:t>
                  </w:r>
                </w:p>
              </w:tc>
              <w:tc>
                <w:tcPr>
                  <w:tcW w:w="336" w:type="pct"/>
                  <w:vMerge w:val="restart"/>
                  <w:vAlign w:val="center"/>
                </w:tcPr>
                <w:p w14:paraId="696FD8C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排气筒DA002</w:t>
                  </w:r>
                </w:p>
              </w:tc>
              <w:tc>
                <w:tcPr>
                  <w:tcW w:w="314" w:type="pct"/>
                  <w:vMerge w:val="restart"/>
                  <w:vAlign w:val="center"/>
                </w:tcPr>
                <w:p w14:paraId="1F9F813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c>
                <w:tcPr>
                  <w:tcW w:w="321" w:type="pct"/>
                  <w:vMerge w:val="restart"/>
                  <w:vAlign w:val="center"/>
                </w:tcPr>
                <w:p w14:paraId="5E12FE4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w:t>
                  </w:r>
                </w:p>
              </w:tc>
              <w:tc>
                <w:tcPr>
                  <w:tcW w:w="314" w:type="pct"/>
                  <w:vMerge w:val="restart"/>
                  <w:vAlign w:val="center"/>
                </w:tcPr>
                <w:p w14:paraId="46B9BDD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80</w:t>
                  </w:r>
                </w:p>
              </w:tc>
              <w:tc>
                <w:tcPr>
                  <w:tcW w:w="345" w:type="pct"/>
                  <w:vMerge w:val="restart"/>
                  <w:vAlign w:val="center"/>
                </w:tcPr>
                <w:p w14:paraId="7AD2548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0.064</w:t>
                  </w:r>
                </w:p>
              </w:tc>
              <w:tc>
                <w:tcPr>
                  <w:tcW w:w="599" w:type="pct"/>
                  <w:vMerge w:val="restart"/>
                  <w:vAlign w:val="center"/>
                </w:tcPr>
                <w:p w14:paraId="6D559DB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pacing w:val="-11"/>
                      <w:sz w:val="21"/>
                      <w:szCs w:val="21"/>
                      <w:highlight w:val="none"/>
                      <w:lang w:val="en-US" w:eastAsia="zh-CN"/>
                    </w:rPr>
                  </w:pPr>
                  <w:r>
                    <w:rPr>
                      <w:rFonts w:hint="default" w:ascii="Times New Roman" w:hAnsi="Times New Roman" w:eastAsia="宋体" w:cs="Times New Roman"/>
                      <w:bCs/>
                      <w:color w:val="auto"/>
                      <w:spacing w:val="-11"/>
                      <w:sz w:val="21"/>
                      <w:szCs w:val="21"/>
                      <w:highlight w:val="none"/>
                    </w:rPr>
                    <w:t>103.316981983°</w:t>
                  </w:r>
                  <w:r>
                    <w:rPr>
                      <w:rFonts w:hint="eastAsia" w:ascii="Times New Roman" w:hAnsi="Times New Roman" w:eastAsia="宋体" w:cs="Times New Roman"/>
                      <w:bCs/>
                      <w:color w:val="auto"/>
                      <w:spacing w:val="-11"/>
                      <w:sz w:val="21"/>
                      <w:szCs w:val="21"/>
                      <w:highlight w:val="none"/>
                      <w:lang w:val="en-US" w:eastAsia="zh-CN"/>
                    </w:rPr>
                    <w:t>E</w:t>
                  </w:r>
                </w:p>
                <w:p w14:paraId="7F4C7E9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lang w:val="en-US" w:eastAsia="zh-CN"/>
                    </w:rPr>
                  </w:pPr>
                  <w:r>
                    <w:rPr>
                      <w:rFonts w:hint="default" w:ascii="Times New Roman" w:hAnsi="Times New Roman" w:eastAsia="宋体" w:cs="Times New Roman"/>
                      <w:bCs/>
                      <w:color w:val="auto"/>
                      <w:spacing w:val="-11"/>
                      <w:sz w:val="21"/>
                      <w:szCs w:val="21"/>
                      <w:highlight w:val="none"/>
                    </w:rPr>
                    <w:t>25.568230050°</w:t>
                  </w:r>
                  <w:r>
                    <w:rPr>
                      <w:rFonts w:hint="eastAsia" w:ascii="Times New Roman" w:hAnsi="Times New Roman" w:eastAsia="宋体" w:cs="Times New Roman"/>
                      <w:bCs/>
                      <w:color w:val="auto"/>
                      <w:spacing w:val="-11"/>
                      <w:sz w:val="21"/>
                      <w:szCs w:val="21"/>
                      <w:highlight w:val="none"/>
                      <w:lang w:val="en-US" w:eastAsia="zh-CN"/>
                    </w:rPr>
                    <w:t>N</w:t>
                  </w:r>
                </w:p>
              </w:tc>
              <w:tc>
                <w:tcPr>
                  <w:tcW w:w="322" w:type="pct"/>
                  <w:vMerge w:val="restart"/>
                  <w:vAlign w:val="center"/>
                </w:tcPr>
                <w:p w14:paraId="195BF6F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35CA82A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993" w:type="dxa"/>
                  <w:vAlign w:val="center"/>
                </w:tcPr>
                <w:p w14:paraId="5A49884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 w:val="0"/>
                      <w:bCs/>
                      <w:color w:val="auto"/>
                      <w:sz w:val="21"/>
                      <w:szCs w:val="21"/>
                      <w:lang w:val="en-US" w:eastAsia="zh-CN"/>
                    </w:rPr>
                    <w:t>14.558</w:t>
                  </w:r>
                </w:p>
              </w:tc>
              <w:tc>
                <w:tcPr>
                  <w:tcW w:w="863" w:type="dxa"/>
                  <w:vAlign w:val="center"/>
                </w:tcPr>
                <w:p w14:paraId="2DB519C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0.00</w:t>
                  </w:r>
                  <w:r>
                    <w:rPr>
                      <w:rFonts w:hint="eastAsia" w:cs="Times New Roman"/>
                      <w:b w:val="0"/>
                      <w:bCs/>
                      <w:color w:val="auto"/>
                      <w:sz w:val="21"/>
                      <w:szCs w:val="21"/>
                      <w:lang w:val="en-US" w:eastAsia="zh-CN"/>
                    </w:rPr>
                    <w:t>9</w:t>
                  </w:r>
                </w:p>
              </w:tc>
              <w:tc>
                <w:tcPr>
                  <w:tcW w:w="305" w:type="pct"/>
                  <w:vAlign w:val="center"/>
                </w:tcPr>
                <w:p w14:paraId="2A21B41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eastAsia="宋体" w:cs="Times New Roman"/>
                      <w:bCs/>
                      <w:color w:val="000000" w:themeColor="text1"/>
                      <w:sz w:val="21"/>
                      <w:szCs w:val="21"/>
                      <w:lang w:val="en-US" w:eastAsia="zh-CN"/>
                      <w14:textFill>
                        <w14:solidFill>
                          <w14:schemeClr w14:val="tx1"/>
                        </w14:solidFill>
                      </w14:textFill>
                    </w:rPr>
                    <w:t>30</w:t>
                  </w:r>
                </w:p>
              </w:tc>
              <w:tc>
                <w:tcPr>
                  <w:tcW w:w="285" w:type="pct"/>
                  <w:vAlign w:val="center"/>
                </w:tcPr>
                <w:p w14:paraId="31F80D25">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w:t>
                  </w:r>
                </w:p>
              </w:tc>
              <w:tc>
                <w:tcPr>
                  <w:tcW w:w="294" w:type="pct"/>
                  <w:vAlign w:val="center"/>
                </w:tcPr>
                <w:p w14:paraId="20AE6AE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2BD3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18" w:type="pct"/>
                  <w:vMerge w:val="continue"/>
                  <w:vAlign w:val="center"/>
                </w:tcPr>
                <w:p w14:paraId="20A7DE1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Merge w:val="continue"/>
                  <w:vAlign w:val="center"/>
                </w:tcPr>
                <w:p w14:paraId="0AE3B43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4" w:type="pct"/>
                  <w:vMerge w:val="continue"/>
                  <w:vAlign w:val="center"/>
                </w:tcPr>
                <w:p w14:paraId="3CA1D57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316FDDD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6A9D75F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0FEDBCF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3572C4F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pacing w:val="-11"/>
                      <w:sz w:val="21"/>
                      <w:szCs w:val="21"/>
                      <w:highlight w:val="none"/>
                    </w:rPr>
                  </w:pPr>
                </w:p>
              </w:tc>
              <w:tc>
                <w:tcPr>
                  <w:tcW w:w="322" w:type="pct"/>
                  <w:vMerge w:val="continue"/>
                  <w:vAlign w:val="center"/>
                </w:tcPr>
                <w:p w14:paraId="48F2A49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p>
              </w:tc>
              <w:tc>
                <w:tcPr>
                  <w:tcW w:w="468" w:type="pct"/>
                  <w:vAlign w:val="center"/>
                </w:tcPr>
                <w:p w14:paraId="43F9E15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SO</w:t>
                  </w:r>
                  <w:r>
                    <w:rPr>
                      <w:rFonts w:hint="default" w:ascii="Times New Roman" w:hAnsi="Times New Roman" w:eastAsia="宋体" w:cs="Times New Roman"/>
                      <w:bCs/>
                      <w:color w:val="auto"/>
                      <w:sz w:val="21"/>
                      <w:szCs w:val="21"/>
                      <w:highlight w:val="none"/>
                      <w:vertAlign w:val="subscript"/>
                    </w:rPr>
                    <w:t>2</w:t>
                  </w:r>
                </w:p>
              </w:tc>
              <w:tc>
                <w:tcPr>
                  <w:tcW w:w="993" w:type="dxa"/>
                  <w:vAlign w:val="center"/>
                </w:tcPr>
                <w:p w14:paraId="242EF80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 w:val="0"/>
                      <w:bCs/>
                      <w:color w:val="auto"/>
                      <w:sz w:val="21"/>
                      <w:szCs w:val="21"/>
                      <w:lang w:val="en-US" w:eastAsia="zh-CN"/>
                    </w:rPr>
                    <w:t>111.615</w:t>
                  </w:r>
                </w:p>
              </w:tc>
              <w:tc>
                <w:tcPr>
                  <w:tcW w:w="863" w:type="dxa"/>
                  <w:vAlign w:val="center"/>
                </w:tcPr>
                <w:p w14:paraId="7ACA780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69</w:t>
                  </w:r>
                </w:p>
              </w:tc>
              <w:tc>
                <w:tcPr>
                  <w:tcW w:w="305" w:type="pct"/>
                  <w:vAlign w:val="center"/>
                </w:tcPr>
                <w:p w14:paraId="00AF425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200</w:t>
                  </w:r>
                </w:p>
              </w:tc>
              <w:tc>
                <w:tcPr>
                  <w:tcW w:w="285" w:type="pct"/>
                  <w:vAlign w:val="center"/>
                </w:tcPr>
                <w:p w14:paraId="10B75B6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w:t>
                  </w:r>
                </w:p>
              </w:tc>
              <w:tc>
                <w:tcPr>
                  <w:tcW w:w="294" w:type="pct"/>
                  <w:vAlign w:val="center"/>
                </w:tcPr>
                <w:p w14:paraId="5DB9FE3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4200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continue"/>
                  <w:vAlign w:val="center"/>
                </w:tcPr>
                <w:p w14:paraId="586B975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Merge w:val="continue"/>
                  <w:vAlign w:val="center"/>
                </w:tcPr>
                <w:p w14:paraId="370F46C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4" w:type="pct"/>
                  <w:vMerge w:val="continue"/>
                  <w:vAlign w:val="center"/>
                </w:tcPr>
                <w:p w14:paraId="00CC9F9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1322F27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61451CC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26AF4A2D">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4FBDEB4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pacing w:val="-11"/>
                      <w:sz w:val="21"/>
                      <w:szCs w:val="21"/>
                      <w:highlight w:val="none"/>
                    </w:rPr>
                  </w:pPr>
                </w:p>
              </w:tc>
              <w:tc>
                <w:tcPr>
                  <w:tcW w:w="322" w:type="pct"/>
                  <w:vMerge w:val="continue"/>
                  <w:vAlign w:val="center"/>
                </w:tcPr>
                <w:p w14:paraId="1AA63D1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p>
              </w:tc>
              <w:tc>
                <w:tcPr>
                  <w:tcW w:w="468" w:type="pct"/>
                  <w:vAlign w:val="center"/>
                </w:tcPr>
                <w:p w14:paraId="22AB05B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rPr>
                    <w:t>X</w:t>
                  </w:r>
                </w:p>
              </w:tc>
              <w:tc>
                <w:tcPr>
                  <w:tcW w:w="993" w:type="dxa"/>
                  <w:vAlign w:val="center"/>
                </w:tcPr>
                <w:p w14:paraId="3EC1EFB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 w:val="0"/>
                      <w:bCs/>
                      <w:color w:val="auto"/>
                      <w:sz w:val="21"/>
                      <w:szCs w:val="21"/>
                      <w:lang w:val="en-US" w:eastAsia="zh-CN"/>
                    </w:rPr>
                    <w:t>0.913</w:t>
                  </w:r>
                </w:p>
              </w:tc>
              <w:tc>
                <w:tcPr>
                  <w:tcW w:w="863" w:type="dxa"/>
                  <w:vAlign w:val="center"/>
                </w:tcPr>
                <w:p w14:paraId="4F7D4AD9">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064</w:t>
                  </w:r>
                </w:p>
              </w:tc>
              <w:tc>
                <w:tcPr>
                  <w:tcW w:w="305" w:type="pct"/>
                  <w:vAlign w:val="center"/>
                </w:tcPr>
                <w:p w14:paraId="6AB4484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eastAsia="宋体" w:cs="Times New Roman"/>
                      <w:bCs/>
                      <w:color w:val="000000" w:themeColor="text1"/>
                      <w:sz w:val="21"/>
                      <w:szCs w:val="21"/>
                      <w:lang w:val="en-US" w:eastAsia="zh-CN"/>
                      <w14:textFill>
                        <w14:solidFill>
                          <w14:schemeClr w14:val="tx1"/>
                        </w14:solidFill>
                      </w14:textFill>
                    </w:rPr>
                    <w:t>250</w:t>
                  </w:r>
                </w:p>
              </w:tc>
              <w:tc>
                <w:tcPr>
                  <w:tcW w:w="285" w:type="pct"/>
                  <w:vAlign w:val="center"/>
                </w:tcPr>
                <w:p w14:paraId="14DDE40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w:t>
                  </w:r>
                </w:p>
              </w:tc>
              <w:tc>
                <w:tcPr>
                  <w:tcW w:w="294" w:type="pct"/>
                  <w:vAlign w:val="center"/>
                </w:tcPr>
                <w:p w14:paraId="258CB83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1905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18" w:type="pct"/>
                  <w:vMerge w:val="continue"/>
                  <w:vAlign w:val="center"/>
                </w:tcPr>
                <w:p w14:paraId="6B8D4FE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336" w:type="pct"/>
                  <w:vMerge w:val="continue"/>
                  <w:vAlign w:val="center"/>
                </w:tcPr>
                <w:p w14:paraId="3813781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14" w:type="pct"/>
                  <w:vMerge w:val="continue"/>
                  <w:vAlign w:val="center"/>
                </w:tcPr>
                <w:p w14:paraId="1BB757E5">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453571F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6D6FFB8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43DF508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4145DB8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pacing w:val="-11"/>
                      <w:sz w:val="21"/>
                      <w:szCs w:val="21"/>
                      <w:highlight w:val="none"/>
                    </w:rPr>
                  </w:pPr>
                </w:p>
              </w:tc>
              <w:tc>
                <w:tcPr>
                  <w:tcW w:w="322" w:type="pct"/>
                  <w:vMerge w:val="continue"/>
                  <w:vAlign w:val="center"/>
                </w:tcPr>
                <w:p w14:paraId="1D6CDC7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p>
              </w:tc>
              <w:tc>
                <w:tcPr>
                  <w:tcW w:w="468" w:type="pct"/>
                  <w:vAlign w:val="center"/>
                </w:tcPr>
                <w:p w14:paraId="1C9B829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林格曼黑度</w:t>
                  </w:r>
                </w:p>
              </w:tc>
              <w:tc>
                <w:tcPr>
                  <w:tcW w:w="672" w:type="pct"/>
                  <w:gridSpan w:val="2"/>
                  <w:vAlign w:val="center"/>
                </w:tcPr>
                <w:p w14:paraId="6CEBCC7D">
                  <w:pPr>
                    <w:keepNext w:val="0"/>
                    <w:keepLines w:val="0"/>
                    <w:pageBreakBefore w:val="0"/>
                    <w:widowControl/>
                    <w:kinsoku/>
                    <w:wordWrap/>
                    <w:overflowPunct w:val="0"/>
                    <w:topLinePunct w:val="0"/>
                    <w:autoSpaceDE/>
                    <w:autoSpaceDN/>
                    <w:bidi w:val="0"/>
                    <w:adjustRightInd/>
                    <w:snapToGrid/>
                    <w:spacing w:line="360" w:lineRule="exact"/>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≤1级</w:t>
                  </w:r>
                </w:p>
              </w:tc>
              <w:tc>
                <w:tcPr>
                  <w:tcW w:w="305" w:type="pct"/>
                  <w:vAlign w:val="center"/>
                </w:tcPr>
                <w:p w14:paraId="6B3D4BA7">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14:textFill>
                        <w14:solidFill>
                          <w14:schemeClr w14:val="tx1"/>
                        </w14:solidFill>
                      </w14:textFill>
                    </w:rPr>
                    <w:t>1</w:t>
                  </w:r>
                  <w:r>
                    <w:rPr>
                      <w:rFonts w:hint="eastAsia" w:ascii="Times New Roman" w:hAnsi="Times New Roman" w:eastAsia="宋体" w:cs="Times New Roman"/>
                      <w:bCs/>
                      <w:color w:val="auto"/>
                      <w:sz w:val="21"/>
                      <w:szCs w:val="21"/>
                      <w:highlight w:val="none"/>
                      <w:lang w:val="en-US" w:eastAsia="zh-CN"/>
                    </w:rPr>
                    <w:t>级</w:t>
                  </w:r>
                </w:p>
              </w:tc>
              <w:tc>
                <w:tcPr>
                  <w:tcW w:w="285" w:type="pct"/>
                  <w:vAlign w:val="center"/>
                </w:tcPr>
                <w:p w14:paraId="3EFA236C">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w:t>
                  </w:r>
                </w:p>
              </w:tc>
              <w:tc>
                <w:tcPr>
                  <w:tcW w:w="294" w:type="pct"/>
                  <w:vAlign w:val="center"/>
                </w:tcPr>
                <w:p w14:paraId="007A32F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2039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restart"/>
                  <w:vAlign w:val="center"/>
                </w:tcPr>
                <w:p w14:paraId="33EB0034">
                  <w:pPr>
                    <w:keepNext w:val="0"/>
                    <w:keepLines w:val="0"/>
                    <w:pageBreakBefore w:val="0"/>
                    <w:kinsoku/>
                    <w:wordWrap/>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rPr>
                    <w:t>沥青加热、搅拌、出料废气</w:t>
                  </w:r>
                </w:p>
              </w:tc>
              <w:tc>
                <w:tcPr>
                  <w:tcW w:w="336" w:type="pct"/>
                  <w:vMerge w:val="restart"/>
                  <w:vAlign w:val="center"/>
                </w:tcPr>
                <w:p w14:paraId="6445A4B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排气筒DA003</w:t>
                  </w:r>
                </w:p>
              </w:tc>
              <w:tc>
                <w:tcPr>
                  <w:tcW w:w="314" w:type="pct"/>
                  <w:vMerge w:val="restart"/>
                  <w:vAlign w:val="center"/>
                </w:tcPr>
                <w:p w14:paraId="71791F5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15</w:t>
                  </w:r>
                </w:p>
              </w:tc>
              <w:tc>
                <w:tcPr>
                  <w:tcW w:w="321" w:type="pct"/>
                  <w:vMerge w:val="restart"/>
                  <w:vAlign w:val="center"/>
                </w:tcPr>
                <w:p w14:paraId="266C26A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2</w:t>
                  </w:r>
                </w:p>
              </w:tc>
              <w:tc>
                <w:tcPr>
                  <w:tcW w:w="314" w:type="pct"/>
                  <w:vMerge w:val="restart"/>
                  <w:vAlign w:val="center"/>
                </w:tcPr>
                <w:p w14:paraId="257EF3C6">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80</w:t>
                  </w:r>
                </w:p>
              </w:tc>
              <w:tc>
                <w:tcPr>
                  <w:tcW w:w="345" w:type="pct"/>
                  <w:vMerge w:val="restart"/>
                  <w:vAlign w:val="center"/>
                </w:tcPr>
                <w:p w14:paraId="1F14A9B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0.926</w:t>
                  </w:r>
                </w:p>
              </w:tc>
              <w:tc>
                <w:tcPr>
                  <w:tcW w:w="599" w:type="pct"/>
                  <w:vMerge w:val="restart"/>
                  <w:vAlign w:val="center"/>
                </w:tcPr>
                <w:p w14:paraId="10AA027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pacing w:val="-11"/>
                      <w:sz w:val="21"/>
                      <w:szCs w:val="21"/>
                      <w:highlight w:val="none"/>
                      <w:lang w:val="en-US" w:eastAsia="zh-CN"/>
                    </w:rPr>
                  </w:pPr>
                  <w:r>
                    <w:rPr>
                      <w:rFonts w:hint="eastAsia" w:ascii="Times New Roman" w:hAnsi="Times New Roman" w:eastAsia="宋体" w:cs="Times New Roman"/>
                      <w:bCs/>
                      <w:color w:val="auto"/>
                      <w:spacing w:val="-11"/>
                      <w:sz w:val="21"/>
                      <w:szCs w:val="21"/>
                      <w:highlight w:val="none"/>
                      <w:lang w:val="en-US" w:eastAsia="zh-CN"/>
                    </w:rPr>
                    <w:t>103.317042333</w:t>
                  </w:r>
                  <w:r>
                    <w:rPr>
                      <w:rFonts w:hint="eastAsia" w:cs="Times New Roman"/>
                      <w:bCs/>
                      <w:color w:val="auto"/>
                      <w:spacing w:val="-11"/>
                      <w:sz w:val="21"/>
                      <w:szCs w:val="21"/>
                      <w:highlight w:val="none"/>
                      <w:lang w:val="en-US" w:eastAsia="zh-CN"/>
                    </w:rPr>
                    <w:t>E</w:t>
                  </w:r>
                </w:p>
                <w:p w14:paraId="1D7A771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pacing w:val="-11"/>
                      <w:sz w:val="21"/>
                      <w:szCs w:val="21"/>
                      <w:highlight w:val="none"/>
                    </w:rPr>
                  </w:pPr>
                  <w:r>
                    <w:rPr>
                      <w:rFonts w:hint="eastAsia" w:ascii="Times New Roman" w:hAnsi="Times New Roman" w:eastAsia="宋体" w:cs="Times New Roman"/>
                      <w:bCs/>
                      <w:color w:val="auto"/>
                      <w:spacing w:val="-11"/>
                      <w:sz w:val="21"/>
                      <w:szCs w:val="21"/>
                      <w:highlight w:val="none"/>
                      <w:lang w:val="en-US" w:eastAsia="zh-CN"/>
                    </w:rPr>
                    <w:t>25.568203899N</w:t>
                  </w:r>
                </w:p>
              </w:tc>
              <w:tc>
                <w:tcPr>
                  <w:tcW w:w="322" w:type="pct"/>
                  <w:vMerge w:val="restart"/>
                  <w:vAlign w:val="center"/>
                </w:tcPr>
                <w:p w14:paraId="56B6E4E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r>
                    <w:rPr>
                      <w:rFonts w:hint="default" w:ascii="Times New Roman" w:hAnsi="Times New Roman" w:eastAsia="宋体" w:cs="Times New Roman"/>
                      <w:bCs/>
                      <w:color w:val="auto"/>
                      <w:sz w:val="21"/>
                      <w:szCs w:val="21"/>
                      <w:highlight w:val="none"/>
                    </w:rPr>
                    <w:t>一般排放口</w:t>
                  </w:r>
                </w:p>
              </w:tc>
              <w:tc>
                <w:tcPr>
                  <w:tcW w:w="468" w:type="pct"/>
                  <w:vAlign w:val="center"/>
                </w:tcPr>
                <w:p w14:paraId="6D03389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沥青烟</w:t>
                  </w:r>
                </w:p>
              </w:tc>
              <w:tc>
                <w:tcPr>
                  <w:tcW w:w="993" w:type="dxa"/>
                  <w:vAlign w:val="center"/>
                </w:tcPr>
                <w:p w14:paraId="0243063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lang w:val="en-US" w:eastAsia="zh-CN"/>
                    </w:rPr>
                    <w:t>0.10</w:t>
                  </w:r>
                </w:p>
              </w:tc>
              <w:tc>
                <w:tcPr>
                  <w:tcW w:w="863" w:type="dxa"/>
                  <w:vAlign w:val="center"/>
                </w:tcPr>
                <w:p w14:paraId="3F21609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07</w:t>
                  </w:r>
                </w:p>
              </w:tc>
              <w:tc>
                <w:tcPr>
                  <w:tcW w:w="305" w:type="pct"/>
                  <w:vAlign w:val="center"/>
                </w:tcPr>
                <w:p w14:paraId="0F7D914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
                    </w:rPr>
                  </w:pPr>
                  <w:r>
                    <w:rPr>
                      <w:rFonts w:hint="eastAsia" w:cs="Times New Roman"/>
                      <w:bCs/>
                      <w:color w:val="000000" w:themeColor="text1"/>
                      <w:sz w:val="21"/>
                      <w:szCs w:val="21"/>
                      <w:lang w:val="en-US" w:eastAsia="zh-CN"/>
                      <w14:textFill>
                        <w14:solidFill>
                          <w14:schemeClr w14:val="tx1"/>
                        </w14:solidFill>
                      </w14:textFill>
                    </w:rPr>
                    <w:t>75</w:t>
                  </w:r>
                </w:p>
              </w:tc>
              <w:tc>
                <w:tcPr>
                  <w:tcW w:w="285" w:type="pct"/>
                  <w:vAlign w:val="center"/>
                </w:tcPr>
                <w:p w14:paraId="3CF65F4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2"/>
                      <w:sz w:val="21"/>
                      <w:szCs w:val="21"/>
                      <w:highlight w:val="none"/>
                      <w:lang w:val="en-US" w:eastAsia="zh-CN" w:bidi="ar"/>
                    </w:rPr>
                  </w:pPr>
                  <w:r>
                    <w:rPr>
                      <w:rFonts w:hint="eastAsia" w:cs="Times New Roman"/>
                      <w:bCs/>
                      <w:color w:val="000000" w:themeColor="text1"/>
                      <w:sz w:val="21"/>
                      <w:szCs w:val="21"/>
                      <w:lang w:val="en-US" w:eastAsia="zh-CN"/>
                      <w14:textFill>
                        <w14:solidFill>
                          <w14:schemeClr w14:val="tx1"/>
                        </w14:solidFill>
                      </w14:textFill>
                    </w:rPr>
                    <w:t>0.18</w:t>
                  </w:r>
                </w:p>
              </w:tc>
              <w:tc>
                <w:tcPr>
                  <w:tcW w:w="294" w:type="pct"/>
                  <w:vAlign w:val="center"/>
                </w:tcPr>
                <w:p w14:paraId="1A9A584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sz w:val="21"/>
                      <w:szCs w:val="21"/>
                      <w:highlight w:val="none"/>
                      <w:lang w:val="en-US" w:eastAsia="zh-CN"/>
                    </w:rPr>
                    <w:t>达标</w:t>
                  </w:r>
                </w:p>
              </w:tc>
            </w:tr>
            <w:tr w14:paraId="2733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vMerge w:val="continue"/>
                  <w:vAlign w:val="center"/>
                </w:tcPr>
                <w:p w14:paraId="4072BEE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0000FF"/>
                      <w:sz w:val="21"/>
                      <w:szCs w:val="21"/>
                      <w:highlight w:val="none"/>
                      <w:lang w:val="en-US" w:eastAsia="zh-CN"/>
                    </w:rPr>
                  </w:pPr>
                </w:p>
              </w:tc>
              <w:tc>
                <w:tcPr>
                  <w:tcW w:w="336" w:type="pct"/>
                  <w:vMerge w:val="continue"/>
                  <w:vAlign w:val="center"/>
                </w:tcPr>
                <w:p w14:paraId="62D2625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p>
              </w:tc>
              <w:tc>
                <w:tcPr>
                  <w:tcW w:w="314" w:type="pct"/>
                  <w:vMerge w:val="continue"/>
                  <w:vAlign w:val="center"/>
                </w:tcPr>
                <w:p w14:paraId="401AD38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5DC11E9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5E57EEF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0B88B5AA">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37B34E4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pacing w:val="-11"/>
                      <w:sz w:val="21"/>
                      <w:szCs w:val="21"/>
                      <w:highlight w:val="none"/>
                    </w:rPr>
                  </w:pPr>
                </w:p>
              </w:tc>
              <w:tc>
                <w:tcPr>
                  <w:tcW w:w="322" w:type="pct"/>
                  <w:vMerge w:val="continue"/>
                  <w:vAlign w:val="center"/>
                </w:tcPr>
                <w:p w14:paraId="6988C967">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p>
              </w:tc>
              <w:tc>
                <w:tcPr>
                  <w:tcW w:w="468" w:type="pct"/>
                  <w:vAlign w:val="center"/>
                </w:tcPr>
                <w:p w14:paraId="1397A4F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苯并</w:t>
                  </w:r>
                  <w:r>
                    <w:rPr>
                      <w:rFonts w:hint="default" w:ascii="Times New Roman" w:hAnsi="Times New Roman" w:eastAsia="宋体" w:cs="Times New Roman"/>
                      <w:color w:val="auto"/>
                      <w:sz w:val="21"/>
                      <w:szCs w:val="21"/>
                      <w:highlight w:val="none"/>
                      <w:lang w:val="zh-CN"/>
                    </w:rPr>
                    <w:t>[a]</w:t>
                  </w:r>
                  <w:r>
                    <w:rPr>
                      <w:rFonts w:hint="default" w:ascii="Times New Roman" w:hAnsi="Times New Roman" w:eastAsia="宋体" w:cs="Times New Roman"/>
                      <w:color w:val="auto"/>
                      <w:sz w:val="21"/>
                      <w:szCs w:val="21"/>
                      <w:highlight w:val="none"/>
                    </w:rPr>
                    <w:t>芘</w:t>
                  </w:r>
                </w:p>
              </w:tc>
              <w:tc>
                <w:tcPr>
                  <w:tcW w:w="993" w:type="dxa"/>
                  <w:vAlign w:val="center"/>
                </w:tcPr>
                <w:p w14:paraId="0B43C19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lang w:val="en-US" w:eastAsia="zh-CN"/>
                    </w:rPr>
                    <w:t>7.528</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c>
                <w:tcPr>
                  <w:tcW w:w="863" w:type="dxa"/>
                  <w:vAlign w:val="center"/>
                </w:tcPr>
                <w:p w14:paraId="4667E75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1"/>
                      <w:szCs w:val="21"/>
                      <w:lang w:val="en-US" w:eastAsia="zh-CN"/>
                    </w:rPr>
                    <w:t>5.278</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6</w:t>
                  </w:r>
                </w:p>
              </w:tc>
              <w:tc>
                <w:tcPr>
                  <w:tcW w:w="305" w:type="pct"/>
                  <w:vAlign w:val="center"/>
                </w:tcPr>
                <w:p w14:paraId="4FCEA7E3">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eastAsia="宋体" w:cs="Times New Roman"/>
                      <w:bCs/>
                      <w:color w:val="000000" w:themeColor="text1"/>
                      <w:sz w:val="21"/>
                      <w:szCs w:val="21"/>
                      <w:lang w:val="en-US" w:eastAsia="zh-CN"/>
                      <w14:textFill>
                        <w14:solidFill>
                          <w14:schemeClr w14:val="tx1"/>
                        </w14:solidFill>
                      </w14:textFill>
                    </w:rPr>
                    <w:t>0.</w:t>
                  </w:r>
                  <w:r>
                    <w:rPr>
                      <w:rFonts w:hint="eastAsia" w:cs="Times New Roman"/>
                      <w:bCs/>
                      <w:color w:val="000000" w:themeColor="text1"/>
                      <w:sz w:val="21"/>
                      <w:szCs w:val="21"/>
                      <w:lang w:val="en-US" w:eastAsia="zh-CN"/>
                      <w14:textFill>
                        <w14:solidFill>
                          <w14:schemeClr w14:val="tx1"/>
                        </w14:solidFill>
                      </w14:textFill>
                    </w:rPr>
                    <w:t>3</w:t>
                  </w:r>
                  <w:r>
                    <w:rPr>
                      <w:rFonts w:hint="eastAsia" w:eastAsia="宋体" w:cs="Times New Roman"/>
                      <w:bCs/>
                      <w:color w:val="000000" w:themeColor="text1"/>
                      <w:sz w:val="21"/>
                      <w:szCs w:val="21"/>
                      <w:lang w:val="en-US" w:eastAsia="zh-CN"/>
                      <w14:textFill>
                        <w14:solidFill>
                          <w14:schemeClr w14:val="tx1"/>
                        </w14:solidFill>
                      </w14:textFill>
                    </w:rPr>
                    <w:t>0</w:t>
                  </w:r>
                  <w:r>
                    <w:rPr>
                      <w:rFonts w:hint="default" w:ascii="Arial" w:hAnsi="Arial" w:eastAsia="宋体" w:cs="Arial"/>
                      <w:bCs/>
                      <w:color w:val="000000" w:themeColor="text1"/>
                      <w:sz w:val="21"/>
                      <w:szCs w:val="21"/>
                      <w:lang w:val="en-US" w:eastAsia="zh-CN"/>
                      <w14:textFill>
                        <w14:solidFill>
                          <w14:schemeClr w14:val="tx1"/>
                        </w14:solidFill>
                      </w14:textFill>
                    </w:rPr>
                    <w:t>×</w:t>
                  </w:r>
                  <w:r>
                    <w:rPr>
                      <w:rFonts w:hint="eastAsia" w:eastAsia="宋体" w:cs="Times New Roman"/>
                      <w:bCs/>
                      <w:color w:val="000000" w:themeColor="text1"/>
                      <w:sz w:val="21"/>
                      <w:szCs w:val="21"/>
                      <w:lang w:val="en-US" w:eastAsia="zh-CN"/>
                      <w14:textFill>
                        <w14:solidFill>
                          <w14:schemeClr w14:val="tx1"/>
                        </w14:solidFill>
                      </w14:textFill>
                    </w:rPr>
                    <w:t>10</w:t>
                  </w:r>
                  <w:r>
                    <w:rPr>
                      <w:rFonts w:hint="eastAsia" w:eastAsia="宋体" w:cs="Times New Roman"/>
                      <w:bCs/>
                      <w:color w:val="000000" w:themeColor="text1"/>
                      <w:sz w:val="21"/>
                      <w:szCs w:val="21"/>
                      <w:vertAlign w:val="superscript"/>
                      <w:lang w:val="en-US" w:eastAsia="zh-CN"/>
                      <w14:textFill>
                        <w14:solidFill>
                          <w14:schemeClr w14:val="tx1"/>
                        </w14:solidFill>
                      </w14:textFill>
                    </w:rPr>
                    <w:t>-3</w:t>
                  </w:r>
                </w:p>
              </w:tc>
              <w:tc>
                <w:tcPr>
                  <w:tcW w:w="285" w:type="pct"/>
                  <w:vAlign w:val="center"/>
                </w:tcPr>
                <w:p w14:paraId="3B0D8AC1">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0.050</w:t>
                  </w:r>
                  <w:r>
                    <w:rPr>
                      <w:rFonts w:hint="default" w:ascii="Arial" w:hAnsi="Arial" w:eastAsia="宋体" w:cs="Arial"/>
                      <w:bCs/>
                      <w:color w:val="000000" w:themeColor="text1"/>
                      <w:sz w:val="21"/>
                      <w:szCs w:val="21"/>
                      <w:lang w:val="en-US" w:eastAsia="zh-CN"/>
                      <w14:textFill>
                        <w14:solidFill>
                          <w14:schemeClr w14:val="tx1"/>
                        </w14:solidFill>
                      </w14:textFill>
                    </w:rPr>
                    <w:t>×</w:t>
                  </w:r>
                  <w:r>
                    <w:rPr>
                      <w:rFonts w:hint="eastAsia" w:eastAsia="宋体" w:cs="Times New Roman"/>
                      <w:bCs/>
                      <w:color w:val="000000" w:themeColor="text1"/>
                      <w:sz w:val="21"/>
                      <w:szCs w:val="21"/>
                      <w:lang w:val="en-US" w:eastAsia="zh-CN"/>
                      <w14:textFill>
                        <w14:solidFill>
                          <w14:schemeClr w14:val="tx1"/>
                        </w14:solidFill>
                      </w14:textFill>
                    </w:rPr>
                    <w:t>10</w:t>
                  </w:r>
                  <w:r>
                    <w:rPr>
                      <w:rFonts w:hint="eastAsia" w:eastAsia="宋体" w:cs="Times New Roman"/>
                      <w:bCs/>
                      <w:color w:val="000000" w:themeColor="text1"/>
                      <w:sz w:val="21"/>
                      <w:szCs w:val="21"/>
                      <w:vertAlign w:val="superscript"/>
                      <w:lang w:val="en-US" w:eastAsia="zh-CN"/>
                      <w14:textFill>
                        <w14:solidFill>
                          <w14:schemeClr w14:val="tx1"/>
                        </w14:solidFill>
                      </w14:textFill>
                    </w:rPr>
                    <w:t>-3</w:t>
                  </w:r>
                </w:p>
              </w:tc>
              <w:tc>
                <w:tcPr>
                  <w:tcW w:w="294" w:type="pct"/>
                  <w:vAlign w:val="center"/>
                </w:tcPr>
                <w:p w14:paraId="7F14FF8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0F9A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8" w:type="pct"/>
                  <w:vMerge w:val="continue"/>
                  <w:vAlign w:val="center"/>
                </w:tcPr>
                <w:p w14:paraId="0886981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0000FF"/>
                      <w:sz w:val="21"/>
                      <w:szCs w:val="21"/>
                      <w:highlight w:val="none"/>
                      <w:lang w:val="en-US" w:eastAsia="zh-CN"/>
                    </w:rPr>
                  </w:pPr>
                </w:p>
              </w:tc>
              <w:tc>
                <w:tcPr>
                  <w:tcW w:w="336" w:type="pct"/>
                  <w:vMerge w:val="continue"/>
                  <w:vAlign w:val="center"/>
                </w:tcPr>
                <w:p w14:paraId="06EAFA01">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p>
              </w:tc>
              <w:tc>
                <w:tcPr>
                  <w:tcW w:w="314" w:type="pct"/>
                  <w:vMerge w:val="continue"/>
                  <w:vAlign w:val="center"/>
                </w:tcPr>
                <w:p w14:paraId="4E768984">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2F9B680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263EC1B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107CFBFE">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2D92C0C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pacing w:val="-11"/>
                      <w:sz w:val="21"/>
                      <w:szCs w:val="21"/>
                      <w:highlight w:val="none"/>
                    </w:rPr>
                  </w:pPr>
                </w:p>
              </w:tc>
              <w:tc>
                <w:tcPr>
                  <w:tcW w:w="322" w:type="pct"/>
                  <w:vMerge w:val="continue"/>
                  <w:vAlign w:val="center"/>
                </w:tcPr>
                <w:p w14:paraId="128B6FD8">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p>
              </w:tc>
              <w:tc>
                <w:tcPr>
                  <w:tcW w:w="468" w:type="pct"/>
                  <w:vAlign w:val="center"/>
                </w:tcPr>
                <w:p w14:paraId="1A13643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993" w:type="dxa"/>
                  <w:vAlign w:val="center"/>
                </w:tcPr>
                <w:p w14:paraId="4F6248F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lang w:val="en-US" w:eastAsia="zh-CN"/>
                    </w:rPr>
                    <w:t>0.271</w:t>
                  </w:r>
                </w:p>
              </w:tc>
              <w:tc>
                <w:tcPr>
                  <w:tcW w:w="863" w:type="dxa"/>
                  <w:vAlign w:val="center"/>
                </w:tcPr>
                <w:p w14:paraId="6FB5B90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19</w:t>
                  </w:r>
                </w:p>
              </w:tc>
              <w:tc>
                <w:tcPr>
                  <w:tcW w:w="305" w:type="pct"/>
                  <w:vAlign w:val="center"/>
                </w:tcPr>
                <w:p w14:paraId="27355FE4">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ascii="Times New Roman" w:hAnsi="Times New Roman" w:eastAsia="宋体" w:cs="Times New Roman"/>
                      <w:bCs/>
                      <w:color w:val="000000" w:themeColor="text1"/>
                      <w:sz w:val="21"/>
                      <w:szCs w:val="21"/>
                      <w14:textFill>
                        <w14:solidFill>
                          <w14:schemeClr w14:val="tx1"/>
                        </w14:solidFill>
                      </w14:textFill>
                    </w:rPr>
                    <w:t>120</w:t>
                  </w:r>
                </w:p>
              </w:tc>
              <w:tc>
                <w:tcPr>
                  <w:tcW w:w="285" w:type="pct"/>
                  <w:vAlign w:val="center"/>
                </w:tcPr>
                <w:p w14:paraId="6ABC17BB">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10</w:t>
                  </w:r>
                </w:p>
              </w:tc>
              <w:tc>
                <w:tcPr>
                  <w:tcW w:w="294" w:type="pct"/>
                  <w:vAlign w:val="center"/>
                </w:tcPr>
                <w:p w14:paraId="62A561F2">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33DC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418" w:type="pct"/>
                  <w:vMerge w:val="continue"/>
                  <w:vAlign w:val="center"/>
                </w:tcPr>
                <w:p w14:paraId="3DBC148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val="0"/>
                      <w:color w:val="0000FF"/>
                      <w:sz w:val="21"/>
                      <w:szCs w:val="21"/>
                      <w:highlight w:val="none"/>
                      <w:lang w:val="en-US" w:eastAsia="zh-CN"/>
                    </w:rPr>
                  </w:pPr>
                </w:p>
              </w:tc>
              <w:tc>
                <w:tcPr>
                  <w:tcW w:w="336" w:type="pct"/>
                  <w:vMerge w:val="continue"/>
                  <w:vAlign w:val="center"/>
                </w:tcPr>
                <w:p w14:paraId="508282C9">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p>
              </w:tc>
              <w:tc>
                <w:tcPr>
                  <w:tcW w:w="314" w:type="pct"/>
                  <w:vMerge w:val="continue"/>
                  <w:vAlign w:val="center"/>
                </w:tcPr>
                <w:p w14:paraId="64E97693">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21" w:type="pct"/>
                  <w:vMerge w:val="continue"/>
                  <w:vAlign w:val="center"/>
                </w:tcPr>
                <w:p w14:paraId="1150DC7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14" w:type="pct"/>
                  <w:vMerge w:val="continue"/>
                  <w:vAlign w:val="center"/>
                </w:tcPr>
                <w:p w14:paraId="339ED59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345" w:type="pct"/>
                  <w:vMerge w:val="continue"/>
                  <w:vAlign w:val="center"/>
                </w:tcPr>
                <w:p w14:paraId="4F25ACFF">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lang w:val="en-US" w:eastAsia="zh-CN"/>
                    </w:rPr>
                  </w:pPr>
                </w:p>
              </w:tc>
              <w:tc>
                <w:tcPr>
                  <w:tcW w:w="599" w:type="pct"/>
                  <w:vMerge w:val="continue"/>
                  <w:vAlign w:val="center"/>
                </w:tcPr>
                <w:p w14:paraId="38093F3C">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pacing w:val="-11"/>
                      <w:sz w:val="21"/>
                      <w:szCs w:val="21"/>
                      <w:highlight w:val="none"/>
                    </w:rPr>
                  </w:pPr>
                </w:p>
              </w:tc>
              <w:tc>
                <w:tcPr>
                  <w:tcW w:w="322" w:type="pct"/>
                  <w:vMerge w:val="continue"/>
                  <w:vAlign w:val="center"/>
                </w:tcPr>
                <w:p w14:paraId="7DED459B">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FF"/>
                      <w:sz w:val="21"/>
                      <w:szCs w:val="21"/>
                      <w:highlight w:val="none"/>
                    </w:rPr>
                  </w:pPr>
                </w:p>
              </w:tc>
              <w:tc>
                <w:tcPr>
                  <w:tcW w:w="468" w:type="pct"/>
                  <w:vAlign w:val="center"/>
                </w:tcPr>
                <w:p w14:paraId="60CE311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颗粒物</w:t>
                  </w:r>
                </w:p>
              </w:tc>
              <w:tc>
                <w:tcPr>
                  <w:tcW w:w="993" w:type="dxa"/>
                  <w:vAlign w:val="center"/>
                </w:tcPr>
                <w:p w14:paraId="6B5D4EC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1"/>
                      <w:szCs w:val="21"/>
                      <w:lang w:val="en-US" w:eastAsia="zh-CN"/>
                    </w:rPr>
                    <w:t>1.840</w:t>
                  </w:r>
                </w:p>
              </w:tc>
              <w:tc>
                <w:tcPr>
                  <w:tcW w:w="863" w:type="dxa"/>
                  <w:vAlign w:val="center"/>
                </w:tcPr>
                <w:p w14:paraId="56F4BCC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129</w:t>
                  </w:r>
                </w:p>
              </w:tc>
              <w:tc>
                <w:tcPr>
                  <w:tcW w:w="305" w:type="pct"/>
                  <w:vAlign w:val="center"/>
                </w:tcPr>
                <w:p w14:paraId="035D5008">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eastAsia="宋体" w:cs="Times New Roman"/>
                      <w:bCs/>
                      <w:color w:val="000000" w:themeColor="text1"/>
                      <w:sz w:val="21"/>
                      <w:szCs w:val="21"/>
                      <w:lang w:val="en-US" w:eastAsia="zh-CN"/>
                      <w14:textFill>
                        <w14:solidFill>
                          <w14:schemeClr w14:val="tx1"/>
                        </w14:solidFill>
                      </w14:textFill>
                    </w:rPr>
                    <w:t>120</w:t>
                  </w:r>
                </w:p>
              </w:tc>
              <w:tc>
                <w:tcPr>
                  <w:tcW w:w="285" w:type="pct"/>
                  <w:vAlign w:val="center"/>
                </w:tcPr>
                <w:p w14:paraId="6D52F82D">
                  <w:pPr>
                    <w:keepNext w:val="0"/>
                    <w:keepLines w:val="0"/>
                    <w:pageBreakBefore w:val="0"/>
                    <w:widowControl/>
                    <w:kinsoku/>
                    <w:wordWrap/>
                    <w:overflowPunct w:val="0"/>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sz w:val="21"/>
                      <w:szCs w:val="21"/>
                      <w:highlight w:val="none"/>
                      <w:lang w:val="en-US" w:eastAsia="zh-CN"/>
                    </w:rPr>
                  </w:pPr>
                  <w:r>
                    <w:rPr>
                      <w:rFonts w:hint="eastAsia" w:cs="Times New Roman"/>
                      <w:bCs/>
                      <w:color w:val="000000" w:themeColor="text1"/>
                      <w:sz w:val="21"/>
                      <w:szCs w:val="21"/>
                      <w:lang w:val="en-US" w:eastAsia="zh-CN"/>
                      <w14:textFill>
                        <w14:solidFill>
                          <w14:schemeClr w14:val="tx1"/>
                        </w14:solidFill>
                      </w14:textFill>
                    </w:rPr>
                    <w:t>3.5</w:t>
                  </w:r>
                </w:p>
              </w:tc>
              <w:tc>
                <w:tcPr>
                  <w:tcW w:w="294" w:type="pct"/>
                  <w:vAlign w:val="center"/>
                </w:tcPr>
                <w:p w14:paraId="4B45C4E0">
                  <w:pPr>
                    <w:keepNext w:val="0"/>
                    <w:keepLines w:val="0"/>
                    <w:pageBreakBefore w:val="0"/>
                    <w:kinsoku/>
                    <w:wordWrap/>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bl>
          <w:p w14:paraId="4AD85684">
            <w:pPr>
              <w:pStyle w:val="2"/>
              <w:jc w:val="both"/>
              <w:rPr>
                <w:rFonts w:hint="eastAsia"/>
                <w:vertAlign w:val="baseline"/>
              </w:rPr>
            </w:pPr>
          </w:p>
        </w:tc>
      </w:tr>
    </w:tbl>
    <w:p w14:paraId="021FDCD1">
      <w:pPr>
        <w:pStyle w:val="2"/>
        <w:jc w:val="center"/>
        <w:rPr>
          <w:rFonts w:hint="eastAsi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7512"/>
      </w:tblGrid>
      <w:tr w14:paraId="07D3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7" w:hRule="atLeast"/>
        </w:trPr>
        <w:tc>
          <w:tcPr>
            <w:tcW w:w="1010" w:type="dxa"/>
          </w:tcPr>
          <w:p w14:paraId="272A0C8C">
            <w:pPr>
              <w:pStyle w:val="2"/>
              <w:jc w:val="center"/>
              <w:rPr>
                <w:rFonts w:hint="eastAsia"/>
                <w:vertAlign w:val="baseline"/>
              </w:rPr>
            </w:pPr>
          </w:p>
        </w:tc>
        <w:tc>
          <w:tcPr>
            <w:tcW w:w="7512" w:type="dxa"/>
          </w:tcPr>
          <w:p w14:paraId="3B1F284B">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4、废气排放量统计</w:t>
            </w:r>
          </w:p>
          <w:p w14:paraId="00B238C6">
            <w:pPr>
              <w:adjustRightInd w:val="0"/>
              <w:snapToGrid w:val="0"/>
              <w:ind w:left="0" w:leftChars="0" w:firstLine="0" w:firstLineChars="0"/>
              <w:jc w:val="center"/>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lang w:eastAsia="zh-CN" w:bidi="ar"/>
              </w:rPr>
              <w:t>表</w:t>
            </w:r>
            <w:r>
              <w:rPr>
                <w:rFonts w:hint="eastAsia" w:cs="Times New Roman"/>
                <w:b/>
                <w:bCs/>
                <w:snapToGrid w:val="0"/>
                <w:color w:val="auto"/>
                <w:sz w:val="21"/>
                <w:szCs w:val="21"/>
                <w:lang w:val="en-US" w:eastAsia="zh-CN" w:bidi="ar"/>
              </w:rPr>
              <w:t xml:space="preserve">4-5 </w:t>
            </w:r>
            <w:r>
              <w:rPr>
                <w:rFonts w:hint="default" w:ascii="Times New Roman" w:hAnsi="Times New Roman" w:eastAsia="宋体" w:cs="Times New Roman"/>
                <w:b/>
                <w:bCs/>
                <w:snapToGrid w:val="0"/>
                <w:color w:val="auto"/>
                <w:sz w:val="21"/>
                <w:szCs w:val="21"/>
                <w:lang w:val="en-US" w:eastAsia="zh-CN" w:bidi="ar"/>
              </w:rPr>
              <w:t xml:space="preserve"> 废气污染物有组织排放量一览表</w:t>
            </w:r>
          </w:p>
          <w:tbl>
            <w:tblPr>
              <w:tblStyle w:val="1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026"/>
              <w:gridCol w:w="1536"/>
              <w:gridCol w:w="1239"/>
              <w:gridCol w:w="1436"/>
              <w:gridCol w:w="1432"/>
            </w:tblGrid>
            <w:tr w14:paraId="45D4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Align w:val="center"/>
                </w:tcPr>
                <w:p w14:paraId="5F10DFF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序号</w:t>
                  </w:r>
                </w:p>
              </w:tc>
              <w:tc>
                <w:tcPr>
                  <w:tcW w:w="704" w:type="pct"/>
                  <w:vAlign w:val="center"/>
                </w:tcPr>
                <w:p w14:paraId="3F736E3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排放口编号</w:t>
                  </w:r>
                </w:p>
              </w:tc>
              <w:tc>
                <w:tcPr>
                  <w:tcW w:w="1055" w:type="pct"/>
                  <w:vAlign w:val="center"/>
                </w:tcPr>
                <w:p w14:paraId="22F9CFA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污染物</w:t>
                  </w:r>
                </w:p>
              </w:tc>
              <w:tc>
                <w:tcPr>
                  <w:tcW w:w="851" w:type="pct"/>
                  <w:vAlign w:val="center"/>
                </w:tcPr>
                <w:p w14:paraId="497A21A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排放浓度</w:t>
                  </w:r>
                  <w:r>
                    <w:rPr>
                      <w:rFonts w:hint="default" w:ascii="Times New Roman" w:hAnsi="Times New Roman" w:eastAsia="宋体" w:cs="Times New Roman"/>
                      <w:b/>
                      <w:bCs/>
                      <w:color w:val="auto"/>
                      <w:kern w:val="0"/>
                      <w:sz w:val="21"/>
                      <w:szCs w:val="21"/>
                    </w:rPr>
                    <w:t>（mg/m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p>
              </w:tc>
              <w:tc>
                <w:tcPr>
                  <w:tcW w:w="986" w:type="pct"/>
                  <w:vAlign w:val="center"/>
                </w:tcPr>
                <w:p w14:paraId="5AFEE1F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排放速率</w:t>
                  </w:r>
                  <w:r>
                    <w:rPr>
                      <w:rFonts w:hint="default" w:ascii="Times New Roman" w:hAnsi="Times New Roman" w:eastAsia="宋体" w:cs="Times New Roman"/>
                      <w:b/>
                      <w:bCs/>
                      <w:color w:val="auto"/>
                      <w:kern w:val="0"/>
                      <w:sz w:val="21"/>
                      <w:szCs w:val="21"/>
                    </w:rPr>
                    <w:t>（kg/h）</w:t>
                  </w:r>
                </w:p>
              </w:tc>
              <w:tc>
                <w:tcPr>
                  <w:tcW w:w="983" w:type="pct"/>
                  <w:vAlign w:val="center"/>
                </w:tcPr>
                <w:p w14:paraId="62E4095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排放量（t/a）</w:t>
                  </w:r>
                </w:p>
              </w:tc>
            </w:tr>
            <w:tr w14:paraId="639F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restart"/>
                  <w:vAlign w:val="center"/>
                </w:tcPr>
                <w:p w14:paraId="317E56C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1</w:t>
                  </w:r>
                </w:p>
              </w:tc>
              <w:tc>
                <w:tcPr>
                  <w:tcW w:w="704" w:type="pct"/>
                  <w:vMerge w:val="restart"/>
                  <w:vAlign w:val="center"/>
                </w:tcPr>
                <w:p w14:paraId="0A618B2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default" w:ascii="Times New Roman" w:hAnsi="Times New Roman" w:eastAsia="宋体" w:cs="Times New Roman"/>
                      <w:snapToGrid w:val="0"/>
                      <w:color w:val="auto"/>
                      <w:sz w:val="21"/>
                      <w:szCs w:val="21"/>
                      <w:vertAlign w:val="baseline"/>
                      <w:lang w:val="en-US" w:eastAsia="zh-CN" w:bidi="ar"/>
                    </w:rPr>
                    <w:t>DA00</w:t>
                  </w:r>
                  <w:r>
                    <w:rPr>
                      <w:rFonts w:hint="eastAsia" w:ascii="Times New Roman" w:hAnsi="Times New Roman" w:eastAsia="宋体" w:cs="Times New Roman"/>
                      <w:snapToGrid w:val="0"/>
                      <w:color w:val="auto"/>
                      <w:sz w:val="21"/>
                      <w:szCs w:val="21"/>
                      <w:vertAlign w:val="baseline"/>
                      <w:lang w:val="en-US" w:eastAsia="zh-CN" w:bidi="ar"/>
                    </w:rPr>
                    <w:t>1</w:t>
                  </w:r>
                </w:p>
              </w:tc>
              <w:tc>
                <w:tcPr>
                  <w:tcW w:w="1055" w:type="pct"/>
                  <w:vAlign w:val="center"/>
                </w:tcPr>
                <w:p w14:paraId="47E0A9C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default" w:ascii="Times New Roman" w:hAnsi="Times New Roman" w:eastAsia="宋体" w:cs="Times New Roman"/>
                      <w:color w:val="auto"/>
                      <w:sz w:val="21"/>
                      <w:szCs w:val="21"/>
                    </w:rPr>
                    <w:t>颗粒物</w:t>
                  </w:r>
                </w:p>
              </w:tc>
              <w:tc>
                <w:tcPr>
                  <w:tcW w:w="1239" w:type="dxa"/>
                  <w:vAlign w:val="center"/>
                </w:tcPr>
                <w:p w14:paraId="61B740B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1.569</w:t>
                  </w:r>
                </w:p>
              </w:tc>
              <w:tc>
                <w:tcPr>
                  <w:tcW w:w="1436" w:type="dxa"/>
                  <w:vAlign w:val="center"/>
                </w:tcPr>
                <w:p w14:paraId="036755C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110</w:t>
                  </w:r>
                </w:p>
              </w:tc>
              <w:tc>
                <w:tcPr>
                  <w:tcW w:w="1432" w:type="dxa"/>
                  <w:vAlign w:val="center"/>
                </w:tcPr>
                <w:p w14:paraId="54D5FCC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cs="Times New Roman"/>
                      <w:b w:val="0"/>
                      <w:bCs/>
                      <w:color w:val="auto"/>
                      <w:sz w:val="21"/>
                      <w:szCs w:val="21"/>
                      <w:lang w:val="en-US" w:eastAsia="zh-CN"/>
                    </w:rPr>
                    <w:t>0.158</w:t>
                  </w:r>
                </w:p>
              </w:tc>
            </w:tr>
            <w:tr w14:paraId="7A47C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continue"/>
                  <w:vAlign w:val="center"/>
                </w:tcPr>
                <w:p w14:paraId="1E2DFBC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704" w:type="pct"/>
                  <w:vMerge w:val="continue"/>
                  <w:vAlign w:val="center"/>
                </w:tcPr>
                <w:p w14:paraId="5C757B2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1055" w:type="pct"/>
                  <w:vAlign w:val="center"/>
                </w:tcPr>
                <w:p w14:paraId="38E6921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SO</w:t>
                  </w:r>
                  <w:r>
                    <w:rPr>
                      <w:rFonts w:hint="default" w:ascii="Times New Roman" w:hAnsi="Times New Roman" w:eastAsia="宋体" w:cs="Times New Roman"/>
                      <w:bCs/>
                      <w:color w:val="auto"/>
                      <w:sz w:val="21"/>
                      <w:szCs w:val="21"/>
                      <w:highlight w:val="none"/>
                      <w:vertAlign w:val="subscript"/>
                    </w:rPr>
                    <w:t>2</w:t>
                  </w:r>
                </w:p>
              </w:tc>
              <w:tc>
                <w:tcPr>
                  <w:tcW w:w="1239" w:type="dxa"/>
                  <w:vAlign w:val="center"/>
                </w:tcPr>
                <w:p w14:paraId="0D6AF80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1.982</w:t>
                  </w:r>
                </w:p>
              </w:tc>
              <w:tc>
                <w:tcPr>
                  <w:tcW w:w="1436" w:type="dxa"/>
                  <w:vAlign w:val="center"/>
                </w:tcPr>
                <w:p w14:paraId="7EEAE2A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139</w:t>
                  </w:r>
                </w:p>
              </w:tc>
              <w:tc>
                <w:tcPr>
                  <w:tcW w:w="1432" w:type="dxa"/>
                  <w:vAlign w:val="center"/>
                </w:tcPr>
                <w:p w14:paraId="2A6708FB">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 w:val="0"/>
                      <w:bCs/>
                      <w:color w:val="auto"/>
                      <w:sz w:val="21"/>
                      <w:szCs w:val="21"/>
                      <w:lang w:val="en-US" w:eastAsia="zh-CN"/>
                    </w:rPr>
                    <w:t>0.2</w:t>
                  </w:r>
                </w:p>
              </w:tc>
            </w:tr>
            <w:tr w14:paraId="0533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continue"/>
                  <w:vAlign w:val="center"/>
                </w:tcPr>
                <w:p w14:paraId="667AA27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704" w:type="pct"/>
                  <w:vMerge w:val="continue"/>
                  <w:vAlign w:val="center"/>
                </w:tcPr>
                <w:p w14:paraId="54EC0A0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1055" w:type="pct"/>
                  <w:vAlign w:val="center"/>
                </w:tcPr>
                <w:p w14:paraId="717C7B6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rPr>
                    <w:t>X</w:t>
                  </w:r>
                </w:p>
              </w:tc>
              <w:tc>
                <w:tcPr>
                  <w:tcW w:w="1239" w:type="dxa"/>
                  <w:vAlign w:val="center"/>
                </w:tcPr>
                <w:p w14:paraId="7177665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1.826</w:t>
                  </w:r>
                </w:p>
              </w:tc>
              <w:tc>
                <w:tcPr>
                  <w:tcW w:w="1436" w:type="dxa"/>
                  <w:vAlign w:val="center"/>
                </w:tcPr>
                <w:p w14:paraId="6627673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.128</w:t>
                  </w:r>
                </w:p>
              </w:tc>
              <w:tc>
                <w:tcPr>
                  <w:tcW w:w="1432" w:type="dxa"/>
                  <w:vAlign w:val="center"/>
                </w:tcPr>
                <w:p w14:paraId="7BB15A4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cs="Times New Roman"/>
                      <w:b w:val="0"/>
                      <w:bCs/>
                      <w:color w:val="auto"/>
                      <w:sz w:val="21"/>
                      <w:szCs w:val="21"/>
                      <w:lang w:val="en-US" w:eastAsia="zh-CN"/>
                    </w:rPr>
                    <w:t>0.184</w:t>
                  </w:r>
                </w:p>
              </w:tc>
            </w:tr>
            <w:tr w14:paraId="6155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restart"/>
                  <w:vAlign w:val="center"/>
                </w:tcPr>
                <w:p w14:paraId="178523F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2</w:t>
                  </w:r>
                </w:p>
              </w:tc>
              <w:tc>
                <w:tcPr>
                  <w:tcW w:w="704" w:type="pct"/>
                  <w:vMerge w:val="restart"/>
                  <w:vAlign w:val="center"/>
                </w:tcPr>
                <w:p w14:paraId="61E487C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DA002</w:t>
                  </w:r>
                </w:p>
              </w:tc>
              <w:tc>
                <w:tcPr>
                  <w:tcW w:w="1055" w:type="pct"/>
                  <w:vAlign w:val="center"/>
                </w:tcPr>
                <w:p w14:paraId="348A337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rPr>
                    <w:t>颗粒物</w:t>
                  </w:r>
                </w:p>
              </w:tc>
              <w:tc>
                <w:tcPr>
                  <w:tcW w:w="1239" w:type="dxa"/>
                  <w:vAlign w:val="center"/>
                </w:tcPr>
                <w:p w14:paraId="5E179CD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14.558</w:t>
                  </w:r>
                </w:p>
              </w:tc>
              <w:tc>
                <w:tcPr>
                  <w:tcW w:w="1436" w:type="dxa"/>
                  <w:vAlign w:val="center"/>
                </w:tcPr>
                <w:p w14:paraId="5DE55CE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w:t>
                  </w:r>
                  <w:r>
                    <w:rPr>
                      <w:rFonts w:hint="eastAsia" w:cs="Times New Roman"/>
                      <w:b w:val="0"/>
                      <w:bCs/>
                      <w:color w:val="auto"/>
                      <w:sz w:val="21"/>
                      <w:szCs w:val="21"/>
                      <w:lang w:val="en-US" w:eastAsia="zh-CN"/>
                    </w:rPr>
                    <w:t>9</w:t>
                  </w:r>
                </w:p>
              </w:tc>
              <w:tc>
                <w:tcPr>
                  <w:tcW w:w="1432" w:type="dxa"/>
                  <w:vAlign w:val="center"/>
                </w:tcPr>
                <w:p w14:paraId="2FE8BAF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13</w:t>
                  </w:r>
                </w:p>
              </w:tc>
            </w:tr>
            <w:tr w14:paraId="340D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continue"/>
                  <w:vAlign w:val="center"/>
                </w:tcPr>
                <w:p w14:paraId="052D35C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snapToGrid w:val="0"/>
                      <w:color w:val="auto"/>
                      <w:sz w:val="21"/>
                      <w:szCs w:val="21"/>
                      <w:vertAlign w:val="baseline"/>
                      <w:lang w:val="en-US" w:eastAsia="zh-CN" w:bidi="ar"/>
                    </w:rPr>
                  </w:pPr>
                </w:p>
              </w:tc>
              <w:tc>
                <w:tcPr>
                  <w:tcW w:w="704" w:type="pct"/>
                  <w:vMerge w:val="continue"/>
                  <w:vAlign w:val="center"/>
                </w:tcPr>
                <w:p w14:paraId="7B7C2B1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1055" w:type="pct"/>
                  <w:vAlign w:val="center"/>
                </w:tcPr>
                <w:p w14:paraId="2383BC9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SO</w:t>
                  </w:r>
                  <w:r>
                    <w:rPr>
                      <w:rFonts w:hint="default" w:ascii="Times New Roman" w:hAnsi="Times New Roman" w:eastAsia="宋体" w:cs="Times New Roman"/>
                      <w:bCs/>
                      <w:color w:val="auto"/>
                      <w:sz w:val="21"/>
                      <w:szCs w:val="21"/>
                      <w:highlight w:val="none"/>
                      <w:vertAlign w:val="subscript"/>
                    </w:rPr>
                    <w:t>2</w:t>
                  </w:r>
                </w:p>
              </w:tc>
              <w:tc>
                <w:tcPr>
                  <w:tcW w:w="1239" w:type="dxa"/>
                  <w:vAlign w:val="center"/>
                </w:tcPr>
                <w:p w14:paraId="08B987F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111.615</w:t>
                  </w:r>
                </w:p>
              </w:tc>
              <w:tc>
                <w:tcPr>
                  <w:tcW w:w="1436" w:type="dxa"/>
                  <w:vAlign w:val="center"/>
                </w:tcPr>
                <w:p w14:paraId="6DC9723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69</w:t>
                  </w:r>
                </w:p>
              </w:tc>
              <w:tc>
                <w:tcPr>
                  <w:tcW w:w="1432" w:type="dxa"/>
                  <w:vAlign w:val="center"/>
                </w:tcPr>
                <w:p w14:paraId="72F50E0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1</w:t>
                  </w:r>
                </w:p>
              </w:tc>
            </w:tr>
            <w:tr w14:paraId="3CFA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continue"/>
                  <w:vAlign w:val="center"/>
                </w:tcPr>
                <w:p w14:paraId="378E605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snapToGrid w:val="0"/>
                      <w:color w:val="auto"/>
                      <w:sz w:val="21"/>
                      <w:szCs w:val="21"/>
                      <w:vertAlign w:val="baseline"/>
                      <w:lang w:val="en-US" w:eastAsia="zh-CN" w:bidi="ar"/>
                    </w:rPr>
                  </w:pPr>
                </w:p>
              </w:tc>
              <w:tc>
                <w:tcPr>
                  <w:tcW w:w="704" w:type="pct"/>
                  <w:vMerge w:val="continue"/>
                  <w:vAlign w:val="center"/>
                </w:tcPr>
                <w:p w14:paraId="1D6303D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1055" w:type="pct"/>
                  <w:vAlign w:val="center"/>
                </w:tcPr>
                <w:p w14:paraId="200669D0">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rPr>
                    <w:t>X</w:t>
                  </w:r>
                </w:p>
              </w:tc>
              <w:tc>
                <w:tcPr>
                  <w:tcW w:w="1239" w:type="dxa"/>
                  <w:vAlign w:val="center"/>
                </w:tcPr>
                <w:p w14:paraId="619BDC9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0.913</w:t>
                  </w:r>
                </w:p>
              </w:tc>
              <w:tc>
                <w:tcPr>
                  <w:tcW w:w="1436" w:type="dxa"/>
                  <w:vAlign w:val="center"/>
                </w:tcPr>
                <w:p w14:paraId="3AA444A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064</w:t>
                  </w:r>
                </w:p>
              </w:tc>
              <w:tc>
                <w:tcPr>
                  <w:tcW w:w="1432" w:type="dxa"/>
                  <w:vAlign w:val="center"/>
                </w:tcPr>
                <w:p w14:paraId="5E57ED0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r>
                    <w:rPr>
                      <w:rFonts w:hint="eastAsia" w:cs="Times New Roman"/>
                      <w:b w:val="0"/>
                      <w:bCs/>
                      <w:color w:val="auto"/>
                      <w:sz w:val="21"/>
                      <w:szCs w:val="21"/>
                      <w:lang w:val="en-US" w:eastAsia="zh-CN"/>
                    </w:rPr>
                    <w:t>092</w:t>
                  </w:r>
                </w:p>
              </w:tc>
            </w:tr>
            <w:tr w14:paraId="49125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restart"/>
                  <w:vAlign w:val="center"/>
                </w:tcPr>
                <w:p w14:paraId="6F1A0BE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3</w:t>
                  </w:r>
                </w:p>
              </w:tc>
              <w:tc>
                <w:tcPr>
                  <w:tcW w:w="704" w:type="pct"/>
                  <w:vMerge w:val="restart"/>
                  <w:vAlign w:val="center"/>
                </w:tcPr>
                <w:p w14:paraId="7DB05B5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kern w:val="2"/>
                      <w:sz w:val="21"/>
                      <w:szCs w:val="21"/>
                      <w:vertAlign w:val="baseline"/>
                      <w:lang w:val="en-US" w:eastAsia="zh-CN" w:bidi="ar"/>
                    </w:rPr>
                  </w:pPr>
                  <w:r>
                    <w:rPr>
                      <w:rFonts w:hint="default" w:ascii="Times New Roman" w:hAnsi="Times New Roman" w:eastAsia="宋体" w:cs="Times New Roman"/>
                      <w:snapToGrid w:val="0"/>
                      <w:color w:val="auto"/>
                      <w:sz w:val="21"/>
                      <w:szCs w:val="21"/>
                      <w:vertAlign w:val="baseline"/>
                      <w:lang w:val="en-US" w:eastAsia="zh-CN" w:bidi="ar"/>
                    </w:rPr>
                    <w:t>DA00</w:t>
                  </w:r>
                  <w:r>
                    <w:rPr>
                      <w:rFonts w:hint="eastAsia" w:ascii="Times New Roman" w:hAnsi="Times New Roman" w:eastAsia="宋体" w:cs="Times New Roman"/>
                      <w:snapToGrid w:val="0"/>
                      <w:color w:val="auto"/>
                      <w:sz w:val="21"/>
                      <w:szCs w:val="21"/>
                      <w:vertAlign w:val="baseline"/>
                      <w:lang w:val="en-US" w:eastAsia="zh-CN" w:bidi="ar"/>
                    </w:rPr>
                    <w:t>3</w:t>
                  </w:r>
                </w:p>
              </w:tc>
              <w:tc>
                <w:tcPr>
                  <w:tcW w:w="1055" w:type="pct"/>
                  <w:vAlign w:val="center"/>
                </w:tcPr>
                <w:p w14:paraId="1BA7C84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沥青烟</w:t>
                  </w:r>
                </w:p>
              </w:tc>
              <w:tc>
                <w:tcPr>
                  <w:tcW w:w="1239" w:type="dxa"/>
                  <w:vAlign w:val="center"/>
                </w:tcPr>
                <w:p w14:paraId="2F6D6155">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lang w:val="en-US" w:eastAsia="zh-CN"/>
                    </w:rPr>
                    <w:t>0.10</w:t>
                  </w:r>
                </w:p>
              </w:tc>
              <w:tc>
                <w:tcPr>
                  <w:tcW w:w="1436" w:type="dxa"/>
                  <w:vAlign w:val="center"/>
                </w:tcPr>
                <w:p w14:paraId="7D754E2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07</w:t>
                  </w:r>
                </w:p>
              </w:tc>
              <w:tc>
                <w:tcPr>
                  <w:tcW w:w="1432" w:type="dxa"/>
                  <w:vAlign w:val="center"/>
                </w:tcPr>
                <w:p w14:paraId="0BE2CD8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10</w:t>
                  </w:r>
                </w:p>
              </w:tc>
            </w:tr>
            <w:tr w14:paraId="7A39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continue"/>
                  <w:vAlign w:val="center"/>
                </w:tcPr>
                <w:p w14:paraId="76BF9DF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704" w:type="pct"/>
                  <w:vMerge w:val="continue"/>
                  <w:vAlign w:val="center"/>
                </w:tcPr>
                <w:p w14:paraId="1BEAB0D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1055" w:type="pct"/>
                  <w:vAlign w:val="center"/>
                </w:tcPr>
                <w:p w14:paraId="6B31544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苯并</w:t>
                  </w:r>
                  <w:r>
                    <w:rPr>
                      <w:rFonts w:hint="default" w:ascii="Times New Roman" w:hAnsi="Times New Roman" w:eastAsia="宋体" w:cs="Times New Roman"/>
                      <w:color w:val="auto"/>
                      <w:sz w:val="21"/>
                      <w:szCs w:val="21"/>
                      <w:lang w:val="zh-CN"/>
                    </w:rPr>
                    <w:t>[a]</w:t>
                  </w:r>
                  <w:r>
                    <w:rPr>
                      <w:rFonts w:hint="default" w:ascii="Times New Roman" w:hAnsi="Times New Roman" w:eastAsia="宋体" w:cs="Times New Roman"/>
                      <w:color w:val="auto"/>
                      <w:sz w:val="21"/>
                      <w:szCs w:val="21"/>
                    </w:rPr>
                    <w:t>芘</w:t>
                  </w:r>
                </w:p>
              </w:tc>
              <w:tc>
                <w:tcPr>
                  <w:tcW w:w="1239" w:type="dxa"/>
                  <w:vAlign w:val="center"/>
                </w:tcPr>
                <w:p w14:paraId="2BD0F6F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lang w:val="en-US" w:eastAsia="zh-CN"/>
                    </w:rPr>
                    <w:t>7.528</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c>
                <w:tcPr>
                  <w:tcW w:w="1436" w:type="dxa"/>
                  <w:vAlign w:val="center"/>
                </w:tcPr>
                <w:p w14:paraId="41BC692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lang w:val="en-US" w:eastAsia="zh-CN"/>
                    </w:rPr>
                    <w:t>5.278</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6</w:t>
                  </w:r>
                </w:p>
              </w:tc>
              <w:tc>
                <w:tcPr>
                  <w:tcW w:w="1432" w:type="dxa"/>
                  <w:vAlign w:val="center"/>
                </w:tcPr>
                <w:p w14:paraId="20C74E7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lang w:val="en-US" w:eastAsia="zh-CN"/>
                    </w:rPr>
                    <w:t>7.6</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-6</w:t>
                  </w:r>
                </w:p>
              </w:tc>
            </w:tr>
            <w:tr w14:paraId="6B85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continue"/>
                  <w:vAlign w:val="center"/>
                </w:tcPr>
                <w:p w14:paraId="3CD80E9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704" w:type="pct"/>
                  <w:vMerge w:val="continue"/>
                  <w:vAlign w:val="center"/>
                </w:tcPr>
                <w:p w14:paraId="3CCCB77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1055" w:type="pct"/>
                  <w:vAlign w:val="center"/>
                </w:tcPr>
                <w:p w14:paraId="2A28BD2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1239" w:type="dxa"/>
                  <w:vAlign w:val="center"/>
                </w:tcPr>
                <w:p w14:paraId="775DDA0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lang w:val="en-US" w:eastAsia="zh-CN"/>
                    </w:rPr>
                    <w:t>0.271</w:t>
                  </w:r>
                </w:p>
              </w:tc>
              <w:tc>
                <w:tcPr>
                  <w:tcW w:w="1436" w:type="dxa"/>
                  <w:vAlign w:val="center"/>
                </w:tcPr>
                <w:p w14:paraId="55992AD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19</w:t>
                  </w:r>
                </w:p>
              </w:tc>
              <w:tc>
                <w:tcPr>
                  <w:tcW w:w="1432" w:type="dxa"/>
                  <w:vAlign w:val="center"/>
                </w:tcPr>
                <w:p w14:paraId="64ED0DF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0.02</w:t>
                  </w:r>
                  <w:r>
                    <w:rPr>
                      <w:rFonts w:hint="eastAsia" w:cs="Times New Roman"/>
                      <w:color w:val="auto"/>
                      <w:sz w:val="21"/>
                      <w:szCs w:val="21"/>
                      <w:lang w:val="en-US" w:eastAsia="zh-CN"/>
                    </w:rPr>
                    <w:t>8</w:t>
                  </w:r>
                </w:p>
              </w:tc>
            </w:tr>
            <w:tr w14:paraId="6F0A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8" w:type="pct"/>
                  <w:vMerge w:val="continue"/>
                  <w:vAlign w:val="center"/>
                </w:tcPr>
                <w:p w14:paraId="17FDC43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704" w:type="pct"/>
                  <w:vMerge w:val="continue"/>
                  <w:vAlign w:val="center"/>
                </w:tcPr>
                <w:p w14:paraId="441DC44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1055" w:type="pct"/>
                  <w:vAlign w:val="center"/>
                </w:tcPr>
                <w:p w14:paraId="71CC015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239" w:type="dxa"/>
                  <w:vAlign w:val="center"/>
                </w:tcPr>
                <w:p w14:paraId="1131ACD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1.840</w:t>
                  </w:r>
                </w:p>
              </w:tc>
              <w:tc>
                <w:tcPr>
                  <w:tcW w:w="1436" w:type="dxa"/>
                  <w:vAlign w:val="center"/>
                </w:tcPr>
                <w:p w14:paraId="4686397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129</w:t>
                  </w:r>
                </w:p>
              </w:tc>
              <w:tc>
                <w:tcPr>
                  <w:tcW w:w="1432" w:type="dxa"/>
                  <w:vAlign w:val="center"/>
                </w:tcPr>
                <w:p w14:paraId="4B87582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0.186</w:t>
                  </w:r>
                </w:p>
              </w:tc>
            </w:tr>
            <w:tr w14:paraId="13B0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restart"/>
                  <w:vAlign w:val="center"/>
                </w:tcPr>
                <w:p w14:paraId="115EF0F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有组织排放合计</w:t>
                  </w:r>
                </w:p>
              </w:tc>
              <w:tc>
                <w:tcPr>
                  <w:tcW w:w="2892" w:type="pct"/>
                  <w:gridSpan w:val="3"/>
                  <w:vAlign w:val="center"/>
                </w:tcPr>
                <w:p w14:paraId="3615966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颗粒物</w:t>
                  </w:r>
                </w:p>
              </w:tc>
              <w:tc>
                <w:tcPr>
                  <w:tcW w:w="983" w:type="pct"/>
                  <w:vAlign w:val="center"/>
                </w:tcPr>
                <w:p w14:paraId="3AE3637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0.</w:t>
                  </w:r>
                  <w:r>
                    <w:rPr>
                      <w:rFonts w:hint="eastAsia" w:cs="Times New Roman"/>
                      <w:snapToGrid w:val="0"/>
                      <w:color w:val="auto"/>
                      <w:sz w:val="21"/>
                      <w:szCs w:val="21"/>
                      <w:vertAlign w:val="baseline"/>
                      <w:lang w:val="en-US" w:eastAsia="zh-CN" w:bidi="ar"/>
                    </w:rPr>
                    <w:t>357</w:t>
                  </w:r>
                </w:p>
              </w:tc>
            </w:tr>
            <w:tr w14:paraId="6C71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continue"/>
                  <w:vAlign w:val="center"/>
                </w:tcPr>
                <w:p w14:paraId="696C863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2892" w:type="pct"/>
                  <w:gridSpan w:val="3"/>
                  <w:vAlign w:val="center"/>
                </w:tcPr>
                <w:p w14:paraId="4E18AA5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SO</w:t>
                  </w:r>
                  <w:r>
                    <w:rPr>
                      <w:rFonts w:hint="default" w:ascii="Times New Roman" w:hAnsi="Times New Roman" w:eastAsia="宋体" w:cs="Times New Roman"/>
                      <w:bCs/>
                      <w:color w:val="auto"/>
                      <w:sz w:val="21"/>
                      <w:szCs w:val="21"/>
                      <w:highlight w:val="none"/>
                      <w:vertAlign w:val="subscript"/>
                    </w:rPr>
                    <w:t>2</w:t>
                  </w:r>
                </w:p>
              </w:tc>
              <w:tc>
                <w:tcPr>
                  <w:tcW w:w="983" w:type="pct"/>
                  <w:vAlign w:val="center"/>
                </w:tcPr>
                <w:p w14:paraId="372EF04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3</w:t>
                  </w:r>
                </w:p>
              </w:tc>
            </w:tr>
            <w:tr w14:paraId="0748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continue"/>
                  <w:vAlign w:val="center"/>
                </w:tcPr>
                <w:p w14:paraId="685E124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2892" w:type="pct"/>
                  <w:gridSpan w:val="3"/>
                  <w:vAlign w:val="center"/>
                </w:tcPr>
                <w:p w14:paraId="2F71CCF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rPr>
                    <w:t>X</w:t>
                  </w:r>
                </w:p>
              </w:tc>
              <w:tc>
                <w:tcPr>
                  <w:tcW w:w="983" w:type="pct"/>
                  <w:vAlign w:val="center"/>
                </w:tcPr>
                <w:p w14:paraId="688D339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0.</w:t>
                  </w:r>
                  <w:r>
                    <w:rPr>
                      <w:rFonts w:hint="eastAsia" w:cs="Times New Roman"/>
                      <w:bCs/>
                      <w:color w:val="auto"/>
                      <w:kern w:val="2"/>
                      <w:sz w:val="21"/>
                      <w:szCs w:val="21"/>
                      <w:highlight w:val="none"/>
                      <w:vertAlign w:val="baseline"/>
                      <w:lang w:val="en-US" w:eastAsia="zh-CN" w:bidi="ar-SA"/>
                    </w:rPr>
                    <w:t>276</w:t>
                  </w:r>
                </w:p>
              </w:tc>
            </w:tr>
            <w:tr w14:paraId="6342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continue"/>
                  <w:vAlign w:val="center"/>
                </w:tcPr>
                <w:p w14:paraId="781D0CA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2892" w:type="pct"/>
                  <w:gridSpan w:val="3"/>
                  <w:vAlign w:val="center"/>
                </w:tcPr>
                <w:p w14:paraId="683D33AD">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沥青烟</w:t>
                  </w:r>
                </w:p>
              </w:tc>
              <w:tc>
                <w:tcPr>
                  <w:tcW w:w="1432" w:type="dxa"/>
                  <w:vAlign w:val="center"/>
                </w:tcPr>
                <w:p w14:paraId="60A8C4D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10</w:t>
                  </w:r>
                </w:p>
              </w:tc>
            </w:tr>
            <w:tr w14:paraId="2DAD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continue"/>
                  <w:vAlign w:val="center"/>
                </w:tcPr>
                <w:p w14:paraId="373090B0">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2892" w:type="pct"/>
                  <w:gridSpan w:val="3"/>
                  <w:vAlign w:val="center"/>
                </w:tcPr>
                <w:p w14:paraId="08A2CDC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苯并</w:t>
                  </w:r>
                  <w:r>
                    <w:rPr>
                      <w:rFonts w:hint="default" w:ascii="Times New Roman" w:hAnsi="Times New Roman" w:eastAsia="宋体" w:cs="Times New Roman"/>
                      <w:color w:val="auto"/>
                      <w:sz w:val="21"/>
                      <w:szCs w:val="21"/>
                      <w:lang w:val="zh-CN"/>
                    </w:rPr>
                    <w:t>[a]</w:t>
                  </w:r>
                  <w:r>
                    <w:rPr>
                      <w:rFonts w:hint="default" w:ascii="Times New Roman" w:hAnsi="Times New Roman" w:eastAsia="宋体" w:cs="Times New Roman"/>
                      <w:color w:val="auto"/>
                      <w:sz w:val="21"/>
                      <w:szCs w:val="21"/>
                    </w:rPr>
                    <w:t>芘</w:t>
                  </w:r>
                </w:p>
              </w:tc>
              <w:tc>
                <w:tcPr>
                  <w:tcW w:w="1432" w:type="dxa"/>
                  <w:vAlign w:val="center"/>
                </w:tcPr>
                <w:p w14:paraId="558B004E">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lang w:val="en-US" w:eastAsia="zh-CN"/>
                    </w:rPr>
                    <w:t>7.6</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-6</w:t>
                  </w:r>
                </w:p>
              </w:tc>
            </w:tr>
            <w:tr w14:paraId="60A7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3" w:type="pct"/>
                  <w:gridSpan w:val="2"/>
                  <w:vMerge w:val="continue"/>
                  <w:vAlign w:val="center"/>
                </w:tcPr>
                <w:p w14:paraId="3440316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0000FF"/>
                      <w:sz w:val="21"/>
                      <w:szCs w:val="21"/>
                      <w:vertAlign w:val="baseline"/>
                      <w:lang w:val="en-US" w:eastAsia="zh-CN" w:bidi="ar"/>
                    </w:rPr>
                  </w:pPr>
                </w:p>
              </w:tc>
              <w:tc>
                <w:tcPr>
                  <w:tcW w:w="2892" w:type="pct"/>
                  <w:gridSpan w:val="3"/>
                  <w:vAlign w:val="center"/>
                </w:tcPr>
                <w:p w14:paraId="4D64931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1432" w:type="dxa"/>
                  <w:vAlign w:val="center"/>
                </w:tcPr>
                <w:p w14:paraId="3FEA841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0.02</w:t>
                  </w:r>
                  <w:r>
                    <w:rPr>
                      <w:rFonts w:hint="eastAsia" w:cs="Times New Roman"/>
                      <w:color w:val="auto"/>
                      <w:sz w:val="21"/>
                      <w:szCs w:val="21"/>
                      <w:lang w:val="en-US" w:eastAsia="zh-CN"/>
                    </w:rPr>
                    <w:t>8</w:t>
                  </w:r>
                </w:p>
              </w:tc>
            </w:tr>
          </w:tbl>
          <w:p w14:paraId="6C485684">
            <w:pPr>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lang w:eastAsia="zh-CN" w:bidi="ar"/>
              </w:rPr>
              <w:t>表</w:t>
            </w:r>
            <w:r>
              <w:rPr>
                <w:rFonts w:hint="eastAsia" w:cs="Times New Roman"/>
                <w:b/>
                <w:bCs/>
                <w:snapToGrid w:val="0"/>
                <w:color w:val="auto"/>
                <w:sz w:val="21"/>
                <w:szCs w:val="21"/>
                <w:lang w:val="en-US" w:eastAsia="zh-CN" w:bidi="ar"/>
              </w:rPr>
              <w:t xml:space="preserve">4-6 </w:t>
            </w:r>
            <w:r>
              <w:rPr>
                <w:rFonts w:hint="default" w:ascii="Times New Roman" w:hAnsi="Times New Roman" w:eastAsia="宋体" w:cs="Times New Roman"/>
                <w:b/>
                <w:bCs/>
                <w:snapToGrid w:val="0"/>
                <w:color w:val="auto"/>
                <w:sz w:val="21"/>
                <w:szCs w:val="21"/>
                <w:lang w:val="en-US" w:eastAsia="zh-CN" w:bidi="ar"/>
              </w:rPr>
              <w:t xml:space="preserve"> 废气污染物</w:t>
            </w:r>
            <w:r>
              <w:rPr>
                <w:rFonts w:hint="eastAsia" w:ascii="Times New Roman" w:hAnsi="Times New Roman" w:eastAsia="宋体" w:cs="Times New Roman"/>
                <w:b/>
                <w:bCs/>
                <w:snapToGrid w:val="0"/>
                <w:color w:val="auto"/>
                <w:sz w:val="21"/>
                <w:szCs w:val="21"/>
                <w:lang w:val="en-US" w:eastAsia="zh-CN" w:bidi="ar"/>
              </w:rPr>
              <w:t>无</w:t>
            </w:r>
            <w:r>
              <w:rPr>
                <w:rFonts w:hint="default" w:ascii="Times New Roman" w:hAnsi="Times New Roman" w:eastAsia="宋体" w:cs="Times New Roman"/>
                <w:b/>
                <w:bCs/>
                <w:snapToGrid w:val="0"/>
                <w:color w:val="auto"/>
                <w:sz w:val="21"/>
                <w:szCs w:val="21"/>
                <w:lang w:val="en-US" w:eastAsia="zh-CN" w:bidi="ar"/>
              </w:rPr>
              <w:t>组织排放量一览表</w:t>
            </w:r>
          </w:p>
          <w:tbl>
            <w:tblPr>
              <w:tblStyle w:val="16"/>
              <w:tblW w:w="7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250"/>
              <w:gridCol w:w="1317"/>
              <w:gridCol w:w="1217"/>
              <w:gridCol w:w="1683"/>
              <w:gridCol w:w="1496"/>
            </w:tblGrid>
            <w:tr w14:paraId="0204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13" w:type="dxa"/>
                  <w:vAlign w:val="center"/>
                </w:tcPr>
                <w:p w14:paraId="10CE48D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序号</w:t>
                  </w:r>
                </w:p>
              </w:tc>
              <w:tc>
                <w:tcPr>
                  <w:tcW w:w="1250" w:type="dxa"/>
                  <w:vAlign w:val="center"/>
                </w:tcPr>
                <w:p w14:paraId="35F96CA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产污环节</w:t>
                  </w:r>
                </w:p>
              </w:tc>
              <w:tc>
                <w:tcPr>
                  <w:tcW w:w="1317" w:type="dxa"/>
                  <w:vAlign w:val="center"/>
                </w:tcPr>
                <w:p w14:paraId="178C17B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污染物</w:t>
                  </w:r>
                </w:p>
              </w:tc>
              <w:tc>
                <w:tcPr>
                  <w:tcW w:w="1217" w:type="dxa"/>
                  <w:shd w:val="clear" w:color="auto" w:fill="auto"/>
                  <w:vAlign w:val="center"/>
                </w:tcPr>
                <w:p w14:paraId="0679EA9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kern w:val="2"/>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排放浓度</w:t>
                  </w:r>
                  <w:r>
                    <w:rPr>
                      <w:rFonts w:hint="default" w:ascii="Times New Roman" w:hAnsi="Times New Roman" w:eastAsia="宋体" w:cs="Times New Roman"/>
                      <w:b/>
                      <w:bCs/>
                      <w:color w:val="auto"/>
                      <w:kern w:val="0"/>
                      <w:sz w:val="21"/>
                      <w:szCs w:val="21"/>
                    </w:rPr>
                    <w:t>（mg/m</w:t>
                  </w:r>
                  <w:r>
                    <w:rPr>
                      <w:rFonts w:hint="default" w:ascii="Times New Roman" w:hAnsi="Times New Roman" w:eastAsia="宋体" w:cs="Times New Roman"/>
                      <w:b/>
                      <w:bCs/>
                      <w:color w:val="auto"/>
                      <w:kern w:val="0"/>
                      <w:sz w:val="21"/>
                      <w:szCs w:val="21"/>
                      <w:vertAlign w:val="superscript"/>
                    </w:rPr>
                    <w:t>3</w:t>
                  </w:r>
                  <w:r>
                    <w:rPr>
                      <w:rFonts w:hint="default" w:ascii="Times New Roman" w:hAnsi="Times New Roman" w:eastAsia="宋体" w:cs="Times New Roman"/>
                      <w:b/>
                      <w:bCs/>
                      <w:color w:val="auto"/>
                      <w:kern w:val="0"/>
                      <w:sz w:val="21"/>
                      <w:szCs w:val="21"/>
                    </w:rPr>
                    <w:t>）</w:t>
                  </w:r>
                </w:p>
              </w:tc>
              <w:tc>
                <w:tcPr>
                  <w:tcW w:w="1683" w:type="dxa"/>
                  <w:shd w:val="clear" w:color="auto" w:fill="auto"/>
                  <w:vAlign w:val="center"/>
                </w:tcPr>
                <w:p w14:paraId="6ADE54E0">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kern w:val="2"/>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排放速率</w:t>
                  </w:r>
                  <w:r>
                    <w:rPr>
                      <w:rFonts w:hint="default" w:ascii="Times New Roman" w:hAnsi="Times New Roman" w:eastAsia="宋体" w:cs="Times New Roman"/>
                      <w:b/>
                      <w:bCs/>
                      <w:color w:val="auto"/>
                      <w:kern w:val="0"/>
                      <w:sz w:val="21"/>
                      <w:szCs w:val="21"/>
                    </w:rPr>
                    <w:t>（kg/h）</w:t>
                  </w:r>
                </w:p>
              </w:tc>
              <w:tc>
                <w:tcPr>
                  <w:tcW w:w="1496" w:type="dxa"/>
                  <w:shd w:val="clear" w:color="auto" w:fill="auto"/>
                  <w:vAlign w:val="center"/>
                </w:tcPr>
                <w:p w14:paraId="329262A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排放量（t/a）</w:t>
                  </w:r>
                </w:p>
              </w:tc>
            </w:tr>
            <w:tr w14:paraId="45E8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dxa"/>
                  <w:vAlign w:val="center"/>
                </w:tcPr>
                <w:p w14:paraId="21990D0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default" w:ascii="Times New Roman" w:hAnsi="Times New Roman" w:eastAsia="宋体" w:cs="Times New Roman"/>
                      <w:snapToGrid w:val="0"/>
                      <w:color w:val="auto"/>
                      <w:sz w:val="21"/>
                      <w:szCs w:val="21"/>
                      <w:vertAlign w:val="baseline"/>
                      <w:lang w:val="en-US" w:eastAsia="zh-CN" w:bidi="ar"/>
                    </w:rPr>
                    <w:t>1</w:t>
                  </w:r>
                </w:p>
              </w:tc>
              <w:tc>
                <w:tcPr>
                  <w:tcW w:w="1250" w:type="dxa"/>
                  <w:vAlign w:val="center"/>
                </w:tcPr>
                <w:p w14:paraId="4E96825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rPr>
                  </w:pPr>
                  <w:r>
                    <w:rPr>
                      <w:rFonts w:hint="eastAsia" w:ascii="Times New Roman" w:hAnsi="Times New Roman" w:eastAsia="宋体" w:cs="Times New Roman"/>
                      <w:bCs/>
                      <w:color w:val="auto"/>
                      <w:sz w:val="21"/>
                      <w:szCs w:val="21"/>
                      <w:lang w:val="en-US" w:eastAsia="zh-CN"/>
                    </w:rPr>
                    <w:t>砂石料</w:t>
                  </w:r>
                  <w:r>
                    <w:rPr>
                      <w:rFonts w:hint="eastAsia" w:cs="Times New Roman"/>
                      <w:bCs/>
                      <w:color w:val="auto"/>
                      <w:sz w:val="21"/>
                      <w:szCs w:val="21"/>
                      <w:lang w:val="en-US" w:eastAsia="zh-CN"/>
                    </w:rPr>
                    <w:t>装卸废气</w:t>
                  </w:r>
                </w:p>
              </w:tc>
              <w:tc>
                <w:tcPr>
                  <w:tcW w:w="1317" w:type="dxa"/>
                  <w:vAlign w:val="center"/>
                </w:tcPr>
                <w:p w14:paraId="0D4EEF0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1217" w:type="dxa"/>
                  <w:shd w:val="clear" w:color="auto" w:fill="auto"/>
                  <w:vAlign w:val="center"/>
                </w:tcPr>
                <w:p w14:paraId="4232C38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3" w:type="dxa"/>
                  <w:vAlign w:val="center"/>
                </w:tcPr>
                <w:p w14:paraId="0DA1E27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0.332</w:t>
                  </w:r>
                </w:p>
              </w:tc>
              <w:tc>
                <w:tcPr>
                  <w:tcW w:w="1496" w:type="dxa"/>
                  <w:shd w:val="clear" w:color="auto" w:fill="auto"/>
                  <w:vAlign w:val="center"/>
                </w:tcPr>
                <w:p w14:paraId="1E319BD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0.478</w:t>
                  </w:r>
                </w:p>
              </w:tc>
            </w:tr>
            <w:tr w14:paraId="04EC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dxa"/>
                  <w:shd w:val="clear" w:color="auto" w:fill="auto"/>
                  <w:vAlign w:val="center"/>
                </w:tcPr>
                <w:p w14:paraId="50001ED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kern w:val="2"/>
                      <w:sz w:val="21"/>
                      <w:szCs w:val="21"/>
                      <w:vertAlign w:val="baseline"/>
                      <w:lang w:val="en-US" w:eastAsia="zh-CN" w:bidi="ar"/>
                    </w:rPr>
                  </w:pPr>
                  <w:r>
                    <w:rPr>
                      <w:rFonts w:hint="default" w:ascii="Times New Roman" w:hAnsi="Times New Roman" w:eastAsia="宋体" w:cs="Times New Roman"/>
                      <w:snapToGrid w:val="0"/>
                      <w:color w:val="auto"/>
                      <w:sz w:val="21"/>
                      <w:szCs w:val="21"/>
                      <w:vertAlign w:val="baseline"/>
                      <w:lang w:val="en-US" w:eastAsia="zh-CN" w:bidi="ar"/>
                    </w:rPr>
                    <w:t>2</w:t>
                  </w:r>
                </w:p>
              </w:tc>
              <w:tc>
                <w:tcPr>
                  <w:tcW w:w="1250" w:type="dxa"/>
                  <w:vAlign w:val="center"/>
                </w:tcPr>
                <w:p w14:paraId="422C4FD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未收集上料扬尘</w:t>
                  </w:r>
                </w:p>
              </w:tc>
              <w:tc>
                <w:tcPr>
                  <w:tcW w:w="1317" w:type="dxa"/>
                  <w:shd w:val="clear" w:color="auto" w:fill="auto"/>
                  <w:vAlign w:val="center"/>
                </w:tcPr>
                <w:p w14:paraId="0C4B0A1A">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217" w:type="dxa"/>
                  <w:shd w:val="clear" w:color="auto" w:fill="auto"/>
                  <w:vAlign w:val="center"/>
                </w:tcPr>
                <w:p w14:paraId="787344C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3" w:type="dxa"/>
                  <w:vAlign w:val="center"/>
                </w:tcPr>
                <w:p w14:paraId="0343021D">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0.133</w:t>
                  </w:r>
                </w:p>
              </w:tc>
              <w:tc>
                <w:tcPr>
                  <w:tcW w:w="1496" w:type="dxa"/>
                  <w:shd w:val="clear" w:color="auto" w:fill="auto"/>
                  <w:vAlign w:val="center"/>
                </w:tcPr>
                <w:p w14:paraId="26C0B95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0.191</w:t>
                  </w:r>
                </w:p>
              </w:tc>
            </w:tr>
            <w:tr w14:paraId="682E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413" w:type="dxa"/>
                  <w:shd w:val="clear" w:color="auto" w:fill="auto"/>
                  <w:vAlign w:val="center"/>
                </w:tcPr>
                <w:p w14:paraId="70E25EF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kern w:val="2"/>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3</w:t>
                  </w:r>
                </w:p>
              </w:tc>
              <w:tc>
                <w:tcPr>
                  <w:tcW w:w="1250" w:type="dxa"/>
                  <w:vAlign w:val="center"/>
                </w:tcPr>
                <w:p w14:paraId="21363F9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皮带输送扬尘</w:t>
                  </w:r>
                </w:p>
              </w:tc>
              <w:tc>
                <w:tcPr>
                  <w:tcW w:w="1317" w:type="dxa"/>
                  <w:shd w:val="clear" w:color="auto" w:fill="auto"/>
                  <w:vAlign w:val="center"/>
                </w:tcPr>
                <w:p w14:paraId="22A8575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217" w:type="dxa"/>
                  <w:shd w:val="clear" w:color="auto" w:fill="auto"/>
                  <w:vAlign w:val="center"/>
                </w:tcPr>
                <w:p w14:paraId="7834363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3" w:type="dxa"/>
                  <w:vAlign w:val="center"/>
                </w:tcPr>
                <w:p w14:paraId="1529C04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0.013</w:t>
                  </w:r>
                </w:p>
              </w:tc>
              <w:tc>
                <w:tcPr>
                  <w:tcW w:w="1496" w:type="dxa"/>
                  <w:shd w:val="clear" w:color="auto" w:fill="auto"/>
                  <w:vAlign w:val="center"/>
                </w:tcPr>
                <w:p w14:paraId="6FA56B50">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0.018</w:t>
                  </w:r>
                </w:p>
              </w:tc>
            </w:tr>
            <w:tr w14:paraId="53FC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dxa"/>
                  <w:shd w:val="clear" w:color="auto" w:fill="auto"/>
                  <w:vAlign w:val="center"/>
                </w:tcPr>
                <w:p w14:paraId="64C27A92">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kern w:val="2"/>
                      <w:sz w:val="21"/>
                      <w:szCs w:val="21"/>
                      <w:vertAlign w:val="baseline"/>
                      <w:lang w:val="en-US" w:eastAsia="zh-CN" w:bidi="ar"/>
                    </w:rPr>
                  </w:pPr>
                  <w:r>
                    <w:rPr>
                      <w:rFonts w:hint="eastAsia" w:cs="Times New Roman"/>
                      <w:snapToGrid w:val="0"/>
                      <w:color w:val="auto"/>
                      <w:sz w:val="21"/>
                      <w:szCs w:val="21"/>
                      <w:vertAlign w:val="baseline"/>
                      <w:lang w:val="en-US" w:eastAsia="zh-CN" w:bidi="ar"/>
                    </w:rPr>
                    <w:t>4</w:t>
                  </w:r>
                </w:p>
              </w:tc>
              <w:tc>
                <w:tcPr>
                  <w:tcW w:w="1250" w:type="dxa"/>
                  <w:shd w:val="clear" w:color="auto" w:fill="auto"/>
                  <w:vAlign w:val="center"/>
                </w:tcPr>
                <w:p w14:paraId="6820B97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运输扬尘</w:t>
                  </w:r>
                </w:p>
              </w:tc>
              <w:tc>
                <w:tcPr>
                  <w:tcW w:w="1317" w:type="dxa"/>
                  <w:shd w:val="clear" w:color="auto" w:fill="auto"/>
                  <w:vAlign w:val="center"/>
                </w:tcPr>
                <w:p w14:paraId="673404F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217" w:type="dxa"/>
                  <w:shd w:val="clear" w:color="auto" w:fill="auto"/>
                  <w:vAlign w:val="center"/>
                </w:tcPr>
                <w:p w14:paraId="297656A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3" w:type="dxa"/>
                  <w:shd w:val="clear" w:color="auto" w:fill="auto"/>
                  <w:vAlign w:val="center"/>
                </w:tcPr>
                <w:p w14:paraId="514B880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0.049</w:t>
                  </w:r>
                </w:p>
              </w:tc>
              <w:tc>
                <w:tcPr>
                  <w:tcW w:w="1496" w:type="dxa"/>
                  <w:shd w:val="clear" w:color="auto" w:fill="auto"/>
                  <w:vAlign w:val="center"/>
                </w:tcPr>
                <w:p w14:paraId="405C6D9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lang w:val="en-US" w:eastAsia="zh-CN"/>
                    </w:rPr>
                    <w:t>0.070</w:t>
                  </w:r>
                </w:p>
              </w:tc>
            </w:tr>
            <w:tr w14:paraId="04A5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dxa"/>
                  <w:shd w:val="clear" w:color="auto" w:fill="auto"/>
                  <w:vAlign w:val="center"/>
                </w:tcPr>
                <w:p w14:paraId="76C77E8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kern w:val="2"/>
                      <w:sz w:val="21"/>
                      <w:szCs w:val="21"/>
                      <w:vertAlign w:val="baseline"/>
                      <w:lang w:val="en-US" w:eastAsia="zh-CN" w:bidi="ar"/>
                    </w:rPr>
                  </w:pPr>
                  <w:r>
                    <w:rPr>
                      <w:rFonts w:hint="eastAsia" w:cs="Times New Roman"/>
                      <w:snapToGrid w:val="0"/>
                      <w:color w:val="auto"/>
                      <w:sz w:val="21"/>
                      <w:szCs w:val="21"/>
                      <w:vertAlign w:val="baseline"/>
                      <w:lang w:val="en-US" w:eastAsia="zh-CN" w:bidi="ar"/>
                    </w:rPr>
                    <w:t>5</w:t>
                  </w:r>
                </w:p>
              </w:tc>
              <w:tc>
                <w:tcPr>
                  <w:tcW w:w="1250" w:type="dxa"/>
                  <w:vAlign w:val="center"/>
                </w:tcPr>
                <w:p w14:paraId="5F13F9A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矿粉进、出筒仓</w:t>
                  </w:r>
                </w:p>
              </w:tc>
              <w:tc>
                <w:tcPr>
                  <w:tcW w:w="1317" w:type="dxa"/>
                  <w:vAlign w:val="center"/>
                </w:tcPr>
                <w:p w14:paraId="4FA9A32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颗粒物</w:t>
                  </w:r>
                </w:p>
              </w:tc>
              <w:tc>
                <w:tcPr>
                  <w:tcW w:w="1217" w:type="dxa"/>
                  <w:shd w:val="clear" w:color="auto" w:fill="auto"/>
                  <w:vAlign w:val="center"/>
                </w:tcPr>
                <w:p w14:paraId="3C9306B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3" w:type="dxa"/>
                  <w:vAlign w:val="center"/>
                </w:tcPr>
                <w:p w14:paraId="62A377C8">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0.02</w:t>
                  </w:r>
                  <w:r>
                    <w:rPr>
                      <w:rFonts w:hint="eastAsia" w:cs="Times New Roman"/>
                      <w:bCs/>
                      <w:color w:val="auto"/>
                      <w:sz w:val="21"/>
                      <w:szCs w:val="21"/>
                      <w:lang w:val="en-US" w:eastAsia="zh-CN"/>
                    </w:rPr>
                    <w:t>4</w:t>
                  </w:r>
                </w:p>
              </w:tc>
              <w:tc>
                <w:tcPr>
                  <w:tcW w:w="1496" w:type="dxa"/>
                  <w:shd w:val="clear" w:color="auto" w:fill="auto"/>
                  <w:vAlign w:val="center"/>
                </w:tcPr>
                <w:p w14:paraId="0E5A700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lang w:val="en-US" w:eastAsia="zh-CN"/>
                    </w:rPr>
                    <w:t>0.00</w:t>
                  </w:r>
                  <w:r>
                    <w:rPr>
                      <w:rFonts w:hint="eastAsia" w:cs="Times New Roman"/>
                      <w:bCs/>
                      <w:color w:val="auto"/>
                      <w:sz w:val="21"/>
                      <w:szCs w:val="21"/>
                      <w:lang w:val="en-US" w:eastAsia="zh-CN"/>
                    </w:rPr>
                    <w:t>5</w:t>
                  </w:r>
                </w:p>
              </w:tc>
            </w:tr>
            <w:tr w14:paraId="042F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3" w:type="dxa"/>
                  <w:vMerge w:val="restart"/>
                  <w:vAlign w:val="center"/>
                </w:tcPr>
                <w:p w14:paraId="3227833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cs="Times New Roman"/>
                      <w:snapToGrid w:val="0"/>
                      <w:color w:val="auto"/>
                      <w:sz w:val="21"/>
                      <w:szCs w:val="21"/>
                      <w:vertAlign w:val="baseline"/>
                      <w:lang w:val="en-US" w:eastAsia="zh-CN" w:bidi="ar"/>
                    </w:rPr>
                    <w:t>6</w:t>
                  </w:r>
                </w:p>
              </w:tc>
              <w:tc>
                <w:tcPr>
                  <w:tcW w:w="1250" w:type="dxa"/>
                  <w:vMerge w:val="restart"/>
                  <w:vAlign w:val="center"/>
                </w:tcPr>
                <w:p w14:paraId="5F452B5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未收集到的</w:t>
                  </w:r>
                  <w:r>
                    <w:rPr>
                      <w:rFonts w:hint="eastAsia" w:cs="Times New Roman"/>
                      <w:bCs/>
                      <w:color w:val="auto"/>
                      <w:sz w:val="21"/>
                      <w:szCs w:val="21"/>
                      <w:lang w:val="en-US" w:eastAsia="zh-CN"/>
                    </w:rPr>
                    <w:t>沥青</w:t>
                  </w:r>
                  <w:r>
                    <w:rPr>
                      <w:rFonts w:hint="eastAsia" w:ascii="Times New Roman" w:hAnsi="Times New Roman" w:eastAsia="宋体" w:cs="Times New Roman"/>
                      <w:bCs/>
                      <w:color w:val="auto"/>
                      <w:sz w:val="21"/>
                      <w:szCs w:val="21"/>
                      <w:lang w:val="en-US" w:eastAsia="zh-CN"/>
                    </w:rPr>
                    <w:t>废气</w:t>
                  </w:r>
                </w:p>
              </w:tc>
              <w:tc>
                <w:tcPr>
                  <w:tcW w:w="1317" w:type="dxa"/>
                  <w:vAlign w:val="center"/>
                </w:tcPr>
                <w:p w14:paraId="6E4AE214">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沥青烟</w:t>
                  </w:r>
                </w:p>
              </w:tc>
              <w:tc>
                <w:tcPr>
                  <w:tcW w:w="1217" w:type="dxa"/>
                  <w:shd w:val="clear" w:color="auto" w:fill="auto"/>
                  <w:vAlign w:val="center"/>
                </w:tcPr>
                <w:p w14:paraId="24355615">
                  <w:pPr>
                    <w:keepNext w:val="0"/>
                    <w:keepLines w:val="0"/>
                    <w:pageBreakBefore w:val="0"/>
                    <w:widowControl w:val="0"/>
                    <w:kinsoku/>
                    <w:wordWrap/>
                    <w:overflowPunct/>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3" w:type="dxa"/>
                  <w:vAlign w:val="center"/>
                </w:tcPr>
                <w:p w14:paraId="2D344B12">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Cs/>
                      <w:color w:val="auto"/>
                      <w:sz w:val="21"/>
                      <w:szCs w:val="21"/>
                      <w:lang w:val="en-US" w:eastAsia="zh-CN"/>
                    </w:rPr>
                    <w:t>0.007</w:t>
                  </w:r>
                </w:p>
              </w:tc>
              <w:tc>
                <w:tcPr>
                  <w:tcW w:w="1496" w:type="dxa"/>
                  <w:shd w:val="clear" w:color="auto" w:fill="auto"/>
                  <w:vAlign w:val="center"/>
                </w:tcPr>
                <w:p w14:paraId="7098CEA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010</w:t>
                  </w:r>
                </w:p>
              </w:tc>
            </w:tr>
            <w:tr w14:paraId="1617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413" w:type="dxa"/>
                  <w:vMerge w:val="continue"/>
                  <w:vAlign w:val="center"/>
                </w:tcPr>
                <w:p w14:paraId="7C82EE7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1250" w:type="dxa"/>
                  <w:vMerge w:val="continue"/>
                  <w:vAlign w:val="center"/>
                </w:tcPr>
                <w:p w14:paraId="38936A3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317" w:type="dxa"/>
                  <w:vAlign w:val="center"/>
                </w:tcPr>
                <w:p w14:paraId="5F7F18B5">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苯并</w:t>
                  </w:r>
                  <w:r>
                    <w:rPr>
                      <w:rFonts w:hint="default" w:ascii="Times New Roman" w:hAnsi="Times New Roman" w:eastAsia="宋体" w:cs="Times New Roman"/>
                      <w:color w:val="auto"/>
                      <w:sz w:val="21"/>
                      <w:szCs w:val="21"/>
                      <w:lang w:val="zh-CN"/>
                    </w:rPr>
                    <w:t>[a]</w:t>
                  </w:r>
                  <w:r>
                    <w:rPr>
                      <w:rFonts w:hint="default" w:ascii="Times New Roman" w:hAnsi="Times New Roman" w:eastAsia="宋体" w:cs="Times New Roman"/>
                      <w:color w:val="auto"/>
                      <w:sz w:val="21"/>
                      <w:szCs w:val="21"/>
                    </w:rPr>
                    <w:t>芘</w:t>
                  </w:r>
                </w:p>
              </w:tc>
              <w:tc>
                <w:tcPr>
                  <w:tcW w:w="1217" w:type="dxa"/>
                  <w:shd w:val="clear" w:color="auto" w:fill="auto"/>
                  <w:vAlign w:val="center"/>
                </w:tcPr>
                <w:p w14:paraId="5A6707DF">
                  <w:pPr>
                    <w:keepNext w:val="0"/>
                    <w:keepLines w:val="0"/>
                    <w:pageBreakBefore w:val="0"/>
                    <w:widowControl w:val="0"/>
                    <w:kinsoku/>
                    <w:wordWrap/>
                    <w:overflowPunct/>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3" w:type="dxa"/>
                  <w:vAlign w:val="center"/>
                </w:tcPr>
                <w:p w14:paraId="2B69691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Cs/>
                      <w:color w:val="auto"/>
                      <w:sz w:val="21"/>
                      <w:szCs w:val="21"/>
                      <w:lang w:val="en-US" w:eastAsia="zh-CN"/>
                    </w:rPr>
                    <w:t>1.389</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c>
                <w:tcPr>
                  <w:tcW w:w="1496" w:type="dxa"/>
                  <w:shd w:val="clear" w:color="auto" w:fill="auto"/>
                  <w:vAlign w:val="center"/>
                </w:tcPr>
                <w:p w14:paraId="1139BBF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lang w:val="en-US" w:eastAsia="zh-CN"/>
                    </w:rPr>
                    <w:t>2</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r>
            <w:tr w14:paraId="4983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13" w:type="dxa"/>
                  <w:vMerge w:val="continue"/>
                  <w:vAlign w:val="center"/>
                </w:tcPr>
                <w:p w14:paraId="70371D5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1250" w:type="dxa"/>
                  <w:vMerge w:val="continue"/>
                  <w:vAlign w:val="center"/>
                </w:tcPr>
                <w:p w14:paraId="79F71783">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317" w:type="dxa"/>
                  <w:vAlign w:val="center"/>
                </w:tcPr>
                <w:p w14:paraId="0DD5CCD8">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1217" w:type="dxa"/>
                  <w:shd w:val="clear" w:color="auto" w:fill="auto"/>
                  <w:vAlign w:val="center"/>
                </w:tcPr>
                <w:p w14:paraId="230D7673">
                  <w:pPr>
                    <w:keepNext w:val="0"/>
                    <w:keepLines w:val="0"/>
                    <w:pageBreakBefore w:val="0"/>
                    <w:widowControl w:val="0"/>
                    <w:kinsoku/>
                    <w:wordWrap/>
                    <w:overflowPunct/>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kern w:val="2"/>
                      <w:sz w:val="21"/>
                      <w:szCs w:val="21"/>
                      <w:lang w:val="en-US" w:eastAsia="zh-CN" w:bidi="ar-SA"/>
                    </w:rPr>
                    <w:t>/</w:t>
                  </w:r>
                </w:p>
              </w:tc>
              <w:tc>
                <w:tcPr>
                  <w:tcW w:w="1683" w:type="dxa"/>
                  <w:vAlign w:val="center"/>
                </w:tcPr>
                <w:p w14:paraId="6CD75681">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cs="Times New Roman"/>
                      <w:bCs/>
                      <w:color w:val="auto"/>
                      <w:sz w:val="21"/>
                      <w:szCs w:val="21"/>
                      <w:lang w:val="en-US" w:eastAsia="zh-CN"/>
                    </w:rPr>
                    <w:t>0.005</w:t>
                  </w:r>
                </w:p>
              </w:tc>
              <w:tc>
                <w:tcPr>
                  <w:tcW w:w="1496" w:type="dxa"/>
                  <w:shd w:val="clear" w:color="auto" w:fill="auto"/>
                  <w:vAlign w:val="center"/>
                </w:tcPr>
                <w:p w14:paraId="23230444">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07</w:t>
                  </w:r>
                </w:p>
              </w:tc>
            </w:tr>
            <w:tr w14:paraId="498A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13" w:type="dxa"/>
                  <w:vMerge w:val="continue"/>
                  <w:vAlign w:val="center"/>
                </w:tcPr>
                <w:p w14:paraId="7111AB40">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1250" w:type="dxa"/>
                  <w:vMerge w:val="continue"/>
                  <w:vAlign w:val="center"/>
                </w:tcPr>
                <w:p w14:paraId="6E5B3B3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1317" w:type="dxa"/>
                  <w:shd w:val="clear" w:color="auto" w:fill="auto"/>
                  <w:vAlign w:val="center"/>
                </w:tcPr>
                <w:p w14:paraId="51335F37">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1217" w:type="dxa"/>
                  <w:shd w:val="clear" w:color="auto" w:fill="auto"/>
                  <w:vAlign w:val="center"/>
                </w:tcPr>
                <w:p w14:paraId="500B00B0">
                  <w:pPr>
                    <w:keepNext w:val="0"/>
                    <w:keepLines w:val="0"/>
                    <w:pageBreakBefore w:val="0"/>
                    <w:widowControl w:val="0"/>
                    <w:kinsoku/>
                    <w:wordWrap/>
                    <w:overflowPunct/>
                    <w:topLinePunct w:val="0"/>
                    <w:autoSpaceDE/>
                    <w:autoSpaceDN/>
                    <w:bidi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1683" w:type="dxa"/>
                  <w:shd w:val="clear" w:color="auto" w:fill="auto"/>
                  <w:vAlign w:val="center"/>
                </w:tcPr>
                <w:p w14:paraId="117BF15A">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068</w:t>
                  </w:r>
                </w:p>
              </w:tc>
              <w:tc>
                <w:tcPr>
                  <w:tcW w:w="1496" w:type="dxa"/>
                  <w:shd w:val="clear" w:color="auto" w:fill="auto"/>
                  <w:vAlign w:val="center"/>
                </w:tcPr>
                <w:p w14:paraId="72A22CEF">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098</w:t>
                  </w:r>
                </w:p>
              </w:tc>
            </w:tr>
            <w:tr w14:paraId="0138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63" w:type="dxa"/>
                  <w:gridSpan w:val="2"/>
                  <w:vMerge w:val="restart"/>
                  <w:vAlign w:val="center"/>
                </w:tcPr>
                <w:p w14:paraId="6C5F104C">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vertAlign w:val="baseline"/>
                      <w:lang w:val="en-US" w:eastAsia="zh-CN" w:bidi="ar"/>
                    </w:rPr>
                    <w:t>无组织排放合计</w:t>
                  </w:r>
                </w:p>
              </w:tc>
              <w:tc>
                <w:tcPr>
                  <w:tcW w:w="4217" w:type="dxa"/>
                  <w:gridSpan w:val="3"/>
                  <w:vAlign w:val="center"/>
                </w:tcPr>
                <w:p w14:paraId="1A96FAB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96" w:type="dxa"/>
                  <w:vAlign w:val="center"/>
                </w:tcPr>
                <w:p w14:paraId="306EC78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86</w:t>
                  </w:r>
                </w:p>
              </w:tc>
            </w:tr>
            <w:tr w14:paraId="5355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63" w:type="dxa"/>
                  <w:gridSpan w:val="2"/>
                  <w:vMerge w:val="continue"/>
                  <w:vAlign w:val="center"/>
                </w:tcPr>
                <w:p w14:paraId="1B62246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4217" w:type="dxa"/>
                  <w:gridSpan w:val="3"/>
                  <w:vAlign w:val="center"/>
                </w:tcPr>
                <w:p w14:paraId="20197FD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沥青烟</w:t>
                  </w:r>
                </w:p>
              </w:tc>
              <w:tc>
                <w:tcPr>
                  <w:tcW w:w="1496" w:type="dxa"/>
                  <w:vAlign w:val="center"/>
                </w:tcPr>
                <w:p w14:paraId="7C81D733">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0.</w:t>
                  </w:r>
                  <w:r>
                    <w:rPr>
                      <w:rFonts w:hint="eastAsia" w:cs="Times New Roman"/>
                      <w:bCs/>
                      <w:color w:val="auto"/>
                      <w:sz w:val="21"/>
                      <w:szCs w:val="21"/>
                      <w:lang w:val="en-US" w:eastAsia="zh-CN"/>
                    </w:rPr>
                    <w:t>020</w:t>
                  </w:r>
                </w:p>
              </w:tc>
            </w:tr>
            <w:tr w14:paraId="2794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63" w:type="dxa"/>
                  <w:gridSpan w:val="2"/>
                  <w:vMerge w:val="continue"/>
                  <w:vAlign w:val="center"/>
                </w:tcPr>
                <w:p w14:paraId="2FF18A7E">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4217" w:type="dxa"/>
                  <w:gridSpan w:val="3"/>
                  <w:vAlign w:val="center"/>
                </w:tcPr>
                <w:p w14:paraId="15FE373B">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sz w:val="21"/>
                      <w:szCs w:val="21"/>
                    </w:rPr>
                    <w:t>苯并</w:t>
                  </w:r>
                  <w:r>
                    <w:rPr>
                      <w:rFonts w:hint="default" w:ascii="Times New Roman" w:hAnsi="Times New Roman" w:eastAsia="宋体" w:cs="Times New Roman"/>
                      <w:color w:val="auto"/>
                      <w:sz w:val="21"/>
                      <w:szCs w:val="21"/>
                      <w:lang w:val="zh-CN"/>
                    </w:rPr>
                    <w:t>[a]</w:t>
                  </w:r>
                  <w:r>
                    <w:rPr>
                      <w:rFonts w:hint="default" w:ascii="Times New Roman" w:hAnsi="Times New Roman" w:eastAsia="宋体" w:cs="Times New Roman"/>
                      <w:color w:val="auto"/>
                      <w:sz w:val="21"/>
                      <w:szCs w:val="21"/>
                    </w:rPr>
                    <w:t>芘</w:t>
                  </w:r>
                </w:p>
              </w:tc>
              <w:tc>
                <w:tcPr>
                  <w:tcW w:w="1496" w:type="dxa"/>
                  <w:vAlign w:val="center"/>
                </w:tcPr>
                <w:p w14:paraId="06746307">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lang w:val="en-US" w:eastAsia="zh-CN"/>
                    </w:rPr>
                    <w:t>2.76</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r>
            <w:tr w14:paraId="3172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663" w:type="dxa"/>
                  <w:gridSpan w:val="2"/>
                  <w:vMerge w:val="continue"/>
                  <w:vAlign w:val="center"/>
                </w:tcPr>
                <w:p w14:paraId="2ED5CAE6">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p>
              </w:tc>
              <w:tc>
                <w:tcPr>
                  <w:tcW w:w="4217" w:type="dxa"/>
                  <w:gridSpan w:val="3"/>
                  <w:vAlign w:val="center"/>
                </w:tcPr>
                <w:p w14:paraId="77B533B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非甲烷总烃</w:t>
                  </w:r>
                </w:p>
              </w:tc>
              <w:tc>
                <w:tcPr>
                  <w:tcW w:w="1496" w:type="dxa"/>
                  <w:vAlign w:val="center"/>
                </w:tcPr>
                <w:p w14:paraId="3266B676">
                  <w:pPr>
                    <w:keepNext w:val="0"/>
                    <w:keepLines w:val="0"/>
                    <w:pageBreakBefore w:val="0"/>
                    <w:widowControl w:val="0"/>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lang w:val="en-US" w:eastAsia="zh-CN"/>
                    </w:rPr>
                    <w:t>0.0</w:t>
                  </w:r>
                  <w:r>
                    <w:rPr>
                      <w:rFonts w:hint="eastAsia" w:cs="Times New Roman"/>
                      <w:bCs/>
                      <w:color w:val="auto"/>
                      <w:sz w:val="21"/>
                      <w:szCs w:val="21"/>
                      <w:lang w:val="en-US" w:eastAsia="zh-CN"/>
                    </w:rPr>
                    <w:t>07</w:t>
                  </w:r>
                </w:p>
              </w:tc>
            </w:tr>
          </w:tbl>
          <w:p w14:paraId="7EA149E6">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default" w:ascii="Times New Roman" w:hAnsi="Times New Roman" w:eastAsia="宋体" w:cs="Times New Roman"/>
                <w:b/>
                <w:bCs/>
                <w:snapToGrid w:val="0"/>
                <w:color w:val="auto"/>
                <w:sz w:val="21"/>
                <w:szCs w:val="21"/>
                <w:lang w:eastAsia="zh-CN" w:bidi="ar"/>
              </w:rPr>
              <w:t>表</w:t>
            </w:r>
            <w:r>
              <w:rPr>
                <w:rFonts w:hint="eastAsia" w:cs="Times New Roman"/>
                <w:b/>
                <w:bCs/>
                <w:snapToGrid w:val="0"/>
                <w:color w:val="auto"/>
                <w:sz w:val="21"/>
                <w:szCs w:val="21"/>
                <w:lang w:val="en-US" w:eastAsia="zh-CN" w:bidi="ar"/>
              </w:rPr>
              <w:t xml:space="preserve">4-7 </w:t>
            </w:r>
            <w:r>
              <w:rPr>
                <w:rFonts w:hint="default" w:ascii="Times New Roman" w:hAnsi="Times New Roman" w:eastAsia="宋体" w:cs="Times New Roman"/>
                <w:b/>
                <w:bCs/>
                <w:snapToGrid w:val="0"/>
                <w:color w:val="auto"/>
                <w:sz w:val="21"/>
                <w:szCs w:val="21"/>
                <w:lang w:val="en-US" w:eastAsia="zh-CN" w:bidi="ar"/>
              </w:rPr>
              <w:t xml:space="preserve"> 废气污染物</w:t>
            </w:r>
            <w:r>
              <w:rPr>
                <w:rFonts w:hint="eastAsia" w:ascii="Times New Roman" w:hAnsi="Times New Roman" w:eastAsia="宋体" w:cs="Times New Roman"/>
                <w:b/>
                <w:bCs/>
                <w:snapToGrid w:val="0"/>
                <w:color w:val="auto"/>
                <w:sz w:val="21"/>
                <w:szCs w:val="21"/>
                <w:lang w:val="en-US" w:eastAsia="zh-CN" w:bidi="ar"/>
              </w:rPr>
              <w:t>年</w:t>
            </w:r>
            <w:r>
              <w:rPr>
                <w:rFonts w:hint="default" w:ascii="Times New Roman" w:hAnsi="Times New Roman" w:eastAsia="宋体" w:cs="Times New Roman"/>
                <w:b/>
                <w:bCs/>
                <w:snapToGrid w:val="0"/>
                <w:color w:val="auto"/>
                <w:sz w:val="21"/>
                <w:szCs w:val="21"/>
                <w:lang w:val="en-US" w:eastAsia="zh-CN" w:bidi="ar"/>
              </w:rPr>
              <w:t>排放量一览表</w:t>
            </w:r>
          </w:p>
          <w:tbl>
            <w:tblPr>
              <w:tblStyle w:val="16"/>
              <w:tblW w:w="7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3314"/>
              <w:gridCol w:w="3314"/>
            </w:tblGrid>
            <w:tr w14:paraId="7CF8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016EFA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eastAsia" w:ascii="Times New Roman" w:hAnsi="Times New Roman" w:eastAsia="宋体" w:cs="Times New Roman"/>
                      <w:b/>
                      <w:bCs/>
                      <w:snapToGrid w:val="0"/>
                      <w:color w:val="auto"/>
                      <w:sz w:val="21"/>
                      <w:szCs w:val="21"/>
                      <w:vertAlign w:val="baseline"/>
                      <w:lang w:val="en-US" w:eastAsia="zh-CN" w:bidi="ar"/>
                    </w:rPr>
                    <w:t>序号</w:t>
                  </w:r>
                </w:p>
              </w:tc>
              <w:tc>
                <w:tcPr>
                  <w:tcW w:w="3314" w:type="dxa"/>
                  <w:vAlign w:val="center"/>
                </w:tcPr>
                <w:p w14:paraId="5D302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eastAsia" w:ascii="Times New Roman" w:hAnsi="Times New Roman" w:eastAsia="宋体" w:cs="Times New Roman"/>
                      <w:b/>
                      <w:bCs/>
                      <w:snapToGrid w:val="0"/>
                      <w:color w:val="auto"/>
                      <w:sz w:val="21"/>
                      <w:szCs w:val="21"/>
                      <w:vertAlign w:val="baseline"/>
                      <w:lang w:val="en-US" w:eastAsia="zh-CN" w:bidi="ar"/>
                    </w:rPr>
                    <w:t>污染物</w:t>
                  </w:r>
                </w:p>
              </w:tc>
              <w:tc>
                <w:tcPr>
                  <w:tcW w:w="3314" w:type="dxa"/>
                  <w:vAlign w:val="center"/>
                </w:tcPr>
                <w:p w14:paraId="30B0AC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napToGrid w:val="0"/>
                      <w:color w:val="auto"/>
                      <w:sz w:val="21"/>
                      <w:szCs w:val="21"/>
                      <w:vertAlign w:val="baseline"/>
                      <w:lang w:val="en-US" w:eastAsia="zh-CN" w:bidi="ar"/>
                    </w:rPr>
                  </w:pPr>
                  <w:r>
                    <w:rPr>
                      <w:rFonts w:hint="eastAsia" w:ascii="Times New Roman" w:hAnsi="Times New Roman" w:eastAsia="宋体" w:cs="Times New Roman"/>
                      <w:b/>
                      <w:bCs/>
                      <w:snapToGrid w:val="0"/>
                      <w:color w:val="auto"/>
                      <w:sz w:val="21"/>
                      <w:szCs w:val="21"/>
                      <w:vertAlign w:val="baseline"/>
                      <w:lang w:val="en-US" w:eastAsia="zh-CN" w:bidi="ar"/>
                    </w:rPr>
                    <w:t>排放量（t/a）</w:t>
                  </w:r>
                </w:p>
              </w:tc>
            </w:tr>
            <w:tr w14:paraId="7883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46277B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1</w:t>
                  </w:r>
                </w:p>
              </w:tc>
              <w:tc>
                <w:tcPr>
                  <w:tcW w:w="3314" w:type="dxa"/>
                  <w:vAlign w:val="center"/>
                </w:tcPr>
                <w:p w14:paraId="71B2E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颗粒物</w:t>
                  </w:r>
                </w:p>
              </w:tc>
              <w:tc>
                <w:tcPr>
                  <w:tcW w:w="3314" w:type="dxa"/>
                  <w:vAlign w:val="center"/>
                </w:tcPr>
                <w:p w14:paraId="6CFEAC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cs="Times New Roman"/>
                      <w:snapToGrid w:val="0"/>
                      <w:color w:val="auto"/>
                      <w:sz w:val="21"/>
                      <w:szCs w:val="21"/>
                      <w:vertAlign w:val="baseline"/>
                      <w:lang w:val="en-US" w:eastAsia="zh-CN" w:bidi="ar"/>
                    </w:rPr>
                    <w:t>1.217</w:t>
                  </w:r>
                </w:p>
              </w:tc>
            </w:tr>
            <w:tr w14:paraId="4232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6AD8E8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2</w:t>
                  </w:r>
                </w:p>
              </w:tc>
              <w:tc>
                <w:tcPr>
                  <w:tcW w:w="3314" w:type="dxa"/>
                  <w:vAlign w:val="center"/>
                </w:tcPr>
                <w:p w14:paraId="1DC4B2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SO</w:t>
                  </w:r>
                  <w:r>
                    <w:rPr>
                      <w:rFonts w:hint="eastAsia" w:ascii="Times New Roman" w:hAnsi="Times New Roman" w:eastAsia="宋体" w:cs="Times New Roman"/>
                      <w:bCs/>
                      <w:color w:val="auto"/>
                      <w:sz w:val="21"/>
                      <w:szCs w:val="21"/>
                      <w:highlight w:val="none"/>
                      <w:vertAlign w:val="subscript"/>
                    </w:rPr>
                    <w:t>2</w:t>
                  </w:r>
                </w:p>
              </w:tc>
              <w:tc>
                <w:tcPr>
                  <w:tcW w:w="3314" w:type="dxa"/>
                  <w:vAlign w:val="center"/>
                </w:tcPr>
                <w:p w14:paraId="3EE5A37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0.</w:t>
                  </w:r>
                  <w:r>
                    <w:rPr>
                      <w:rFonts w:hint="eastAsia" w:cs="Times New Roman"/>
                      <w:bCs/>
                      <w:color w:val="auto"/>
                      <w:kern w:val="2"/>
                      <w:sz w:val="21"/>
                      <w:szCs w:val="21"/>
                      <w:highlight w:val="none"/>
                      <w:lang w:val="en-US" w:eastAsia="zh-CN" w:bidi="ar-SA"/>
                    </w:rPr>
                    <w:t>3</w:t>
                  </w:r>
                </w:p>
              </w:tc>
            </w:tr>
            <w:tr w14:paraId="63AA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3AD569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3</w:t>
                  </w:r>
                </w:p>
              </w:tc>
              <w:tc>
                <w:tcPr>
                  <w:tcW w:w="3314" w:type="dxa"/>
                  <w:vAlign w:val="center"/>
                </w:tcPr>
                <w:p w14:paraId="0EED9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rPr>
                    <w:t>NO</w:t>
                  </w:r>
                  <w:r>
                    <w:rPr>
                      <w:rFonts w:hint="eastAsia" w:ascii="Times New Roman" w:hAnsi="Times New Roman" w:eastAsia="宋体" w:cs="Times New Roman"/>
                      <w:bCs/>
                      <w:color w:val="auto"/>
                      <w:sz w:val="21"/>
                      <w:szCs w:val="21"/>
                      <w:highlight w:val="none"/>
                      <w:vertAlign w:val="subscript"/>
                    </w:rPr>
                    <w:t>X</w:t>
                  </w:r>
                </w:p>
              </w:tc>
              <w:tc>
                <w:tcPr>
                  <w:tcW w:w="3314" w:type="dxa"/>
                  <w:vAlign w:val="center"/>
                </w:tcPr>
                <w:p w14:paraId="1A6A3B1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ascii="Times New Roman" w:hAnsi="Times New Roman" w:eastAsia="宋体" w:cs="Times New Roman"/>
                      <w:bCs/>
                      <w:color w:val="auto"/>
                      <w:kern w:val="2"/>
                      <w:sz w:val="21"/>
                      <w:szCs w:val="21"/>
                      <w:highlight w:val="none"/>
                      <w:vertAlign w:val="baseline"/>
                      <w:lang w:val="en-US" w:eastAsia="zh-CN" w:bidi="ar-SA"/>
                    </w:rPr>
                    <w:t>0.</w:t>
                  </w:r>
                  <w:r>
                    <w:rPr>
                      <w:rFonts w:hint="eastAsia" w:cs="Times New Roman"/>
                      <w:bCs/>
                      <w:color w:val="auto"/>
                      <w:kern w:val="2"/>
                      <w:sz w:val="21"/>
                      <w:szCs w:val="21"/>
                      <w:highlight w:val="none"/>
                      <w:vertAlign w:val="baseline"/>
                      <w:lang w:val="en-US" w:eastAsia="zh-CN" w:bidi="ar-SA"/>
                    </w:rPr>
                    <w:t>276</w:t>
                  </w:r>
                </w:p>
              </w:tc>
            </w:tr>
            <w:tr w14:paraId="52BD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415DC8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4</w:t>
                  </w:r>
                </w:p>
              </w:tc>
              <w:tc>
                <w:tcPr>
                  <w:tcW w:w="3314" w:type="dxa"/>
                  <w:vAlign w:val="center"/>
                </w:tcPr>
                <w:p w14:paraId="34CE7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沥青烟</w:t>
                  </w:r>
                </w:p>
              </w:tc>
              <w:tc>
                <w:tcPr>
                  <w:tcW w:w="3314" w:type="dxa"/>
                  <w:vAlign w:val="center"/>
                </w:tcPr>
                <w:p w14:paraId="1F921F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0.</w:t>
                  </w:r>
                  <w:r>
                    <w:rPr>
                      <w:rFonts w:hint="eastAsia" w:cs="Times New Roman"/>
                      <w:bCs/>
                      <w:color w:val="auto"/>
                      <w:sz w:val="21"/>
                      <w:szCs w:val="21"/>
                      <w:highlight w:val="none"/>
                      <w:lang w:val="en-US" w:eastAsia="zh-CN"/>
                    </w:rPr>
                    <w:t>038</w:t>
                  </w:r>
                </w:p>
              </w:tc>
            </w:tr>
            <w:tr w14:paraId="6637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611" w:type="dxa"/>
                  <w:vAlign w:val="center"/>
                </w:tcPr>
                <w:p w14:paraId="4AD5B9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5</w:t>
                  </w:r>
                </w:p>
              </w:tc>
              <w:tc>
                <w:tcPr>
                  <w:tcW w:w="3314" w:type="dxa"/>
                  <w:vAlign w:val="center"/>
                </w:tcPr>
                <w:p w14:paraId="60484E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rPr>
                    <w:t>苯并</w:t>
                  </w:r>
                  <w:r>
                    <w:rPr>
                      <w:rFonts w:hint="default" w:ascii="Times New Roman" w:hAnsi="Times New Roman" w:eastAsia="Times New Roman" w:cs="Times New Roman"/>
                      <w:color w:val="auto"/>
                      <w:sz w:val="21"/>
                      <w:szCs w:val="21"/>
                      <w:lang w:val="zh-CN"/>
                    </w:rPr>
                    <w:t>[a]</w:t>
                  </w:r>
                  <w:r>
                    <w:rPr>
                      <w:rFonts w:hint="default" w:ascii="Times New Roman" w:hAnsi="Times New Roman" w:cs="Times New Roman"/>
                      <w:color w:val="auto"/>
                      <w:sz w:val="21"/>
                      <w:szCs w:val="21"/>
                    </w:rPr>
                    <w:t>芘</w:t>
                  </w:r>
                </w:p>
              </w:tc>
              <w:tc>
                <w:tcPr>
                  <w:tcW w:w="3314" w:type="dxa"/>
                  <w:vAlign w:val="center"/>
                </w:tcPr>
                <w:p w14:paraId="43CF71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6.272</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p>
              </w:tc>
            </w:tr>
            <w:tr w14:paraId="3DC8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11" w:type="dxa"/>
                  <w:vAlign w:val="center"/>
                </w:tcPr>
                <w:p w14:paraId="2856F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vertAlign w:val="baseline"/>
                      <w:lang w:val="en-US" w:eastAsia="zh-CN" w:bidi="ar"/>
                    </w:rPr>
                  </w:pPr>
                  <w:r>
                    <w:rPr>
                      <w:rFonts w:hint="eastAsia" w:ascii="Times New Roman" w:hAnsi="Times New Roman" w:eastAsia="宋体" w:cs="Times New Roman"/>
                      <w:snapToGrid w:val="0"/>
                      <w:color w:val="auto"/>
                      <w:sz w:val="21"/>
                      <w:szCs w:val="21"/>
                      <w:vertAlign w:val="baseline"/>
                      <w:lang w:val="en-US" w:eastAsia="zh-CN" w:bidi="ar"/>
                    </w:rPr>
                    <w:t>6</w:t>
                  </w:r>
                </w:p>
              </w:tc>
              <w:tc>
                <w:tcPr>
                  <w:tcW w:w="3314" w:type="dxa"/>
                  <w:vAlign w:val="center"/>
                </w:tcPr>
                <w:p w14:paraId="290D07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非甲烷总烃</w:t>
                  </w:r>
                </w:p>
              </w:tc>
              <w:tc>
                <w:tcPr>
                  <w:tcW w:w="3314" w:type="dxa"/>
                  <w:vAlign w:val="center"/>
                </w:tcPr>
                <w:p w14:paraId="612CA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eastAsia" w:eastAsia="宋体" w:cs="Times New Roman"/>
                      <w:bCs/>
                      <w:color w:val="auto"/>
                      <w:kern w:val="2"/>
                      <w:sz w:val="21"/>
                      <w:szCs w:val="21"/>
                      <w:highlight w:val="none"/>
                      <w:vertAlign w:val="baseline"/>
                      <w:lang w:val="en-US" w:eastAsia="zh-CN" w:bidi="ar-SA"/>
                    </w:rPr>
                    <w:t>0.0</w:t>
                  </w:r>
                  <w:r>
                    <w:rPr>
                      <w:rFonts w:hint="eastAsia" w:cs="Times New Roman"/>
                      <w:bCs/>
                      <w:color w:val="auto"/>
                      <w:kern w:val="2"/>
                      <w:sz w:val="21"/>
                      <w:szCs w:val="21"/>
                      <w:highlight w:val="none"/>
                      <w:vertAlign w:val="baseline"/>
                      <w:lang w:val="en-US" w:eastAsia="zh-CN" w:bidi="ar-SA"/>
                    </w:rPr>
                    <w:t>35</w:t>
                  </w:r>
                </w:p>
              </w:tc>
            </w:tr>
            <w:tr w14:paraId="71B1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925" w:type="dxa"/>
                  <w:gridSpan w:val="2"/>
                  <w:vAlign w:val="center"/>
                </w:tcPr>
                <w:p w14:paraId="7E3402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b/>
                      <w:bCs/>
                      <w:color w:val="auto"/>
                      <w:sz w:val="21"/>
                      <w:szCs w:val="21"/>
                      <w:lang w:val="en-US" w:eastAsia="zh-CN"/>
                    </w:rPr>
                    <w:t>合计</w:t>
                  </w:r>
                </w:p>
              </w:tc>
              <w:tc>
                <w:tcPr>
                  <w:tcW w:w="3314" w:type="dxa"/>
                  <w:vAlign w:val="center"/>
                </w:tcPr>
                <w:p w14:paraId="21DDF4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bCs/>
                      <w:color w:val="auto"/>
                      <w:kern w:val="2"/>
                      <w:sz w:val="21"/>
                      <w:szCs w:val="21"/>
                      <w:highlight w:val="none"/>
                      <w:vertAlign w:val="baseline"/>
                      <w:lang w:val="en-US" w:eastAsia="zh-CN" w:bidi="ar-SA"/>
                    </w:rPr>
                  </w:pPr>
                  <w:r>
                    <w:rPr>
                      <w:rFonts w:hint="eastAsia" w:cs="Times New Roman"/>
                      <w:bCs/>
                      <w:color w:val="auto"/>
                      <w:kern w:val="2"/>
                      <w:sz w:val="21"/>
                      <w:szCs w:val="21"/>
                      <w:highlight w:val="none"/>
                      <w:vertAlign w:val="baseline"/>
                      <w:lang w:val="en-US" w:eastAsia="zh-CN" w:bidi="ar-SA"/>
                    </w:rPr>
                    <w:t>1.866</w:t>
                  </w:r>
                </w:p>
              </w:tc>
            </w:tr>
          </w:tbl>
          <w:p w14:paraId="2696591F">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5、项目废气非正常排放情况</w:t>
            </w:r>
          </w:p>
          <w:p w14:paraId="2D22C93B">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eastAsia="宋体"/>
                <w:color w:val="auto"/>
                <w:szCs w:val="24"/>
                <w:lang w:eastAsia="zh-CN"/>
              </w:rPr>
            </w:pPr>
            <w:r>
              <w:rPr>
                <w:color w:val="auto"/>
                <w:szCs w:val="24"/>
              </w:rPr>
              <w:t>本次环评非常排放工况考虑为</w:t>
            </w:r>
            <w:r>
              <w:rPr>
                <w:rFonts w:hint="eastAsia"/>
                <w:color w:val="auto"/>
                <w:szCs w:val="24"/>
                <w:lang w:val="en-US" w:eastAsia="zh-CN"/>
              </w:rPr>
              <w:t>排气筒DA001和排气筒DA003废气处理设施出现故障，废气污染物去除效率降低甚至失去的情况作为废气非正常排放，具体</w:t>
            </w:r>
            <w:r>
              <w:rPr>
                <w:color w:val="auto"/>
                <w:szCs w:val="24"/>
              </w:rPr>
              <w:t>非正常排放情况见下表</w:t>
            </w:r>
            <w:r>
              <w:rPr>
                <w:rFonts w:hint="eastAsia"/>
                <w:color w:val="auto"/>
                <w:szCs w:val="24"/>
                <w:lang w:val="en-US" w:eastAsia="zh-CN"/>
              </w:rPr>
              <w:t>4-8。</w:t>
            </w:r>
          </w:p>
          <w:p w14:paraId="7E63FB90">
            <w:pPr>
              <w:adjustRightInd w:val="0"/>
              <w:snapToGrid w:val="0"/>
              <w:ind w:firstLine="422"/>
              <w:jc w:val="center"/>
              <w:rPr>
                <w:b/>
                <w:bCs/>
                <w:sz w:val="21"/>
                <w:szCs w:val="21"/>
                <w:highlight w:val="none"/>
              </w:rPr>
            </w:pPr>
            <w:r>
              <w:rPr>
                <w:b/>
                <w:bCs/>
                <w:sz w:val="21"/>
                <w:szCs w:val="21"/>
                <w:highlight w:val="none"/>
              </w:rPr>
              <w:t>表</w:t>
            </w:r>
            <w:r>
              <w:rPr>
                <w:rFonts w:hint="eastAsia"/>
                <w:b/>
                <w:bCs/>
                <w:sz w:val="21"/>
                <w:szCs w:val="21"/>
                <w:highlight w:val="none"/>
                <w:lang w:val="en-US" w:eastAsia="zh-CN"/>
              </w:rPr>
              <w:t xml:space="preserve">4-8 </w:t>
            </w:r>
            <w:r>
              <w:rPr>
                <w:b/>
                <w:bCs/>
                <w:sz w:val="21"/>
                <w:szCs w:val="21"/>
                <w:highlight w:val="none"/>
              </w:rPr>
              <w:t xml:space="preserve"> 废气非正常排放情况</w:t>
            </w:r>
          </w:p>
          <w:tbl>
            <w:tblPr>
              <w:tblStyle w:val="15"/>
              <w:tblW w:w="7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
              <w:gridCol w:w="565"/>
              <w:gridCol w:w="1500"/>
              <w:gridCol w:w="881"/>
              <w:gridCol w:w="1038"/>
              <w:gridCol w:w="890"/>
              <w:gridCol w:w="626"/>
              <w:gridCol w:w="578"/>
              <w:gridCol w:w="990"/>
            </w:tblGrid>
            <w:tr w14:paraId="253F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shd w:val="clear" w:color="auto" w:fill="auto"/>
                  <w:vAlign w:val="center"/>
                </w:tcPr>
                <w:p w14:paraId="61C4B44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379" w:type="pct"/>
                  <w:shd w:val="clear" w:color="auto" w:fill="auto"/>
                  <w:vAlign w:val="center"/>
                </w:tcPr>
                <w:p w14:paraId="2847C63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污染源</w:t>
                  </w:r>
                </w:p>
              </w:tc>
              <w:tc>
                <w:tcPr>
                  <w:tcW w:w="1007" w:type="pct"/>
                  <w:shd w:val="clear" w:color="auto" w:fill="auto"/>
                  <w:vAlign w:val="center"/>
                </w:tcPr>
                <w:p w14:paraId="3576137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非正常原因</w:t>
                  </w:r>
                </w:p>
              </w:tc>
              <w:tc>
                <w:tcPr>
                  <w:tcW w:w="591" w:type="pct"/>
                  <w:shd w:val="clear" w:color="auto" w:fill="auto"/>
                  <w:vAlign w:val="center"/>
                </w:tcPr>
                <w:p w14:paraId="519E3B2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w:t>
                  </w:r>
                </w:p>
              </w:tc>
              <w:tc>
                <w:tcPr>
                  <w:tcW w:w="697" w:type="pct"/>
                  <w:shd w:val="clear" w:color="auto" w:fill="auto"/>
                  <w:vAlign w:val="center"/>
                </w:tcPr>
                <w:p w14:paraId="02B208A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非正常排放浓度</w:t>
                  </w:r>
                  <w:r>
                    <w:rPr>
                      <w:rFonts w:hint="default" w:ascii="Times New Roman" w:hAnsi="Times New Roman" w:eastAsia="宋体" w:cs="Times New Roman"/>
                      <w:b/>
                      <w:bCs/>
                      <w:color w:val="auto"/>
                      <w:spacing w:val="-11"/>
                      <w:kern w:val="0"/>
                      <w:sz w:val="21"/>
                      <w:szCs w:val="21"/>
                    </w:rPr>
                    <w:t>（mg/m</w:t>
                  </w:r>
                  <w:r>
                    <w:rPr>
                      <w:rFonts w:hint="default" w:ascii="Times New Roman" w:hAnsi="Times New Roman" w:eastAsia="宋体" w:cs="Times New Roman"/>
                      <w:b/>
                      <w:bCs/>
                      <w:color w:val="auto"/>
                      <w:spacing w:val="-11"/>
                      <w:kern w:val="0"/>
                      <w:sz w:val="21"/>
                      <w:szCs w:val="21"/>
                      <w:vertAlign w:val="superscript"/>
                    </w:rPr>
                    <w:t>3</w:t>
                  </w:r>
                  <w:r>
                    <w:rPr>
                      <w:rFonts w:hint="default" w:ascii="Times New Roman" w:hAnsi="Times New Roman" w:eastAsia="宋体" w:cs="Times New Roman"/>
                      <w:b/>
                      <w:bCs/>
                      <w:color w:val="auto"/>
                      <w:spacing w:val="-11"/>
                      <w:kern w:val="0"/>
                      <w:sz w:val="21"/>
                      <w:szCs w:val="21"/>
                    </w:rPr>
                    <w:t>）</w:t>
                  </w:r>
                </w:p>
              </w:tc>
              <w:tc>
                <w:tcPr>
                  <w:tcW w:w="597" w:type="pct"/>
                  <w:shd w:val="clear" w:color="auto" w:fill="auto"/>
                  <w:vAlign w:val="center"/>
                </w:tcPr>
                <w:p w14:paraId="7C11C90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非正常排放速率（kg/h）</w:t>
                  </w:r>
                </w:p>
              </w:tc>
              <w:tc>
                <w:tcPr>
                  <w:tcW w:w="420" w:type="pct"/>
                  <w:shd w:val="clear" w:color="auto" w:fill="auto"/>
                  <w:vAlign w:val="center"/>
                </w:tcPr>
                <w:p w14:paraId="2B9A864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单次持续时间/h</w:t>
                  </w:r>
                </w:p>
              </w:tc>
              <w:tc>
                <w:tcPr>
                  <w:tcW w:w="388" w:type="pct"/>
                  <w:shd w:val="clear" w:color="auto" w:fill="auto"/>
                  <w:vAlign w:val="center"/>
                </w:tcPr>
                <w:p w14:paraId="318EAF9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年发生频次/次</w:t>
                  </w:r>
                </w:p>
              </w:tc>
              <w:tc>
                <w:tcPr>
                  <w:tcW w:w="665" w:type="pct"/>
                  <w:shd w:val="clear" w:color="auto" w:fill="auto"/>
                  <w:vAlign w:val="center"/>
                </w:tcPr>
                <w:p w14:paraId="6C6D61B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应对</w:t>
                  </w:r>
                </w:p>
                <w:p w14:paraId="6B5D5B5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措施</w:t>
                  </w:r>
                </w:p>
              </w:tc>
            </w:tr>
            <w:tr w14:paraId="4E27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shd w:val="clear" w:color="auto" w:fill="auto"/>
                  <w:noWrap/>
                  <w:vAlign w:val="center"/>
                </w:tcPr>
                <w:p w14:paraId="7696CC1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379" w:type="pct"/>
                  <w:shd w:val="clear" w:color="auto" w:fill="auto"/>
                  <w:noWrap/>
                  <w:vAlign w:val="center"/>
                </w:tcPr>
                <w:p w14:paraId="2621F8EE">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DA001</w:t>
                  </w:r>
                </w:p>
              </w:tc>
              <w:tc>
                <w:tcPr>
                  <w:tcW w:w="1007" w:type="pct"/>
                  <w:shd w:val="clear" w:color="auto" w:fill="auto"/>
                  <w:vAlign w:val="center"/>
                </w:tcPr>
                <w:p w14:paraId="67F96B3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旋风除尘+</w:t>
                  </w:r>
                  <w:r>
                    <w:rPr>
                      <w:rFonts w:hint="default" w:ascii="Times New Roman" w:hAnsi="Times New Roman" w:eastAsia="宋体" w:cs="Times New Roman"/>
                      <w:color w:val="auto"/>
                      <w:kern w:val="0"/>
                      <w:sz w:val="21"/>
                      <w:szCs w:val="21"/>
                      <w:lang w:val="en-US" w:eastAsia="zh-CN"/>
                    </w:rPr>
                    <w:t>布袋</w:t>
                  </w:r>
                  <w:r>
                    <w:rPr>
                      <w:rFonts w:hint="default" w:ascii="Times New Roman" w:hAnsi="Times New Roman" w:eastAsia="宋体" w:cs="Times New Roman"/>
                      <w:color w:val="auto"/>
                      <w:kern w:val="0"/>
                      <w:sz w:val="21"/>
                      <w:szCs w:val="21"/>
                      <w:lang w:eastAsia="zh-CN"/>
                    </w:rPr>
                    <w:t>除尘效率降至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w:t>
                  </w:r>
                </w:p>
              </w:tc>
              <w:tc>
                <w:tcPr>
                  <w:tcW w:w="591" w:type="pct"/>
                  <w:shd w:val="clear" w:color="auto" w:fill="auto"/>
                  <w:vAlign w:val="center"/>
                </w:tcPr>
                <w:p w14:paraId="2806F12F">
                  <w:pPr>
                    <w:pStyle w:val="2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eastAsia="zh-CN"/>
                    </w:rPr>
                    <w:t>颗粒物</w:t>
                  </w:r>
                </w:p>
              </w:tc>
              <w:tc>
                <w:tcPr>
                  <w:tcW w:w="697" w:type="pct"/>
                  <w:shd w:val="clear" w:color="auto" w:fill="auto"/>
                  <w:vAlign w:val="center"/>
                </w:tcPr>
                <w:p w14:paraId="24356203">
                  <w:pPr>
                    <w:pStyle w:val="2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78.491</w:t>
                  </w:r>
                </w:p>
              </w:tc>
              <w:tc>
                <w:tcPr>
                  <w:tcW w:w="597" w:type="pct"/>
                  <w:shd w:val="clear" w:color="auto" w:fill="auto"/>
                  <w:vAlign w:val="center"/>
                </w:tcPr>
                <w:p w14:paraId="35BBACE0">
                  <w:pPr>
                    <w:pStyle w:val="29"/>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5.503</w:t>
                  </w:r>
                </w:p>
              </w:tc>
              <w:tc>
                <w:tcPr>
                  <w:tcW w:w="420" w:type="pct"/>
                  <w:shd w:val="clear" w:color="auto" w:fill="auto"/>
                  <w:noWrap/>
                  <w:vAlign w:val="center"/>
                </w:tcPr>
                <w:p w14:paraId="7493F9A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w:t>
                  </w:r>
                </w:p>
              </w:tc>
              <w:tc>
                <w:tcPr>
                  <w:tcW w:w="388" w:type="pct"/>
                  <w:shd w:val="clear" w:color="auto" w:fill="auto"/>
                  <w:noWrap/>
                  <w:vAlign w:val="center"/>
                </w:tcPr>
                <w:p w14:paraId="72201FD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1-2</w:t>
                  </w:r>
                </w:p>
              </w:tc>
              <w:tc>
                <w:tcPr>
                  <w:tcW w:w="665" w:type="pct"/>
                  <w:vMerge w:val="restart"/>
                  <w:shd w:val="clear" w:color="auto" w:fill="auto"/>
                  <w:vAlign w:val="center"/>
                </w:tcPr>
                <w:p w14:paraId="0277F98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停产</w:t>
                  </w:r>
                  <w:r>
                    <w:rPr>
                      <w:rFonts w:hint="default" w:ascii="Times New Roman" w:hAnsi="Times New Roman" w:eastAsia="宋体" w:cs="Times New Roman"/>
                      <w:color w:val="auto"/>
                      <w:kern w:val="0"/>
                      <w:sz w:val="21"/>
                      <w:szCs w:val="21"/>
                      <w:lang w:eastAsia="zh-CN"/>
                    </w:rPr>
                    <w:t>并及时检修，待设备运行正常后恢复生产</w:t>
                  </w:r>
                </w:p>
              </w:tc>
            </w:tr>
            <w:tr w14:paraId="488E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restart"/>
                  <w:shd w:val="clear" w:color="auto" w:fill="auto"/>
                  <w:noWrap/>
                  <w:vAlign w:val="center"/>
                </w:tcPr>
                <w:p w14:paraId="1A1B66E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379" w:type="pct"/>
                  <w:vMerge w:val="restart"/>
                  <w:shd w:val="clear" w:color="auto" w:fill="auto"/>
                  <w:noWrap/>
                  <w:vAlign w:val="center"/>
                </w:tcPr>
                <w:p w14:paraId="099FBF9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lang w:val="en-US" w:eastAsia="zh-CN"/>
                    </w:rPr>
                    <w:t>DA003</w:t>
                  </w:r>
                </w:p>
              </w:tc>
              <w:tc>
                <w:tcPr>
                  <w:tcW w:w="1007" w:type="pct"/>
                  <w:vMerge w:val="restart"/>
                  <w:shd w:val="clear" w:color="auto" w:fill="auto"/>
                  <w:vAlign w:val="center"/>
                </w:tcPr>
                <w:p w14:paraId="66C70FC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对沥青烟、苯并[a]芘去除效率降至</w:t>
                  </w:r>
                  <w:r>
                    <w:rPr>
                      <w:rFonts w:hint="eastAsia"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0%，非甲烷总烃去除效率为0，颗粒物去除效率降为50%</w:t>
                  </w:r>
                </w:p>
              </w:tc>
              <w:tc>
                <w:tcPr>
                  <w:tcW w:w="591" w:type="pct"/>
                  <w:shd w:val="clear" w:color="auto" w:fill="auto"/>
                  <w:vAlign w:val="center"/>
                </w:tcPr>
                <w:p w14:paraId="2B660C0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沥青烟</w:t>
                  </w:r>
                </w:p>
              </w:tc>
              <w:tc>
                <w:tcPr>
                  <w:tcW w:w="697" w:type="pct"/>
                  <w:shd w:val="clear" w:color="auto" w:fill="auto"/>
                  <w:vAlign w:val="center"/>
                </w:tcPr>
                <w:p w14:paraId="03125DC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0.073</w:t>
                  </w:r>
                </w:p>
              </w:tc>
              <w:tc>
                <w:tcPr>
                  <w:tcW w:w="597" w:type="pct"/>
                  <w:shd w:val="clear" w:color="auto" w:fill="auto"/>
                  <w:vAlign w:val="center"/>
                </w:tcPr>
                <w:p w14:paraId="0C3F92B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7.3</w:t>
                  </w:r>
                </w:p>
              </w:tc>
              <w:tc>
                <w:tcPr>
                  <w:tcW w:w="420" w:type="pct"/>
                  <w:vMerge w:val="restart"/>
                  <w:shd w:val="clear" w:color="auto" w:fill="auto"/>
                  <w:noWrap/>
                  <w:vAlign w:val="center"/>
                </w:tcPr>
                <w:p w14:paraId="261A6F6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88" w:type="pct"/>
                  <w:vMerge w:val="restart"/>
                  <w:shd w:val="clear" w:color="auto" w:fill="auto"/>
                  <w:noWrap/>
                  <w:vAlign w:val="center"/>
                </w:tcPr>
                <w:p w14:paraId="0C53330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1-2</w:t>
                  </w:r>
                </w:p>
              </w:tc>
              <w:tc>
                <w:tcPr>
                  <w:tcW w:w="665" w:type="pct"/>
                  <w:vMerge w:val="continue"/>
                  <w:shd w:val="clear" w:color="auto" w:fill="auto"/>
                  <w:vAlign w:val="center"/>
                </w:tcPr>
                <w:p w14:paraId="3D2E75B2">
                  <w:pPr>
                    <w:keepNext w:val="0"/>
                    <w:keepLines w:val="0"/>
                    <w:pageBreakBefore w:val="0"/>
                    <w:widowControl/>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auto"/>
                      <w:kern w:val="0"/>
                      <w:sz w:val="21"/>
                      <w:szCs w:val="21"/>
                    </w:rPr>
                  </w:pPr>
                </w:p>
              </w:tc>
            </w:tr>
            <w:tr w14:paraId="2200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continue"/>
                  <w:shd w:val="clear" w:color="auto" w:fill="auto"/>
                  <w:noWrap/>
                  <w:vAlign w:val="center"/>
                </w:tcPr>
                <w:p w14:paraId="6785727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379" w:type="pct"/>
                  <w:vMerge w:val="continue"/>
                  <w:shd w:val="clear" w:color="auto" w:fill="auto"/>
                  <w:noWrap/>
                  <w:vAlign w:val="center"/>
                </w:tcPr>
                <w:p w14:paraId="0FEB85D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007" w:type="pct"/>
                  <w:vMerge w:val="continue"/>
                  <w:shd w:val="clear" w:color="auto" w:fill="auto"/>
                  <w:vAlign w:val="center"/>
                </w:tcPr>
                <w:p w14:paraId="4304FB9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591" w:type="pct"/>
                  <w:shd w:val="clear" w:color="auto" w:fill="auto"/>
                  <w:vAlign w:val="center"/>
                </w:tcPr>
                <w:p w14:paraId="6C561C6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苯并</w:t>
                  </w:r>
                  <w:r>
                    <w:rPr>
                      <w:rStyle w:val="30"/>
                      <w:rFonts w:hint="default" w:ascii="Times New Roman" w:hAnsi="Times New Roman" w:eastAsia="宋体" w:cs="Times New Roman"/>
                      <w:color w:val="auto"/>
                      <w:sz w:val="21"/>
                      <w:szCs w:val="21"/>
                      <w:lang w:val="en-US" w:eastAsia="zh-CN" w:bidi="ar"/>
                    </w:rPr>
                    <w:t>[a]</w:t>
                  </w:r>
                  <w:r>
                    <w:rPr>
                      <w:rStyle w:val="31"/>
                      <w:rFonts w:hint="default" w:ascii="Times New Roman" w:hAnsi="Times New Roman" w:eastAsia="宋体" w:cs="Times New Roman"/>
                      <w:color w:val="auto"/>
                      <w:sz w:val="21"/>
                      <w:szCs w:val="21"/>
                      <w:lang w:val="en-US" w:eastAsia="zh-CN" w:bidi="ar"/>
                    </w:rPr>
                    <w:t>芘</w:t>
                  </w:r>
                </w:p>
              </w:tc>
              <w:tc>
                <w:tcPr>
                  <w:tcW w:w="697" w:type="pct"/>
                  <w:shd w:val="clear" w:color="auto" w:fill="auto"/>
                  <w:vAlign w:val="center"/>
                </w:tcPr>
                <w:p w14:paraId="79FD6EC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1.39</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-4</w:t>
                  </w:r>
                </w:p>
              </w:tc>
              <w:tc>
                <w:tcPr>
                  <w:tcW w:w="597" w:type="pct"/>
                  <w:shd w:val="clear" w:color="auto" w:fill="auto"/>
                  <w:vAlign w:val="center"/>
                </w:tcPr>
                <w:p w14:paraId="2DA222D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0.014</w:t>
                  </w:r>
                </w:p>
              </w:tc>
              <w:tc>
                <w:tcPr>
                  <w:tcW w:w="420" w:type="pct"/>
                  <w:vMerge w:val="continue"/>
                  <w:shd w:val="clear" w:color="auto" w:fill="auto"/>
                  <w:noWrap/>
                  <w:vAlign w:val="center"/>
                </w:tcPr>
                <w:p w14:paraId="7A98435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0"/>
                      <w:sz w:val="21"/>
                      <w:szCs w:val="21"/>
                    </w:rPr>
                  </w:pPr>
                </w:p>
              </w:tc>
              <w:tc>
                <w:tcPr>
                  <w:tcW w:w="388" w:type="pct"/>
                  <w:vMerge w:val="continue"/>
                  <w:shd w:val="clear" w:color="auto" w:fill="auto"/>
                  <w:noWrap/>
                  <w:vAlign w:val="center"/>
                </w:tcPr>
                <w:p w14:paraId="49D4755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0"/>
                      <w:sz w:val="21"/>
                      <w:szCs w:val="21"/>
                      <w:lang w:val="en-US" w:eastAsia="zh-CN"/>
                    </w:rPr>
                  </w:pPr>
                </w:p>
              </w:tc>
              <w:tc>
                <w:tcPr>
                  <w:tcW w:w="665" w:type="pct"/>
                  <w:vMerge w:val="continue"/>
                  <w:shd w:val="clear" w:color="auto" w:fill="auto"/>
                  <w:vAlign w:val="center"/>
                </w:tcPr>
                <w:p w14:paraId="64436F5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0"/>
                      <w:sz w:val="21"/>
                      <w:szCs w:val="21"/>
                    </w:rPr>
                  </w:pPr>
                </w:p>
              </w:tc>
            </w:tr>
            <w:tr w14:paraId="38EB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continue"/>
                  <w:shd w:val="clear" w:color="auto" w:fill="auto"/>
                  <w:noWrap/>
                  <w:vAlign w:val="center"/>
                </w:tcPr>
                <w:p w14:paraId="033CB52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379" w:type="pct"/>
                  <w:vMerge w:val="continue"/>
                  <w:shd w:val="clear" w:color="auto" w:fill="auto"/>
                  <w:noWrap/>
                  <w:vAlign w:val="center"/>
                </w:tcPr>
                <w:p w14:paraId="4640966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007" w:type="pct"/>
                  <w:vMerge w:val="continue"/>
                  <w:shd w:val="clear" w:color="auto" w:fill="auto"/>
                  <w:vAlign w:val="center"/>
                </w:tcPr>
                <w:p w14:paraId="0A68E59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591" w:type="pct"/>
                  <w:shd w:val="clear" w:color="auto" w:fill="auto"/>
                  <w:vAlign w:val="center"/>
                </w:tcPr>
                <w:p w14:paraId="6E52739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97" w:type="pct"/>
                  <w:shd w:val="clear" w:color="auto" w:fill="auto"/>
                  <w:vAlign w:val="center"/>
                </w:tcPr>
                <w:p w14:paraId="7648EC2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051</w:t>
                  </w:r>
                </w:p>
              </w:tc>
              <w:tc>
                <w:tcPr>
                  <w:tcW w:w="597" w:type="pct"/>
                  <w:shd w:val="clear" w:color="auto" w:fill="auto"/>
                  <w:vAlign w:val="center"/>
                </w:tcPr>
                <w:p w14:paraId="11AF2D38">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5.1</w:t>
                  </w:r>
                </w:p>
              </w:tc>
              <w:tc>
                <w:tcPr>
                  <w:tcW w:w="420" w:type="pct"/>
                  <w:vMerge w:val="continue"/>
                  <w:shd w:val="clear" w:color="auto" w:fill="auto"/>
                  <w:noWrap/>
                  <w:vAlign w:val="center"/>
                </w:tcPr>
                <w:p w14:paraId="33A8A75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0"/>
                      <w:sz w:val="21"/>
                      <w:szCs w:val="21"/>
                    </w:rPr>
                  </w:pPr>
                </w:p>
              </w:tc>
              <w:tc>
                <w:tcPr>
                  <w:tcW w:w="388" w:type="pct"/>
                  <w:vMerge w:val="continue"/>
                  <w:shd w:val="clear" w:color="auto" w:fill="auto"/>
                  <w:noWrap/>
                  <w:vAlign w:val="center"/>
                </w:tcPr>
                <w:p w14:paraId="41B48F0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0"/>
                      <w:sz w:val="21"/>
                      <w:szCs w:val="21"/>
                      <w:lang w:val="en-US" w:eastAsia="zh-CN"/>
                    </w:rPr>
                  </w:pPr>
                </w:p>
              </w:tc>
              <w:tc>
                <w:tcPr>
                  <w:tcW w:w="665" w:type="pct"/>
                  <w:vMerge w:val="continue"/>
                  <w:shd w:val="clear" w:color="auto" w:fill="auto"/>
                  <w:vAlign w:val="center"/>
                </w:tcPr>
                <w:p w14:paraId="3F5190F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0"/>
                      <w:sz w:val="21"/>
                      <w:szCs w:val="21"/>
                    </w:rPr>
                  </w:pPr>
                </w:p>
              </w:tc>
            </w:tr>
            <w:tr w14:paraId="73C2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1" w:type="pct"/>
                  <w:vMerge w:val="continue"/>
                  <w:shd w:val="clear" w:color="auto" w:fill="auto"/>
                  <w:noWrap/>
                  <w:vAlign w:val="center"/>
                </w:tcPr>
                <w:p w14:paraId="37D0969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379" w:type="pct"/>
                  <w:vMerge w:val="continue"/>
                  <w:shd w:val="clear" w:color="auto" w:fill="auto"/>
                  <w:noWrap/>
                  <w:vAlign w:val="center"/>
                </w:tcPr>
                <w:p w14:paraId="0148237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007" w:type="pct"/>
                  <w:vMerge w:val="continue"/>
                  <w:shd w:val="clear" w:color="auto" w:fill="auto"/>
                  <w:vAlign w:val="center"/>
                </w:tcPr>
                <w:p w14:paraId="030F51B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auto"/>
                      <w:kern w:val="0"/>
                      <w:sz w:val="21"/>
                      <w:szCs w:val="21"/>
                    </w:rPr>
                  </w:pPr>
                </w:p>
              </w:tc>
              <w:tc>
                <w:tcPr>
                  <w:tcW w:w="591" w:type="pct"/>
                  <w:shd w:val="clear" w:color="auto" w:fill="auto"/>
                  <w:vAlign w:val="center"/>
                </w:tcPr>
                <w:p w14:paraId="196DBD2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697" w:type="pct"/>
                  <w:shd w:val="clear" w:color="auto" w:fill="auto"/>
                  <w:vAlign w:val="center"/>
                </w:tcPr>
                <w:p w14:paraId="55652D1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0.681</w:t>
                  </w:r>
                </w:p>
              </w:tc>
              <w:tc>
                <w:tcPr>
                  <w:tcW w:w="597" w:type="pct"/>
                  <w:shd w:val="clear" w:color="auto" w:fill="auto"/>
                  <w:vAlign w:val="center"/>
                </w:tcPr>
                <w:p w14:paraId="069A3A4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68.1</w:t>
                  </w:r>
                </w:p>
              </w:tc>
              <w:tc>
                <w:tcPr>
                  <w:tcW w:w="420" w:type="pct"/>
                  <w:vMerge w:val="continue"/>
                  <w:shd w:val="clear" w:color="auto" w:fill="auto"/>
                  <w:noWrap/>
                  <w:vAlign w:val="center"/>
                </w:tcPr>
                <w:p w14:paraId="297860B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0"/>
                      <w:sz w:val="21"/>
                      <w:szCs w:val="21"/>
                    </w:rPr>
                  </w:pPr>
                </w:p>
              </w:tc>
              <w:tc>
                <w:tcPr>
                  <w:tcW w:w="388" w:type="pct"/>
                  <w:vMerge w:val="continue"/>
                  <w:shd w:val="clear" w:color="auto" w:fill="auto"/>
                  <w:noWrap/>
                  <w:vAlign w:val="center"/>
                </w:tcPr>
                <w:p w14:paraId="6F2B2BA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0"/>
                      <w:sz w:val="21"/>
                      <w:szCs w:val="21"/>
                      <w:lang w:val="en-US" w:eastAsia="zh-CN"/>
                    </w:rPr>
                  </w:pPr>
                </w:p>
              </w:tc>
              <w:tc>
                <w:tcPr>
                  <w:tcW w:w="665" w:type="pct"/>
                  <w:vMerge w:val="continue"/>
                  <w:shd w:val="clear" w:color="auto" w:fill="auto"/>
                  <w:vAlign w:val="center"/>
                </w:tcPr>
                <w:p w14:paraId="6C326CA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FF"/>
                      <w:kern w:val="0"/>
                      <w:sz w:val="21"/>
                      <w:szCs w:val="21"/>
                    </w:rPr>
                  </w:pPr>
                </w:p>
              </w:tc>
            </w:tr>
          </w:tbl>
          <w:p w14:paraId="2110C43D">
            <w:pPr>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rPr>
                <w:szCs w:val="24"/>
              </w:rPr>
            </w:pPr>
            <w:r>
              <w:rPr>
                <w:szCs w:val="24"/>
              </w:rPr>
              <w:t>为了进一步降低生产废气排放对周围环境空气的影响，本次评价提出以下建议措施：</w:t>
            </w:r>
          </w:p>
          <w:p w14:paraId="1B4524BD">
            <w:pPr>
              <w:adjustRightInd w:val="0"/>
              <w:snapToGrid w:val="0"/>
              <w:ind w:firstLine="480"/>
              <w:rPr>
                <w:szCs w:val="24"/>
              </w:rPr>
            </w:pPr>
            <w:r>
              <w:rPr>
                <w:rFonts w:hint="eastAsia" w:ascii="宋体" w:hAnsi="宋体" w:cs="宋体"/>
                <w:szCs w:val="24"/>
              </w:rPr>
              <w:t>①</w:t>
            </w:r>
            <w:r>
              <w:rPr>
                <w:szCs w:val="24"/>
              </w:rPr>
              <w:t>加强管理，定期检查、维修、保养废气处理设备及构建，确保运作正常。</w:t>
            </w:r>
          </w:p>
          <w:p w14:paraId="469F3290">
            <w:pPr>
              <w:adjustRightInd w:val="0"/>
              <w:snapToGrid w:val="0"/>
              <w:ind w:firstLine="480"/>
              <w:rPr>
                <w:szCs w:val="24"/>
              </w:rPr>
            </w:pPr>
            <w:r>
              <w:rPr>
                <w:rFonts w:hint="eastAsia" w:ascii="宋体" w:hAnsi="宋体" w:cs="宋体"/>
                <w:szCs w:val="24"/>
              </w:rPr>
              <w:t>②</w:t>
            </w:r>
            <w:r>
              <w:rPr>
                <w:szCs w:val="24"/>
              </w:rPr>
              <w:t>在必要位置设置监控、预警装置，做的及时发现，及时解决。</w:t>
            </w:r>
          </w:p>
          <w:p w14:paraId="4A5EAFFE">
            <w:pPr>
              <w:adjustRightInd w:val="0"/>
              <w:snapToGrid w:val="0"/>
              <w:ind w:firstLine="480"/>
              <w:rPr>
                <w:color w:val="auto"/>
                <w:szCs w:val="24"/>
              </w:rPr>
            </w:pPr>
            <w:r>
              <w:rPr>
                <w:rFonts w:hint="eastAsia" w:ascii="宋体" w:hAnsi="宋体" w:cs="宋体"/>
                <w:color w:val="auto"/>
                <w:szCs w:val="24"/>
              </w:rPr>
              <w:t>③</w:t>
            </w:r>
            <w:r>
              <w:rPr>
                <w:color w:val="auto"/>
                <w:szCs w:val="24"/>
              </w:rPr>
              <w:t>出现非正常情况，及时停止</w:t>
            </w:r>
            <w:r>
              <w:rPr>
                <w:rFonts w:hint="eastAsia"/>
                <w:color w:val="auto"/>
                <w:szCs w:val="24"/>
              </w:rPr>
              <w:t>生产</w:t>
            </w:r>
            <w:r>
              <w:rPr>
                <w:color w:val="auto"/>
                <w:szCs w:val="24"/>
              </w:rPr>
              <w:t>并维修，</w:t>
            </w:r>
            <w:r>
              <w:rPr>
                <w:rFonts w:hint="default"/>
                <w:color w:val="auto"/>
                <w:szCs w:val="24"/>
                <w:lang w:eastAsia="zh-CN"/>
              </w:rPr>
              <w:t>待设备运行正常后恢复生产</w:t>
            </w:r>
            <w:r>
              <w:rPr>
                <w:rFonts w:hint="eastAsia"/>
                <w:color w:val="auto"/>
                <w:szCs w:val="24"/>
                <w:lang w:eastAsia="zh-CN"/>
              </w:rPr>
              <w:t>，</w:t>
            </w:r>
            <w:r>
              <w:rPr>
                <w:color w:val="auto"/>
                <w:szCs w:val="24"/>
              </w:rPr>
              <w:t>减少废气对大气环境的不利影响。</w:t>
            </w:r>
          </w:p>
          <w:p w14:paraId="79B22710">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（二）</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废气治理措施可行性分析</w:t>
            </w:r>
          </w:p>
          <w:p w14:paraId="5D57AAB9">
            <w:pPr>
              <w:widowControl/>
              <w:ind w:firstLine="480"/>
              <w:jc w:val="left"/>
              <w:rPr>
                <w:rFonts w:hint="default" w:eastAsia="宋体"/>
                <w:kern w:val="0"/>
                <w:szCs w:val="24"/>
                <w:lang w:val="en-US" w:eastAsia="zh-CN" w:bidi="ar"/>
              </w:rPr>
            </w:pPr>
            <w:r>
              <w:rPr>
                <w:rFonts w:hint="eastAsia"/>
                <w:kern w:val="0"/>
                <w:szCs w:val="24"/>
                <w:lang w:val="en-US" w:eastAsia="zh-CN" w:bidi="ar"/>
              </w:rPr>
              <w:t>本项目产生废气经处理后，排气筒DA001排放达到《大气污染物综合排放标准》（GB16297-1996）表2规定相关标准要求，排气筒DA002排放达到</w:t>
            </w:r>
            <w:r>
              <w:rPr>
                <w:rFonts w:hint="default"/>
                <w:kern w:val="0"/>
                <w:szCs w:val="24"/>
                <w:lang w:val="en-US" w:eastAsia="zh-CN" w:bidi="ar"/>
              </w:rPr>
              <w:t>《锅炉大气污染物排放标准》</w:t>
            </w:r>
            <w:r>
              <w:rPr>
                <w:rFonts w:hint="eastAsia"/>
                <w:kern w:val="0"/>
                <w:szCs w:val="24"/>
                <w:lang w:val="en-US" w:eastAsia="zh-CN" w:bidi="ar"/>
              </w:rPr>
              <w:t>（GB13271-2014代替GB 13271-2001）中表2大气污染物排放限值中的燃油锅炉浓度限值要求，排气筒DA003排放达到达到《大气污染物综合排放标准》（GB16297-1996）表2规定新污染物源大气污染物排放限值要求。</w:t>
            </w:r>
          </w:p>
          <w:p w14:paraId="3A19B8E2">
            <w:pPr>
              <w:widowControl/>
              <w:ind w:firstLine="480"/>
              <w:jc w:val="left"/>
              <w:rPr>
                <w:kern w:val="0"/>
                <w:szCs w:val="24"/>
                <w:lang w:bidi="ar"/>
              </w:rPr>
            </w:pPr>
            <w:r>
              <w:rPr>
                <w:rFonts w:hint="eastAsia"/>
                <w:kern w:val="0"/>
                <w:szCs w:val="24"/>
                <w:lang w:val="en-US" w:eastAsia="zh-CN" w:bidi="ar"/>
              </w:rPr>
              <w:t>对照</w:t>
            </w:r>
            <w:r>
              <w:rPr>
                <w:rFonts w:hint="eastAsia"/>
                <w:kern w:val="0"/>
                <w:szCs w:val="24"/>
                <w:lang w:bidi="ar"/>
              </w:rPr>
              <w:t>《排污许可证申请与核发技术规范</w:t>
            </w:r>
            <w:r>
              <w:rPr>
                <w:rFonts w:hint="eastAsia"/>
                <w:kern w:val="0"/>
                <w:szCs w:val="24"/>
                <w:lang w:val="en-US" w:eastAsia="zh-CN" w:bidi="ar"/>
              </w:rPr>
              <w:t xml:space="preserve"> </w:t>
            </w:r>
            <w:r>
              <w:rPr>
                <w:rFonts w:hint="eastAsia"/>
                <w:kern w:val="0"/>
                <w:szCs w:val="24"/>
                <w:lang w:bidi="ar"/>
              </w:rPr>
              <w:t>石墨及其他非金属矿物制品制造》（HJ1119-2020）表</w:t>
            </w:r>
            <w:r>
              <w:rPr>
                <w:kern w:val="0"/>
                <w:szCs w:val="24"/>
                <w:lang w:bidi="ar"/>
              </w:rPr>
              <w:t>A.1</w:t>
            </w:r>
            <w:r>
              <w:rPr>
                <w:rFonts w:hint="eastAsia"/>
                <w:kern w:val="0"/>
                <w:szCs w:val="24"/>
                <w:lang w:bidi="ar"/>
              </w:rPr>
              <w:t>中污染防治设施及《排污许可证申请与核发技术规范</w:t>
            </w:r>
            <w:r>
              <w:rPr>
                <w:rFonts w:hint="eastAsia"/>
                <w:kern w:val="0"/>
                <w:szCs w:val="24"/>
                <w:lang w:val="en-US" w:eastAsia="zh-CN" w:bidi="ar"/>
              </w:rPr>
              <w:t xml:space="preserve"> </w:t>
            </w:r>
            <w:r>
              <w:rPr>
                <w:rFonts w:hint="eastAsia"/>
                <w:kern w:val="0"/>
                <w:szCs w:val="24"/>
                <w:lang w:bidi="ar"/>
              </w:rPr>
              <w:t>锅炉》</w:t>
            </w:r>
            <w:r>
              <w:rPr>
                <w:rFonts w:hint="eastAsia"/>
                <w:kern w:val="0"/>
                <w:szCs w:val="24"/>
                <w:lang w:eastAsia="zh-CN" w:bidi="ar"/>
              </w:rPr>
              <w:t>（</w:t>
            </w:r>
            <w:r>
              <w:rPr>
                <w:rFonts w:hint="eastAsia"/>
                <w:kern w:val="0"/>
                <w:szCs w:val="24"/>
                <w:lang w:bidi="ar"/>
              </w:rPr>
              <w:t>HJ</w:t>
            </w:r>
            <w:r>
              <w:rPr>
                <w:kern w:val="0"/>
                <w:szCs w:val="24"/>
                <w:lang w:bidi="ar"/>
              </w:rPr>
              <w:t>953</w:t>
            </w:r>
            <w:r>
              <w:rPr>
                <w:rFonts w:hint="eastAsia"/>
                <w:kern w:val="0"/>
                <w:szCs w:val="24"/>
                <w:lang w:bidi="ar"/>
              </w:rPr>
              <w:t>-2018</w:t>
            </w:r>
            <w:r>
              <w:rPr>
                <w:rFonts w:hint="eastAsia"/>
                <w:kern w:val="0"/>
                <w:szCs w:val="24"/>
                <w:lang w:eastAsia="zh-CN" w:bidi="ar"/>
              </w:rPr>
              <w:t>）</w:t>
            </w:r>
            <w:r>
              <w:rPr>
                <w:rFonts w:hint="eastAsia"/>
                <w:kern w:val="0"/>
                <w:szCs w:val="24"/>
                <w:lang w:bidi="ar"/>
              </w:rPr>
              <w:t>表</w:t>
            </w:r>
            <w:r>
              <w:rPr>
                <w:kern w:val="0"/>
                <w:szCs w:val="24"/>
                <w:lang w:bidi="ar"/>
              </w:rPr>
              <w:t>7</w:t>
            </w:r>
            <w:r>
              <w:rPr>
                <w:rFonts w:hint="eastAsia"/>
                <w:kern w:val="0"/>
                <w:szCs w:val="24"/>
                <w:lang w:bidi="ar"/>
              </w:rPr>
              <w:t>中污染防治设施名称及工艺</w:t>
            </w:r>
            <w:r>
              <w:rPr>
                <w:rFonts w:hint="eastAsia"/>
                <w:kern w:val="0"/>
                <w:szCs w:val="24"/>
                <w:lang w:eastAsia="zh-CN" w:bidi="ar"/>
              </w:rPr>
              <w:t>，</w:t>
            </w:r>
            <w:r>
              <w:rPr>
                <w:rFonts w:hint="eastAsia"/>
                <w:kern w:val="0"/>
                <w:szCs w:val="24"/>
                <w:lang w:val="en-US" w:eastAsia="zh-CN" w:bidi="ar"/>
              </w:rPr>
              <w:t>对照情况详见下表4-9。</w:t>
            </w:r>
          </w:p>
          <w:p w14:paraId="07D67C2A">
            <w:pPr>
              <w:pStyle w:val="32"/>
              <w:jc w:val="center"/>
              <w:rPr>
                <w:rFonts w:ascii="Times New Roman" w:hAnsi="Times New Roman" w:eastAsia="宋体"/>
                <w:b/>
                <w:bCs/>
              </w:rPr>
            </w:pPr>
            <w:r>
              <w:rPr>
                <w:rFonts w:hint="eastAsia" w:ascii="Times New Roman" w:hAnsi="Times New Roman" w:eastAsia="宋体"/>
                <w:b/>
                <w:bCs/>
              </w:rPr>
              <w:t>表</w:t>
            </w:r>
            <w:r>
              <w:rPr>
                <w:rFonts w:hint="eastAsia" w:ascii="Times New Roman" w:hAnsi="Times New Roman" w:eastAsia="宋体"/>
                <w:b/>
                <w:bCs/>
                <w:lang w:val="en-US" w:eastAsia="zh-CN"/>
              </w:rPr>
              <w:t xml:space="preserve">4-9 </w:t>
            </w:r>
            <w:r>
              <w:rPr>
                <w:rFonts w:ascii="Times New Roman" w:hAnsi="Times New Roman" w:eastAsia="宋体"/>
                <w:b/>
                <w:bCs/>
              </w:rPr>
              <w:t xml:space="preserve"> </w:t>
            </w:r>
            <w:r>
              <w:rPr>
                <w:rFonts w:hint="eastAsia" w:ascii="Times New Roman" w:hAnsi="Times New Roman" w:eastAsia="宋体"/>
                <w:b/>
                <w:bCs/>
              </w:rPr>
              <w:t>废气污染防治可行技术参照表</w:t>
            </w:r>
          </w:p>
          <w:tbl>
            <w:tblPr>
              <w:tblStyle w:val="16"/>
              <w:tblW w:w="7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160"/>
              <w:gridCol w:w="681"/>
              <w:gridCol w:w="1934"/>
              <w:gridCol w:w="1457"/>
              <w:gridCol w:w="801"/>
            </w:tblGrid>
            <w:tr w14:paraId="5E4B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344" w:type="dxa"/>
                  <w:vAlign w:val="center"/>
                </w:tcPr>
                <w:p w14:paraId="4A66045D">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生产单元或设施废气</w:t>
                  </w:r>
                </w:p>
              </w:tc>
              <w:tc>
                <w:tcPr>
                  <w:tcW w:w="1160" w:type="dxa"/>
                  <w:vAlign w:val="center"/>
                </w:tcPr>
                <w:p w14:paraId="46C24AF6">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污染物种类</w:t>
                  </w:r>
                </w:p>
              </w:tc>
              <w:tc>
                <w:tcPr>
                  <w:tcW w:w="681" w:type="dxa"/>
                  <w:vAlign w:val="center"/>
                </w:tcPr>
                <w:p w14:paraId="26C29DC7">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排放形式</w:t>
                  </w:r>
                </w:p>
              </w:tc>
              <w:tc>
                <w:tcPr>
                  <w:tcW w:w="1934" w:type="dxa"/>
                  <w:vAlign w:val="center"/>
                </w:tcPr>
                <w:p w14:paraId="132BB00A">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可行性技术</w:t>
                  </w:r>
                </w:p>
              </w:tc>
              <w:tc>
                <w:tcPr>
                  <w:tcW w:w="1457" w:type="dxa"/>
                  <w:vAlign w:val="center"/>
                </w:tcPr>
                <w:p w14:paraId="0E0D33D2">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项目技术</w:t>
                  </w:r>
                </w:p>
              </w:tc>
              <w:tc>
                <w:tcPr>
                  <w:tcW w:w="801" w:type="dxa"/>
                  <w:vAlign w:val="center"/>
                </w:tcPr>
                <w:p w14:paraId="2B89BE01">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是否可行</w:t>
                  </w:r>
                </w:p>
              </w:tc>
            </w:tr>
            <w:tr w14:paraId="0537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344" w:type="dxa"/>
                  <w:shd w:val="clear" w:color="auto" w:fill="auto"/>
                  <w:vAlign w:val="center"/>
                </w:tcPr>
                <w:p w14:paraId="24C40C54">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bCs/>
                      <w:color w:val="auto"/>
                      <w:sz w:val="21"/>
                      <w:szCs w:val="21"/>
                      <w:lang w:val="en-US" w:eastAsia="zh-CN"/>
                    </w:rPr>
                    <w:t>DA001</w:t>
                  </w:r>
                </w:p>
              </w:tc>
              <w:tc>
                <w:tcPr>
                  <w:tcW w:w="1160" w:type="dxa"/>
                  <w:shd w:val="clear" w:color="auto" w:fill="auto"/>
                  <w:vAlign w:val="center"/>
                </w:tcPr>
                <w:p w14:paraId="0EE87C6A">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颗粒物</w:t>
                  </w:r>
                </w:p>
              </w:tc>
              <w:tc>
                <w:tcPr>
                  <w:tcW w:w="681" w:type="dxa"/>
                  <w:shd w:val="clear" w:color="auto" w:fill="auto"/>
                  <w:vAlign w:val="center"/>
                </w:tcPr>
                <w:p w14:paraId="665E6205">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有组织</w:t>
                  </w:r>
                </w:p>
              </w:tc>
              <w:tc>
                <w:tcPr>
                  <w:tcW w:w="1934" w:type="dxa"/>
                  <w:shd w:val="clear" w:color="auto" w:fill="auto"/>
                  <w:vAlign w:val="center"/>
                </w:tcPr>
                <w:p w14:paraId="256D1C2D">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旋风除尘+布袋除尘、旋风除尘+静电除尘</w:t>
                  </w:r>
                </w:p>
              </w:tc>
              <w:tc>
                <w:tcPr>
                  <w:tcW w:w="1457" w:type="dxa"/>
                  <w:shd w:val="clear" w:color="auto" w:fill="auto"/>
                  <w:vAlign w:val="center"/>
                </w:tcPr>
                <w:p w14:paraId="2C9B585C">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旋风除尘+布袋除尘</w:t>
                  </w:r>
                </w:p>
              </w:tc>
              <w:tc>
                <w:tcPr>
                  <w:tcW w:w="801" w:type="dxa"/>
                  <w:shd w:val="clear" w:color="auto" w:fill="auto"/>
                  <w:vAlign w:val="center"/>
                </w:tcPr>
                <w:p w14:paraId="726A7CE6">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是</w:t>
                  </w:r>
                </w:p>
              </w:tc>
            </w:tr>
            <w:tr w14:paraId="093A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44" w:type="dxa"/>
                  <w:vMerge w:val="restart"/>
                  <w:vAlign w:val="center"/>
                </w:tcPr>
                <w:p w14:paraId="3E39322B">
                  <w:pPr>
                    <w:pStyle w:val="5"/>
                    <w:keepNext w:val="0"/>
                    <w:keepLines w:val="0"/>
                    <w:pageBreakBefore w:val="0"/>
                    <w:kinsoku/>
                    <w:wordWrap/>
                    <w:overflowPunct/>
                    <w:topLinePunct w:val="0"/>
                    <w:autoSpaceDE/>
                    <w:autoSpaceDN/>
                    <w:bidi w:val="0"/>
                    <w:spacing w:line="360" w:lineRule="exact"/>
                    <w:jc w:val="center"/>
                    <w:textAlignment w:val="auto"/>
                    <w:rPr>
                      <w:rFonts w:hint="default" w:eastAsia="宋体"/>
                      <w:color w:val="auto"/>
                      <w:sz w:val="21"/>
                      <w:szCs w:val="21"/>
                      <w:lang w:val="en-US" w:eastAsia="zh-CN"/>
                    </w:rPr>
                  </w:pPr>
                  <w:r>
                    <w:rPr>
                      <w:rFonts w:hint="eastAsia"/>
                      <w:color w:val="auto"/>
                      <w:sz w:val="21"/>
                      <w:szCs w:val="21"/>
                      <w:lang w:val="en-US" w:eastAsia="zh-CN"/>
                    </w:rPr>
                    <w:t>DA002</w:t>
                  </w:r>
                </w:p>
              </w:tc>
              <w:tc>
                <w:tcPr>
                  <w:tcW w:w="1160" w:type="dxa"/>
                  <w:vAlign w:val="center"/>
                </w:tcPr>
                <w:p w14:paraId="334678AF">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颗粒物</w:t>
                  </w:r>
                </w:p>
              </w:tc>
              <w:tc>
                <w:tcPr>
                  <w:tcW w:w="681" w:type="dxa"/>
                  <w:vMerge w:val="restart"/>
                  <w:vAlign w:val="center"/>
                </w:tcPr>
                <w:p w14:paraId="31909BFB">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有组织</w:t>
                  </w:r>
                </w:p>
              </w:tc>
              <w:tc>
                <w:tcPr>
                  <w:tcW w:w="1934" w:type="dxa"/>
                  <w:vAlign w:val="center"/>
                </w:tcPr>
                <w:p w14:paraId="13BCADD3">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袋式除尘技术</w:t>
                  </w:r>
                </w:p>
              </w:tc>
              <w:tc>
                <w:tcPr>
                  <w:tcW w:w="1457" w:type="dxa"/>
                  <w:vAlign w:val="center"/>
                </w:tcPr>
                <w:p w14:paraId="48652FA0">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w:t>
                  </w:r>
                </w:p>
              </w:tc>
              <w:tc>
                <w:tcPr>
                  <w:tcW w:w="801" w:type="dxa"/>
                  <w:vAlign w:val="center"/>
                </w:tcPr>
                <w:p w14:paraId="6CE0DAE6">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0000FF"/>
                      <w:sz w:val="21"/>
                      <w:szCs w:val="21"/>
                    </w:rPr>
                    <w:t>/</w:t>
                  </w:r>
                </w:p>
              </w:tc>
            </w:tr>
            <w:tr w14:paraId="07E3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344" w:type="dxa"/>
                  <w:vMerge w:val="continue"/>
                  <w:vAlign w:val="center"/>
                </w:tcPr>
                <w:p w14:paraId="27EEA77D">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p>
              </w:tc>
              <w:tc>
                <w:tcPr>
                  <w:tcW w:w="1160" w:type="dxa"/>
                  <w:vAlign w:val="center"/>
                </w:tcPr>
                <w:p w14:paraId="099C25A7">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二氧化硫</w:t>
                  </w:r>
                </w:p>
              </w:tc>
              <w:tc>
                <w:tcPr>
                  <w:tcW w:w="681" w:type="dxa"/>
                  <w:vMerge w:val="continue"/>
                  <w:vAlign w:val="center"/>
                </w:tcPr>
                <w:p w14:paraId="465D36D5">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p>
              </w:tc>
              <w:tc>
                <w:tcPr>
                  <w:tcW w:w="1934" w:type="dxa"/>
                  <w:vAlign w:val="center"/>
                </w:tcPr>
                <w:p w14:paraId="010D67F1">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燃用低硫油、湿法脱硫技术</w:t>
                  </w:r>
                </w:p>
              </w:tc>
              <w:tc>
                <w:tcPr>
                  <w:tcW w:w="1457" w:type="dxa"/>
                  <w:vAlign w:val="center"/>
                </w:tcPr>
                <w:p w14:paraId="7A5944DD">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lang w:val="en-US" w:eastAsia="zh-CN"/>
                    </w:rPr>
                    <w:t>使用的为市面上合格的</w:t>
                  </w:r>
                  <w:r>
                    <w:rPr>
                      <w:rFonts w:hint="eastAsia" w:ascii="Times New Roman" w:hAnsi="Times New Roman" w:eastAsia="宋体" w:cs="Times New Roman"/>
                      <w:color w:val="auto"/>
                      <w:sz w:val="21"/>
                      <w:szCs w:val="21"/>
                      <w:lang w:val="en-US" w:eastAsia="zh-CN"/>
                    </w:rPr>
                    <w:t>柴油</w:t>
                  </w:r>
                  <w:r>
                    <w:rPr>
                      <w:rFonts w:hint="eastAsia"/>
                      <w:color w:val="auto"/>
                      <w:sz w:val="21"/>
                      <w:szCs w:val="21"/>
                      <w:lang w:val="en-US" w:eastAsia="zh-CN"/>
                    </w:rPr>
                    <w:t>，属于</w:t>
                  </w:r>
                  <w:r>
                    <w:rPr>
                      <w:rFonts w:hint="eastAsia"/>
                      <w:color w:val="auto"/>
                      <w:sz w:val="21"/>
                      <w:szCs w:val="21"/>
                    </w:rPr>
                    <w:t>低硫油</w:t>
                  </w:r>
                </w:p>
              </w:tc>
              <w:tc>
                <w:tcPr>
                  <w:tcW w:w="801" w:type="dxa"/>
                  <w:vAlign w:val="center"/>
                </w:tcPr>
                <w:p w14:paraId="4DB3DAF4">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lang w:val="en-US" w:eastAsia="zh-CN"/>
                    </w:rPr>
                    <w:t>是</w:t>
                  </w:r>
                </w:p>
              </w:tc>
            </w:tr>
            <w:tr w14:paraId="4538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344" w:type="dxa"/>
                  <w:vMerge w:val="continue"/>
                  <w:vAlign w:val="center"/>
                </w:tcPr>
                <w:p w14:paraId="457D83BF">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p>
              </w:tc>
              <w:tc>
                <w:tcPr>
                  <w:tcW w:w="1160" w:type="dxa"/>
                  <w:vAlign w:val="center"/>
                </w:tcPr>
                <w:p w14:paraId="7B341A1D">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氮氧化物</w:t>
                  </w:r>
                </w:p>
              </w:tc>
              <w:tc>
                <w:tcPr>
                  <w:tcW w:w="681" w:type="dxa"/>
                  <w:vMerge w:val="continue"/>
                  <w:vAlign w:val="center"/>
                </w:tcPr>
                <w:p w14:paraId="18DAC1AD">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p>
              </w:tc>
              <w:tc>
                <w:tcPr>
                  <w:tcW w:w="1934" w:type="dxa"/>
                  <w:vAlign w:val="center"/>
                </w:tcPr>
                <w:p w14:paraId="1B44B622">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olor w:val="auto"/>
                      <w:sz w:val="21"/>
                      <w:szCs w:val="21"/>
                    </w:rPr>
                    <w:t>低氮燃烧技术、低氮燃烧技术+</w:t>
                  </w:r>
                  <w:r>
                    <w:rPr>
                      <w:color w:val="auto"/>
                      <w:sz w:val="21"/>
                      <w:szCs w:val="21"/>
                    </w:rPr>
                    <w:t>SCR</w:t>
                  </w:r>
                  <w:r>
                    <w:rPr>
                      <w:rFonts w:hint="eastAsia"/>
                      <w:color w:val="auto"/>
                      <w:sz w:val="21"/>
                      <w:szCs w:val="21"/>
                    </w:rPr>
                    <w:t>脱销技术</w:t>
                  </w:r>
                </w:p>
              </w:tc>
              <w:tc>
                <w:tcPr>
                  <w:tcW w:w="1457" w:type="dxa"/>
                  <w:vAlign w:val="center"/>
                </w:tcPr>
                <w:p w14:paraId="360BF73E">
                  <w:pPr>
                    <w:pStyle w:val="5"/>
                    <w:keepNext w:val="0"/>
                    <w:keepLines w:val="0"/>
                    <w:pageBreakBefore w:val="0"/>
                    <w:kinsoku/>
                    <w:wordWrap/>
                    <w:overflowPunct/>
                    <w:topLinePunct w:val="0"/>
                    <w:autoSpaceDE/>
                    <w:autoSpaceDN/>
                    <w:bidi w:val="0"/>
                    <w:spacing w:line="360" w:lineRule="exact"/>
                    <w:jc w:val="center"/>
                    <w:textAlignment w:val="auto"/>
                    <w:rPr>
                      <w:rFonts w:hint="eastAsia" w:eastAsia="宋体"/>
                      <w:color w:val="auto"/>
                      <w:sz w:val="21"/>
                      <w:szCs w:val="21"/>
                      <w:lang w:eastAsia="zh-CN"/>
                    </w:rPr>
                  </w:pPr>
                  <w:r>
                    <w:rPr>
                      <w:rFonts w:hint="eastAsia"/>
                      <w:color w:val="auto"/>
                      <w:sz w:val="21"/>
                      <w:szCs w:val="21"/>
                    </w:rPr>
                    <w:t>低氮燃烧技术</w:t>
                  </w:r>
                </w:p>
              </w:tc>
              <w:tc>
                <w:tcPr>
                  <w:tcW w:w="801" w:type="dxa"/>
                  <w:vAlign w:val="center"/>
                </w:tcPr>
                <w:p w14:paraId="0418C48B">
                  <w:pPr>
                    <w:pStyle w:val="5"/>
                    <w:keepNext w:val="0"/>
                    <w:keepLines w:val="0"/>
                    <w:pageBreakBefore w:val="0"/>
                    <w:kinsoku/>
                    <w:wordWrap/>
                    <w:overflowPunct/>
                    <w:topLinePunct w:val="0"/>
                    <w:autoSpaceDE/>
                    <w:autoSpaceDN/>
                    <w:bidi w:val="0"/>
                    <w:spacing w:line="360" w:lineRule="exact"/>
                    <w:jc w:val="center"/>
                    <w:textAlignment w:val="auto"/>
                    <w:rPr>
                      <w:rFonts w:hint="eastAsia" w:eastAsia="宋体"/>
                      <w:color w:val="auto"/>
                      <w:sz w:val="21"/>
                      <w:szCs w:val="21"/>
                      <w:lang w:eastAsia="zh-CN"/>
                    </w:rPr>
                  </w:pPr>
                  <w:r>
                    <w:rPr>
                      <w:rFonts w:hint="eastAsia"/>
                      <w:color w:val="auto"/>
                      <w:sz w:val="21"/>
                      <w:szCs w:val="21"/>
                      <w:lang w:val="en-US" w:eastAsia="zh-CN"/>
                    </w:rPr>
                    <w:t>是</w:t>
                  </w:r>
                </w:p>
              </w:tc>
            </w:tr>
            <w:tr w14:paraId="33B1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344" w:type="dxa"/>
                  <w:shd w:val="clear" w:color="auto" w:fill="auto"/>
                  <w:vAlign w:val="center"/>
                </w:tcPr>
                <w:p w14:paraId="7A57A894">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sz w:val="21"/>
                      <w:szCs w:val="21"/>
                      <w:lang w:val="en-US" w:eastAsia="zh-CN"/>
                    </w:rPr>
                    <w:t>DA003</w:t>
                  </w:r>
                </w:p>
              </w:tc>
              <w:tc>
                <w:tcPr>
                  <w:tcW w:w="1160" w:type="dxa"/>
                  <w:shd w:val="clear" w:color="auto" w:fill="auto"/>
                  <w:vAlign w:val="center"/>
                </w:tcPr>
                <w:p w14:paraId="6DA0A54B">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sz w:val="21"/>
                      <w:szCs w:val="21"/>
                    </w:rPr>
                    <w:t>沥青烟、苯并[a]芘</w:t>
                  </w:r>
                  <w:r>
                    <w:rPr>
                      <w:rFonts w:hint="eastAsia"/>
                      <w:sz w:val="21"/>
                      <w:szCs w:val="21"/>
                      <w:lang w:eastAsia="zh-CN"/>
                    </w:rPr>
                    <w:t>、</w:t>
                  </w:r>
                  <w:r>
                    <w:rPr>
                      <w:rFonts w:hint="eastAsia"/>
                      <w:sz w:val="21"/>
                      <w:szCs w:val="21"/>
                      <w:lang w:val="en-US" w:eastAsia="zh-CN"/>
                    </w:rPr>
                    <w:t>非甲烷总烃</w:t>
                  </w:r>
                </w:p>
              </w:tc>
              <w:tc>
                <w:tcPr>
                  <w:tcW w:w="681" w:type="dxa"/>
                  <w:shd w:val="clear" w:color="auto" w:fill="auto"/>
                  <w:vAlign w:val="center"/>
                </w:tcPr>
                <w:p w14:paraId="29B7A3A4">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ascii="Times New Roman" w:hAnsi="Times New Roman" w:eastAsia="宋体" w:cs="Times New Roman"/>
                      <w:kern w:val="0"/>
                      <w:sz w:val="21"/>
                      <w:szCs w:val="21"/>
                      <w:lang w:val="en-US" w:eastAsia="zh-CN" w:bidi="ar-SA"/>
                    </w:rPr>
                  </w:pPr>
                  <w:r>
                    <w:rPr>
                      <w:rFonts w:hint="eastAsia"/>
                      <w:sz w:val="21"/>
                      <w:szCs w:val="21"/>
                    </w:rPr>
                    <w:t>有组织</w:t>
                  </w:r>
                </w:p>
              </w:tc>
              <w:tc>
                <w:tcPr>
                  <w:tcW w:w="1934" w:type="dxa"/>
                  <w:shd w:val="clear" w:color="auto" w:fill="auto"/>
                  <w:vAlign w:val="center"/>
                </w:tcPr>
                <w:p w14:paraId="5F0F5073">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活性炭吸附、电捕焦油器、电捕焦油器+活性炭吸附</w:t>
                  </w:r>
                </w:p>
              </w:tc>
              <w:tc>
                <w:tcPr>
                  <w:tcW w:w="1457" w:type="dxa"/>
                  <w:shd w:val="clear" w:color="auto" w:fill="auto"/>
                  <w:vAlign w:val="center"/>
                </w:tcPr>
                <w:p w14:paraId="1B23E14B">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电捕焦油器+</w:t>
                  </w:r>
                  <w:r>
                    <w:rPr>
                      <w:rFonts w:hint="default" w:ascii="Times New Roman" w:hAnsi="Times New Roman" w:eastAsia="宋体" w:cs="Times New Roman"/>
                      <w:bCs/>
                      <w:color w:val="auto"/>
                      <w:sz w:val="21"/>
                      <w:szCs w:val="21"/>
                      <w:lang w:val="en-US" w:eastAsia="zh-CN"/>
                    </w:rPr>
                    <w:t>活性炭吸附</w:t>
                  </w:r>
                </w:p>
              </w:tc>
              <w:tc>
                <w:tcPr>
                  <w:tcW w:w="801" w:type="dxa"/>
                  <w:shd w:val="clear" w:color="auto" w:fill="auto"/>
                  <w:vAlign w:val="center"/>
                </w:tcPr>
                <w:p w14:paraId="336C8836">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是</w:t>
                  </w:r>
                </w:p>
              </w:tc>
            </w:tr>
            <w:tr w14:paraId="686C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344" w:type="dxa"/>
                  <w:shd w:val="clear" w:color="auto" w:fill="auto"/>
                  <w:vAlign w:val="center"/>
                </w:tcPr>
                <w:p w14:paraId="7F84A739">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ascii="Times New Roman" w:hAnsi="Times New Roman" w:eastAsia="宋体" w:cs="Times New Roman"/>
                      <w:kern w:val="0"/>
                      <w:sz w:val="21"/>
                      <w:szCs w:val="21"/>
                      <w:lang w:val="en-US" w:eastAsia="zh-CN" w:bidi="ar-SA"/>
                    </w:rPr>
                  </w:pPr>
                  <w:r>
                    <w:rPr>
                      <w:rFonts w:hint="eastAsia"/>
                      <w:sz w:val="21"/>
                      <w:szCs w:val="21"/>
                    </w:rPr>
                    <w:t>矿粉筒仓废气</w:t>
                  </w:r>
                </w:p>
              </w:tc>
              <w:tc>
                <w:tcPr>
                  <w:tcW w:w="1160" w:type="dxa"/>
                  <w:shd w:val="clear" w:color="auto" w:fill="auto"/>
                  <w:vAlign w:val="center"/>
                </w:tcPr>
                <w:p w14:paraId="16EECF98">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颗粒物</w:t>
                  </w:r>
                </w:p>
              </w:tc>
              <w:tc>
                <w:tcPr>
                  <w:tcW w:w="681" w:type="dxa"/>
                  <w:vAlign w:val="center"/>
                </w:tcPr>
                <w:p w14:paraId="69237278">
                  <w:pPr>
                    <w:pStyle w:val="5"/>
                    <w:keepNext w:val="0"/>
                    <w:keepLines w:val="0"/>
                    <w:pageBreakBefore w:val="0"/>
                    <w:kinsoku/>
                    <w:wordWrap/>
                    <w:overflowPunct/>
                    <w:topLinePunct w:val="0"/>
                    <w:autoSpaceDE/>
                    <w:autoSpaceDN/>
                    <w:bidi w:val="0"/>
                    <w:spacing w:line="360" w:lineRule="exact"/>
                    <w:jc w:val="center"/>
                    <w:textAlignment w:val="auto"/>
                    <w:rPr>
                      <w:rFonts w:hint="eastAsia" w:eastAsia="宋体"/>
                      <w:color w:val="auto"/>
                      <w:sz w:val="21"/>
                      <w:szCs w:val="21"/>
                      <w:lang w:val="en-US" w:eastAsia="zh-CN"/>
                    </w:rPr>
                  </w:pPr>
                  <w:r>
                    <w:rPr>
                      <w:rFonts w:hint="eastAsia"/>
                      <w:color w:val="auto"/>
                      <w:sz w:val="21"/>
                      <w:szCs w:val="21"/>
                      <w:lang w:val="en-US" w:eastAsia="zh-CN"/>
                    </w:rPr>
                    <w:t>无组织</w:t>
                  </w:r>
                </w:p>
              </w:tc>
              <w:tc>
                <w:tcPr>
                  <w:tcW w:w="1934" w:type="dxa"/>
                  <w:shd w:val="clear" w:color="auto" w:fill="auto"/>
                  <w:vAlign w:val="center"/>
                </w:tcPr>
                <w:p w14:paraId="3134D198">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布袋除尘、旋风除尘、静电除尘</w:t>
                  </w:r>
                </w:p>
              </w:tc>
              <w:tc>
                <w:tcPr>
                  <w:tcW w:w="1457" w:type="dxa"/>
                  <w:shd w:val="clear" w:color="auto" w:fill="auto"/>
                  <w:vAlign w:val="center"/>
                </w:tcPr>
                <w:p w14:paraId="091ACEA7">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筒仓配备袋式除尘器</w:t>
                  </w:r>
                </w:p>
              </w:tc>
              <w:tc>
                <w:tcPr>
                  <w:tcW w:w="801" w:type="dxa"/>
                  <w:shd w:val="clear" w:color="auto" w:fill="auto"/>
                  <w:vAlign w:val="center"/>
                </w:tcPr>
                <w:p w14:paraId="2FBB7884">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是</w:t>
                  </w:r>
                </w:p>
              </w:tc>
            </w:tr>
          </w:tbl>
          <w:p w14:paraId="02433F91">
            <w:pPr>
              <w:autoSpaceDE w:val="0"/>
              <w:autoSpaceDN w:val="0"/>
              <w:spacing w:before="156" w:beforeLines="50"/>
              <w:ind w:firstLine="480"/>
              <w:rPr>
                <w:color w:val="auto"/>
                <w:szCs w:val="24"/>
              </w:rPr>
            </w:pPr>
            <w:r>
              <w:rPr>
                <w:rFonts w:hint="eastAsia"/>
                <w:color w:val="auto"/>
                <w:szCs w:val="24"/>
              </w:rPr>
              <w:t>经上文分析，本项目针对</w:t>
            </w:r>
            <w:r>
              <w:rPr>
                <w:rFonts w:hint="eastAsia"/>
                <w:color w:val="auto"/>
                <w:szCs w:val="24"/>
                <w:lang w:val="en-US" w:eastAsia="zh-CN"/>
              </w:rPr>
              <w:t>废气</w:t>
            </w:r>
            <w:r>
              <w:rPr>
                <w:rFonts w:hint="eastAsia"/>
                <w:color w:val="auto"/>
                <w:szCs w:val="24"/>
              </w:rPr>
              <w:t>处理采取的</w:t>
            </w:r>
            <w:r>
              <w:rPr>
                <w:rFonts w:hint="eastAsia"/>
                <w:color w:val="auto"/>
                <w:szCs w:val="24"/>
                <w:lang w:val="en-US" w:eastAsia="zh-CN"/>
              </w:rPr>
              <w:t>防治措施</w:t>
            </w:r>
            <w:r>
              <w:rPr>
                <w:rFonts w:hint="eastAsia"/>
                <w:color w:val="auto"/>
                <w:szCs w:val="24"/>
              </w:rPr>
              <w:t>是可行的。</w:t>
            </w:r>
          </w:p>
          <w:p w14:paraId="62420F4E">
            <w:pPr>
              <w:pStyle w:val="5"/>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Times New Roman" w:hAnsi="Times New Roman" w:eastAsia="宋体" w:cs="Times New Roman"/>
                <w:b/>
                <w:bCs/>
                <w:color w:val="auto"/>
                <w:kern w:val="2"/>
                <w:sz w:val="24"/>
                <w:szCs w:val="21"/>
                <w:lang w:val="en-US" w:eastAsia="zh-CN" w:bidi="ar-SA"/>
              </w:rPr>
            </w:pPr>
            <w:r>
              <w:rPr>
                <w:rFonts w:hint="eastAsia" w:cs="Times New Roman"/>
                <w:b/>
                <w:bCs/>
                <w:color w:val="auto"/>
                <w:kern w:val="2"/>
                <w:sz w:val="24"/>
                <w:szCs w:val="21"/>
                <w:lang w:val="en-US" w:eastAsia="zh-CN" w:bidi="ar-SA"/>
              </w:rPr>
              <w:t>（三）环境影响</w:t>
            </w:r>
            <w:r>
              <w:rPr>
                <w:rFonts w:hint="eastAsia" w:ascii="Times New Roman" w:hAnsi="Times New Roman" w:eastAsia="宋体" w:cs="Times New Roman"/>
                <w:b/>
                <w:bCs/>
                <w:color w:val="auto"/>
                <w:kern w:val="2"/>
                <w:sz w:val="24"/>
                <w:szCs w:val="21"/>
                <w:lang w:val="en-US" w:eastAsia="zh-CN" w:bidi="ar-SA"/>
              </w:rPr>
              <w:t>分析</w:t>
            </w:r>
          </w:p>
          <w:p w14:paraId="247A8C5D">
            <w:pPr>
              <w:widowControl/>
              <w:ind w:firstLine="482"/>
              <w:rPr>
                <w:b/>
                <w:bCs/>
                <w:color w:val="auto"/>
              </w:rPr>
            </w:pPr>
            <w:r>
              <w:rPr>
                <w:rFonts w:hint="eastAsia"/>
                <w:b/>
                <w:bCs/>
                <w:color w:val="auto"/>
              </w:rPr>
              <w:t>1、有组织废气达标分析</w:t>
            </w:r>
          </w:p>
          <w:p w14:paraId="4A72D835">
            <w:pPr>
              <w:adjustRightInd w:val="0"/>
              <w:spacing w:line="360" w:lineRule="auto"/>
              <w:ind w:firstLine="480" w:firstLineChars="200"/>
              <w:rPr>
                <w:rFonts w:hint="eastAsia"/>
                <w:i w:val="0"/>
                <w:iCs/>
                <w:color w:val="auto"/>
                <w:sz w:val="24"/>
                <w:szCs w:val="24"/>
                <w:lang w:val="en-US" w:eastAsia="zh-CN"/>
              </w:rPr>
            </w:pPr>
            <w:r>
              <w:rPr>
                <w:rFonts w:hint="eastAsia"/>
                <w:i w:val="0"/>
                <w:iCs/>
                <w:color w:val="auto"/>
                <w:sz w:val="24"/>
                <w:szCs w:val="24"/>
                <w:lang w:val="en-US" w:eastAsia="zh-CN"/>
              </w:rPr>
              <w:t>沥青混凝土生产过程中产生的皮带输送扬尘、烘干滚筒燃烧废气、烘干滚筒石料滚动扬尘和筛分扬尘经“旋风除尘器+布袋除尘器”处理后排放DA001中颗粒物排放浓度为1.569mg/m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、排放速率0.110kg/h，SO</w:t>
            </w:r>
            <w:r>
              <w:rPr>
                <w:rFonts w:hint="eastAsia"/>
                <w:i w:val="0"/>
                <w:iCs/>
                <w:color w:val="auto"/>
                <w:sz w:val="24"/>
                <w:szCs w:val="24"/>
                <w:vertAlign w:val="subscript"/>
                <w:lang w:val="en-US" w:eastAsia="zh-CN"/>
              </w:rPr>
              <w:t>2</w:t>
            </w:r>
            <w:r>
              <w:rPr>
                <w:rFonts w:hint="eastAsia"/>
                <w:i w:val="0"/>
                <w:iCs/>
                <w:color w:val="auto"/>
                <w:sz w:val="24"/>
                <w:szCs w:val="24"/>
                <w:lang w:val="en-US" w:eastAsia="zh-CN"/>
              </w:rPr>
              <w:t>排放浓度为1.982mg/m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、排放速率0.139kg/h，NO</w:t>
            </w:r>
            <w:r>
              <w:rPr>
                <w:rFonts w:hint="eastAsia"/>
                <w:i w:val="0"/>
                <w:iCs/>
                <w:color w:val="auto"/>
                <w:sz w:val="24"/>
                <w:szCs w:val="24"/>
                <w:vertAlign w:val="subscript"/>
                <w:lang w:val="en-US" w:eastAsia="zh-CN"/>
              </w:rPr>
              <w:t>X</w:t>
            </w:r>
            <w:r>
              <w:rPr>
                <w:rFonts w:hint="eastAsia"/>
                <w:i w:val="0"/>
                <w:iCs/>
                <w:color w:val="auto"/>
                <w:sz w:val="24"/>
                <w:szCs w:val="24"/>
                <w:lang w:val="en-US" w:eastAsia="zh-CN"/>
              </w:rPr>
              <w:t>排放浓度为1.826mg/m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、排放速率0.128kg/h，满足《大气污染物综合排放标准》（GB16297-1996）表2规定相关标准要求，即颗粒物排放浓度120mg/m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、排放速率3.5kg/h，SO</w:t>
            </w:r>
            <w:r>
              <w:rPr>
                <w:rFonts w:hint="eastAsia"/>
                <w:i w:val="0"/>
                <w:iCs/>
                <w:color w:val="auto"/>
                <w:sz w:val="24"/>
                <w:szCs w:val="24"/>
                <w:vertAlign w:val="subscript"/>
                <w:lang w:val="en-US" w:eastAsia="zh-CN"/>
              </w:rPr>
              <w:t>2</w:t>
            </w:r>
            <w:r>
              <w:rPr>
                <w:rFonts w:hint="eastAsia"/>
                <w:i w:val="0"/>
                <w:iCs/>
                <w:color w:val="auto"/>
                <w:sz w:val="24"/>
                <w:szCs w:val="24"/>
                <w:lang w:val="en-US" w:eastAsia="zh-CN"/>
              </w:rPr>
              <w:t>排放浓度550mg/m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、排放速率2.6kg/h，NO</w:t>
            </w:r>
            <w:r>
              <w:rPr>
                <w:rFonts w:hint="eastAsia"/>
                <w:i w:val="0"/>
                <w:iCs/>
                <w:color w:val="auto"/>
                <w:sz w:val="24"/>
                <w:szCs w:val="24"/>
                <w:vertAlign w:val="subscript"/>
                <w:lang w:val="en-US" w:eastAsia="zh-CN"/>
              </w:rPr>
              <w:t>X</w:t>
            </w:r>
            <w:r>
              <w:rPr>
                <w:rFonts w:hint="eastAsia"/>
                <w:i w:val="0"/>
                <w:iCs/>
                <w:color w:val="auto"/>
                <w:sz w:val="24"/>
                <w:szCs w:val="24"/>
                <w:lang w:val="en-US" w:eastAsia="zh-CN"/>
              </w:rPr>
              <w:t>排放浓度240mg/m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、排放速率0.77kg/h；</w:t>
            </w:r>
          </w:p>
          <w:p w14:paraId="621ABBF6">
            <w:pPr>
              <w:adjustRightInd w:val="0"/>
              <w:spacing w:line="360" w:lineRule="auto"/>
              <w:ind w:firstLine="480" w:firstLineChars="200"/>
              <w:rPr>
                <w:rFonts w:hint="default"/>
                <w:i w:val="0"/>
                <w:iCs/>
                <w:color w:val="auto"/>
                <w:sz w:val="24"/>
                <w:szCs w:val="24"/>
                <w:lang w:val="en-US" w:eastAsia="zh-CN"/>
              </w:rPr>
            </w:pPr>
            <w:r>
              <w:rPr>
                <w:rFonts w:hint="eastAsia"/>
                <w:i w:val="0"/>
                <w:iCs/>
                <w:color w:val="auto"/>
                <w:sz w:val="24"/>
                <w:szCs w:val="24"/>
                <w:lang w:val="en-US" w:eastAsia="zh-CN"/>
              </w:rPr>
              <w:t>有机热载体炉排气筒DA002中颗粒物排放浓度为14.558mg/m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、排放速率0.009kg/h，SO</w:t>
            </w:r>
            <w:r>
              <w:rPr>
                <w:rFonts w:hint="eastAsia"/>
                <w:i w:val="0"/>
                <w:iCs/>
                <w:color w:val="auto"/>
                <w:sz w:val="24"/>
                <w:szCs w:val="24"/>
                <w:vertAlign w:val="subscript"/>
                <w:lang w:val="en-US" w:eastAsia="zh-CN"/>
              </w:rPr>
              <w:t>2</w:t>
            </w:r>
            <w:r>
              <w:rPr>
                <w:rFonts w:hint="eastAsia"/>
                <w:i w:val="0"/>
                <w:iCs/>
                <w:color w:val="auto"/>
                <w:sz w:val="24"/>
                <w:szCs w:val="24"/>
                <w:lang w:val="en-US" w:eastAsia="zh-CN"/>
              </w:rPr>
              <w:t>排放浓度为111.615mg/m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、排放速率0.069kg/h，NO</w:t>
            </w:r>
            <w:r>
              <w:rPr>
                <w:rFonts w:hint="eastAsia"/>
                <w:i w:val="0"/>
                <w:iCs/>
                <w:color w:val="auto"/>
                <w:sz w:val="24"/>
                <w:szCs w:val="24"/>
                <w:vertAlign w:val="subscript"/>
                <w:lang w:val="en-US" w:eastAsia="zh-CN"/>
              </w:rPr>
              <w:t>X</w:t>
            </w:r>
            <w:r>
              <w:rPr>
                <w:rFonts w:hint="eastAsia"/>
                <w:i w:val="0"/>
                <w:iCs/>
                <w:color w:val="auto"/>
                <w:sz w:val="24"/>
                <w:szCs w:val="24"/>
                <w:lang w:val="en-US" w:eastAsia="zh-CN"/>
              </w:rPr>
              <w:t>排放浓度为0.913mg/m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、排放速率0.064kg/h，满足</w:t>
            </w:r>
            <w:r>
              <w:rPr>
                <w:rFonts w:hint="default"/>
                <w:i w:val="0"/>
                <w:iCs/>
                <w:color w:val="auto"/>
                <w:sz w:val="24"/>
                <w:szCs w:val="24"/>
                <w:lang w:val="en-US" w:eastAsia="zh-CN"/>
              </w:rPr>
              <w:t>《锅炉大气污染物排放标准》</w:t>
            </w:r>
            <w:r>
              <w:rPr>
                <w:rFonts w:hint="eastAsia"/>
                <w:i w:val="0"/>
                <w:iCs/>
                <w:color w:val="auto"/>
                <w:sz w:val="24"/>
                <w:szCs w:val="24"/>
                <w:lang w:val="en-US" w:eastAsia="zh-CN"/>
              </w:rPr>
              <w:t>（GB13271-2014代替GB 13271-2001）中表2大气污染物排放限值中的燃油锅炉浓度限值要求，即颗粒物排放浓度30mg/m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、SO</w:t>
            </w:r>
            <w:r>
              <w:rPr>
                <w:rFonts w:hint="eastAsia"/>
                <w:i w:val="0"/>
                <w:iCs/>
                <w:color w:val="auto"/>
                <w:sz w:val="24"/>
                <w:szCs w:val="24"/>
                <w:vertAlign w:val="subscript"/>
                <w:lang w:val="en-US" w:eastAsia="zh-CN"/>
              </w:rPr>
              <w:t>2</w:t>
            </w:r>
            <w:r>
              <w:rPr>
                <w:rFonts w:hint="eastAsia"/>
                <w:i w:val="0"/>
                <w:iCs/>
                <w:color w:val="auto"/>
                <w:sz w:val="24"/>
                <w:szCs w:val="24"/>
                <w:lang w:val="en-US" w:eastAsia="zh-CN"/>
              </w:rPr>
              <w:t>排放浓度200mg/m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、NO</w:t>
            </w:r>
            <w:r>
              <w:rPr>
                <w:rFonts w:hint="eastAsia"/>
                <w:i w:val="0"/>
                <w:iCs/>
                <w:color w:val="auto"/>
                <w:sz w:val="24"/>
                <w:szCs w:val="24"/>
                <w:vertAlign w:val="subscript"/>
                <w:lang w:val="en-US" w:eastAsia="zh-CN"/>
              </w:rPr>
              <w:t>X</w:t>
            </w:r>
            <w:r>
              <w:rPr>
                <w:rFonts w:hint="eastAsia"/>
                <w:i w:val="0"/>
                <w:iCs/>
                <w:color w:val="auto"/>
                <w:sz w:val="24"/>
                <w:szCs w:val="24"/>
                <w:lang w:val="en-US" w:eastAsia="zh-CN"/>
              </w:rPr>
              <w:t>排放浓度250mg/m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w:t>
            </w:r>
          </w:p>
          <w:p w14:paraId="4D096121">
            <w:pPr>
              <w:adjustRightInd w:val="0"/>
              <w:spacing w:line="360" w:lineRule="auto"/>
              <w:ind w:firstLine="480" w:firstLineChars="200"/>
              <w:rPr>
                <w:rFonts w:hint="eastAsia"/>
                <w:i w:val="0"/>
                <w:iCs/>
                <w:color w:val="auto"/>
                <w:sz w:val="24"/>
                <w:szCs w:val="24"/>
                <w:lang w:val="en-US" w:eastAsia="zh-CN"/>
              </w:rPr>
            </w:pPr>
            <w:r>
              <w:rPr>
                <w:rFonts w:hint="eastAsia"/>
                <w:i w:val="0"/>
                <w:iCs/>
                <w:color w:val="auto"/>
                <w:sz w:val="24"/>
                <w:szCs w:val="24"/>
                <w:lang w:val="en-US" w:eastAsia="zh-CN"/>
              </w:rPr>
              <w:t>沥青加热、搅拌、出料废气</w:t>
            </w:r>
            <w:r>
              <w:rPr>
                <w:rFonts w:hint="eastAsia"/>
                <w:color w:val="auto"/>
                <w:lang w:val="en-US" w:eastAsia="zh-CN"/>
              </w:rPr>
              <w:t>排气筒DA003</w:t>
            </w:r>
            <w:r>
              <w:rPr>
                <w:rFonts w:hint="eastAsia"/>
                <w:i w:val="0"/>
                <w:iCs/>
                <w:color w:val="auto"/>
                <w:sz w:val="24"/>
                <w:szCs w:val="24"/>
                <w:lang w:val="en-US" w:eastAsia="zh-CN"/>
              </w:rPr>
              <w:t>中沥青烟排放浓度0.010mg/m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、排放速率0.007kg/h，苯并[a]芘排放浓度7.528×10</w:t>
            </w:r>
            <w:r>
              <w:rPr>
                <w:rFonts w:hint="eastAsia"/>
                <w:i w:val="0"/>
                <w:iCs/>
                <w:color w:val="auto"/>
                <w:sz w:val="24"/>
                <w:szCs w:val="24"/>
                <w:vertAlign w:val="superscript"/>
                <w:lang w:val="en-US" w:eastAsia="zh-CN"/>
              </w:rPr>
              <w:t>-5</w:t>
            </w:r>
            <w:r>
              <w:rPr>
                <w:rFonts w:hint="eastAsia"/>
                <w:i w:val="0"/>
                <w:iCs/>
                <w:color w:val="auto"/>
                <w:sz w:val="24"/>
                <w:szCs w:val="24"/>
                <w:lang w:val="en-US" w:eastAsia="zh-CN"/>
              </w:rPr>
              <w:t>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、排放速率5.278×10</w:t>
            </w:r>
            <w:r>
              <w:rPr>
                <w:rFonts w:hint="eastAsia"/>
                <w:i w:val="0"/>
                <w:iCs/>
                <w:color w:val="auto"/>
                <w:sz w:val="24"/>
                <w:szCs w:val="24"/>
                <w:vertAlign w:val="superscript"/>
                <w:lang w:val="en-US" w:eastAsia="zh-CN"/>
              </w:rPr>
              <w:t>-6</w:t>
            </w:r>
            <w:r>
              <w:rPr>
                <w:rFonts w:hint="eastAsia"/>
                <w:i w:val="0"/>
                <w:iCs/>
                <w:color w:val="auto"/>
                <w:sz w:val="24"/>
                <w:szCs w:val="24"/>
                <w:lang w:val="en-US" w:eastAsia="zh-CN"/>
              </w:rPr>
              <w:t>kg/h，非甲烷总烃排放浓度0.271mg/m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、排放速率0.019kg/h，颗粒物排放浓度1.840mg/m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、排放速率0.129kg/h，满足《大气污染物综合排放标准》（GB16297-1996）表2规定新污染物源大气污染物排放限值要求，即沥青烟排放浓度75mg/m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、排放速率0.18kg/h，苯并[a]芘排放浓度0.30×10</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、排放速率0.050×10</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kg/h，非甲烷总烃排放浓度120mg/m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、排放速率10kg/h，颗粒物排放浓度120mg/m</w:t>
            </w:r>
            <w:r>
              <w:rPr>
                <w:rFonts w:hint="eastAsia"/>
                <w:i w:val="0"/>
                <w:iCs/>
                <w:color w:val="auto"/>
                <w:sz w:val="24"/>
                <w:szCs w:val="24"/>
                <w:vertAlign w:val="superscript"/>
                <w:lang w:val="en-US" w:eastAsia="zh-CN"/>
              </w:rPr>
              <w:t>3</w:t>
            </w:r>
            <w:r>
              <w:rPr>
                <w:rFonts w:hint="eastAsia"/>
                <w:i w:val="0"/>
                <w:iCs/>
                <w:color w:val="auto"/>
                <w:sz w:val="24"/>
                <w:szCs w:val="24"/>
                <w:lang w:val="en-US" w:eastAsia="zh-CN"/>
              </w:rPr>
              <w:t>、排放速率3.5kg/h。</w:t>
            </w:r>
          </w:p>
          <w:p w14:paraId="7D8950F8">
            <w:pPr>
              <w:widowControl/>
              <w:ind w:firstLine="482"/>
              <w:rPr>
                <w:b/>
                <w:bCs/>
                <w:color w:val="auto"/>
              </w:rPr>
            </w:pPr>
            <w:r>
              <w:rPr>
                <w:rFonts w:hint="eastAsia"/>
                <w:b/>
                <w:bCs/>
                <w:color w:val="auto"/>
              </w:rPr>
              <w:t>2、无组织废气达标分析</w:t>
            </w:r>
          </w:p>
          <w:p w14:paraId="605324FF">
            <w:pPr>
              <w:adjustRightInd w:val="0"/>
              <w:spacing w:line="360" w:lineRule="auto"/>
              <w:ind w:firstLine="480" w:firstLineChars="200"/>
              <w:rPr>
                <w:bCs/>
                <w:color w:val="auto"/>
                <w:spacing w:val="-10"/>
                <w:szCs w:val="24"/>
              </w:rPr>
            </w:pPr>
            <w:r>
              <w:rPr>
                <w:rFonts w:hint="eastAsia"/>
                <w:color w:val="auto"/>
                <w:kern w:val="0"/>
                <w:lang w:bidi="ar"/>
              </w:rPr>
              <w:t>项目</w:t>
            </w:r>
            <w:r>
              <w:rPr>
                <w:rFonts w:hint="eastAsia"/>
                <w:color w:val="auto"/>
                <w:highlight w:val="none"/>
                <w:lang w:eastAsia="zh-CN"/>
              </w:rPr>
              <w:t>颗粒物</w:t>
            </w:r>
            <w:r>
              <w:rPr>
                <w:rFonts w:hint="eastAsia"/>
                <w:color w:val="auto"/>
                <w:highlight w:val="none"/>
                <w:lang w:val="en-US" w:eastAsia="zh-CN"/>
              </w:rPr>
              <w:t>无组织排放量</w:t>
            </w:r>
            <w:r>
              <w:rPr>
                <w:rFonts w:hint="eastAsia"/>
                <w:color w:val="auto"/>
                <w:highlight w:val="none"/>
                <w:lang w:eastAsia="zh-CN"/>
              </w:rPr>
              <w:t>0.</w:t>
            </w:r>
            <w:r>
              <w:rPr>
                <w:rFonts w:hint="eastAsia"/>
                <w:color w:val="auto"/>
                <w:highlight w:val="none"/>
                <w:lang w:val="en-US" w:eastAsia="zh-CN"/>
              </w:rPr>
              <w:t>86t/a、排放速率</w:t>
            </w:r>
            <w:r>
              <w:rPr>
                <w:color w:val="auto"/>
                <w:kern w:val="0"/>
                <w:lang w:bidi="ar"/>
              </w:rPr>
              <w:t>为</w:t>
            </w:r>
            <w:r>
              <w:rPr>
                <w:rFonts w:hint="eastAsia"/>
                <w:color w:val="auto"/>
                <w:kern w:val="0"/>
                <w:lang w:val="en-US" w:eastAsia="zh-CN" w:bidi="ar"/>
              </w:rPr>
              <w:t>0.597</w:t>
            </w:r>
            <w:r>
              <w:rPr>
                <w:color w:val="auto"/>
                <w:kern w:val="0"/>
                <w:lang w:bidi="ar"/>
              </w:rPr>
              <w:t>kg/h</w:t>
            </w:r>
            <w:r>
              <w:rPr>
                <w:rFonts w:hint="eastAsia"/>
                <w:color w:val="auto"/>
                <w:kern w:val="0"/>
                <w:lang w:eastAsia="zh-CN" w:bidi="ar"/>
              </w:rPr>
              <w:t>，</w:t>
            </w:r>
            <w:r>
              <w:rPr>
                <w:rFonts w:hint="eastAsia"/>
                <w:color w:val="auto"/>
                <w:highlight w:val="none"/>
                <w:lang w:eastAsia="zh-CN"/>
              </w:rPr>
              <w:t>苯并[a]芘</w:t>
            </w:r>
            <w:r>
              <w:rPr>
                <w:rFonts w:hint="eastAsia"/>
                <w:color w:val="auto"/>
                <w:highlight w:val="none"/>
                <w:lang w:val="en-US" w:eastAsia="zh-CN"/>
              </w:rPr>
              <w:t>无组织排放量2.76</w:t>
            </w:r>
            <w:r>
              <w:rPr>
                <w:rFonts w:hint="eastAsia"/>
                <w:color w:val="auto"/>
                <w:highlight w:val="none"/>
                <w:lang w:eastAsia="zh-CN"/>
              </w:rPr>
              <w:t>×10</w:t>
            </w:r>
            <w:r>
              <w:rPr>
                <w:rFonts w:hint="eastAsia"/>
                <w:color w:val="auto"/>
                <w:highlight w:val="none"/>
                <w:vertAlign w:val="superscript"/>
                <w:lang w:eastAsia="zh-CN"/>
              </w:rPr>
              <w:t>-5</w:t>
            </w:r>
            <w:r>
              <w:rPr>
                <w:rFonts w:hint="eastAsia"/>
                <w:color w:val="auto"/>
                <w:highlight w:val="none"/>
                <w:lang w:val="en-US" w:eastAsia="zh-CN"/>
              </w:rPr>
              <w:t>t/a、排放速率</w:t>
            </w:r>
            <w:r>
              <w:rPr>
                <w:color w:val="auto"/>
                <w:kern w:val="0"/>
                <w:lang w:bidi="ar"/>
              </w:rPr>
              <w:t>为</w:t>
            </w:r>
            <w:r>
              <w:rPr>
                <w:rFonts w:hint="eastAsia"/>
                <w:color w:val="auto"/>
                <w:kern w:val="0"/>
                <w:lang w:val="en-US" w:eastAsia="zh-CN" w:bidi="ar"/>
              </w:rPr>
              <w:t>1.917</w:t>
            </w:r>
            <w:r>
              <w:rPr>
                <w:rFonts w:hint="eastAsia"/>
                <w:color w:val="auto"/>
                <w:highlight w:val="none"/>
                <w:lang w:eastAsia="zh-CN"/>
              </w:rPr>
              <w:t>×10</w:t>
            </w:r>
            <w:r>
              <w:rPr>
                <w:rFonts w:hint="eastAsia"/>
                <w:color w:val="auto"/>
                <w:highlight w:val="none"/>
                <w:vertAlign w:val="superscript"/>
                <w:lang w:eastAsia="zh-CN"/>
              </w:rPr>
              <w:t>-5</w:t>
            </w:r>
            <w:r>
              <w:rPr>
                <w:color w:val="auto"/>
                <w:kern w:val="0"/>
                <w:lang w:bidi="ar"/>
              </w:rPr>
              <w:t>kg/h</w:t>
            </w:r>
            <w:r>
              <w:rPr>
                <w:rFonts w:hint="eastAsia"/>
                <w:color w:val="auto"/>
                <w:kern w:val="0"/>
                <w:lang w:eastAsia="zh-CN" w:bidi="ar"/>
              </w:rPr>
              <w:t>，</w:t>
            </w:r>
            <w:r>
              <w:rPr>
                <w:rFonts w:hint="eastAsia"/>
                <w:color w:val="auto"/>
                <w:kern w:val="0"/>
                <w:lang w:val="en-US" w:eastAsia="zh-CN" w:bidi="ar"/>
              </w:rPr>
              <w:t>非</w:t>
            </w:r>
            <w:r>
              <w:rPr>
                <w:rFonts w:hint="eastAsia"/>
                <w:color w:val="auto"/>
                <w:highlight w:val="none"/>
                <w:lang w:eastAsia="zh-CN"/>
              </w:rPr>
              <w:t>甲烷总烃</w:t>
            </w:r>
            <w:r>
              <w:rPr>
                <w:rFonts w:hint="eastAsia"/>
                <w:color w:val="auto"/>
                <w:highlight w:val="none"/>
                <w:lang w:val="en-US" w:eastAsia="zh-CN"/>
              </w:rPr>
              <w:t>无组织排放量</w:t>
            </w:r>
            <w:r>
              <w:rPr>
                <w:rFonts w:hint="eastAsia"/>
                <w:color w:val="auto"/>
                <w:highlight w:val="none"/>
                <w:lang w:eastAsia="zh-CN"/>
              </w:rPr>
              <w:t>0.020</w:t>
            </w:r>
            <w:r>
              <w:rPr>
                <w:rFonts w:hint="eastAsia"/>
                <w:color w:val="auto"/>
                <w:highlight w:val="none"/>
                <w:lang w:val="en-US" w:eastAsia="zh-CN"/>
              </w:rPr>
              <w:t>t/a、排放速率</w:t>
            </w:r>
            <w:r>
              <w:rPr>
                <w:color w:val="auto"/>
                <w:kern w:val="0"/>
                <w:lang w:bidi="ar"/>
              </w:rPr>
              <w:t>为</w:t>
            </w:r>
            <w:r>
              <w:rPr>
                <w:rFonts w:hint="eastAsia"/>
                <w:color w:val="auto"/>
                <w:kern w:val="0"/>
                <w:lang w:val="en-US" w:eastAsia="zh-CN" w:bidi="ar"/>
              </w:rPr>
              <w:t>0.005</w:t>
            </w:r>
            <w:r>
              <w:rPr>
                <w:color w:val="auto"/>
                <w:kern w:val="0"/>
                <w:lang w:bidi="ar"/>
              </w:rPr>
              <w:t>kg/h</w:t>
            </w:r>
            <w:r>
              <w:rPr>
                <w:rFonts w:hint="eastAsia"/>
                <w:color w:val="auto"/>
                <w:kern w:val="0"/>
                <w:lang w:eastAsia="zh-CN" w:bidi="ar"/>
              </w:rPr>
              <w:t>。</w:t>
            </w:r>
            <w:r>
              <w:rPr>
                <w:rFonts w:hint="eastAsia"/>
                <w:color w:val="auto"/>
                <w:kern w:val="0"/>
                <w:lang w:bidi="ar"/>
              </w:rPr>
              <w:t>通过AERSCREEN模式进行</w:t>
            </w:r>
            <w:r>
              <w:rPr>
                <w:rFonts w:hint="eastAsia"/>
                <w:color w:val="auto"/>
                <w:kern w:val="0"/>
                <w:lang w:val="en-US" w:eastAsia="zh-CN" w:bidi="ar"/>
              </w:rPr>
              <w:t>估算</w:t>
            </w:r>
            <w:r>
              <w:rPr>
                <w:rFonts w:hint="eastAsia"/>
                <w:color w:val="auto"/>
                <w:kern w:val="0"/>
                <w:lang w:bidi="ar"/>
              </w:rPr>
              <w:t>，无组织废气</w:t>
            </w:r>
            <w:r>
              <w:rPr>
                <w:rFonts w:hint="eastAsia"/>
                <w:color w:val="auto"/>
                <w:kern w:val="0"/>
                <w:lang w:val="en-US" w:eastAsia="zh-CN" w:bidi="ar"/>
              </w:rPr>
              <w:t>估算</w:t>
            </w:r>
            <w:r>
              <w:rPr>
                <w:rFonts w:hint="eastAsia"/>
                <w:color w:val="auto"/>
                <w:kern w:val="0"/>
                <w:lang w:bidi="ar"/>
              </w:rPr>
              <w:t>结果见表4-</w:t>
            </w:r>
            <w:r>
              <w:rPr>
                <w:rFonts w:hint="eastAsia"/>
                <w:color w:val="auto"/>
                <w:kern w:val="0"/>
                <w:lang w:val="en-US" w:eastAsia="zh-CN" w:bidi="ar"/>
              </w:rPr>
              <w:t>10</w:t>
            </w:r>
            <w:r>
              <w:rPr>
                <w:rFonts w:hint="eastAsia"/>
                <w:color w:val="auto"/>
                <w:kern w:val="0"/>
                <w:lang w:bidi="ar"/>
              </w:rPr>
              <w:t>。</w:t>
            </w:r>
          </w:p>
          <w:p w14:paraId="49B29FEB">
            <w:pPr>
              <w:widowControl/>
              <w:ind w:firstLine="480"/>
              <w:rPr>
                <w:color w:val="auto"/>
                <w:kern w:val="0"/>
                <w:lang w:bidi="ar"/>
              </w:rPr>
            </w:pPr>
          </w:p>
          <w:p w14:paraId="5C5BA55A">
            <w:pPr>
              <w:ind w:left="0" w:leftChars="0" w:firstLine="0" w:firstLineChars="0"/>
              <w:rPr>
                <w:rFonts w:hint="default" w:eastAsia="宋体"/>
                <w:color w:val="auto"/>
                <w:lang w:val="en-US" w:eastAsia="zh-CN"/>
              </w:rPr>
            </w:pPr>
          </w:p>
          <w:p w14:paraId="231485C5">
            <w:pPr>
              <w:rPr>
                <w:rFonts w:hint="default" w:eastAsia="宋体"/>
                <w:color w:val="auto"/>
                <w:lang w:val="en-US" w:eastAsia="zh-CN"/>
              </w:rPr>
            </w:pPr>
          </w:p>
          <w:p w14:paraId="7E79ADB0">
            <w:pPr>
              <w:rPr>
                <w:rFonts w:hint="default" w:eastAsia="宋体"/>
                <w:lang w:val="en-US" w:eastAsia="zh-CN"/>
              </w:rPr>
            </w:pPr>
          </w:p>
          <w:p w14:paraId="13BE1019">
            <w:pPr>
              <w:rPr>
                <w:rFonts w:hint="default" w:eastAsia="宋体"/>
                <w:lang w:val="en-US" w:eastAsia="zh-CN"/>
              </w:rPr>
            </w:pPr>
          </w:p>
          <w:p w14:paraId="4B7FB624">
            <w:pPr>
              <w:ind w:left="0" w:leftChars="0" w:firstLine="0" w:firstLineChars="0"/>
              <w:rPr>
                <w:rFonts w:hint="default" w:eastAsia="宋体"/>
                <w:lang w:val="en-US" w:eastAsia="zh-CN"/>
              </w:rPr>
            </w:pPr>
          </w:p>
        </w:tc>
      </w:tr>
    </w:tbl>
    <w:p w14:paraId="65304858">
      <w:pPr>
        <w:pStyle w:val="2"/>
        <w:jc w:val="center"/>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3471"/>
      </w:tblGrid>
      <w:tr w14:paraId="6E6F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Pr>
          <w:p w14:paraId="1673B134">
            <w:pPr>
              <w:rPr>
                <w:rFonts w:hint="eastAsia"/>
                <w:vertAlign w:val="baseline"/>
              </w:rPr>
            </w:pPr>
          </w:p>
        </w:tc>
        <w:tc>
          <w:tcPr>
            <w:tcW w:w="13471" w:type="dxa"/>
          </w:tcPr>
          <w:p w14:paraId="64826A7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宋体"/>
                <w:b/>
                <w:bCs/>
                <w:color w:val="auto"/>
                <w:highlight w:val="yellow"/>
                <w:lang w:val="en-US" w:eastAsia="zh-CN"/>
              </w:rPr>
            </w:pPr>
            <w:r>
              <w:rPr>
                <w:rFonts w:hint="eastAsia"/>
                <w:b/>
                <w:bCs/>
                <w:color w:val="auto"/>
                <w:sz w:val="21"/>
                <w:szCs w:val="21"/>
                <w:highlight w:val="none"/>
              </w:rPr>
              <w:t>表4-</w:t>
            </w:r>
            <w:r>
              <w:rPr>
                <w:rFonts w:hint="eastAsia"/>
                <w:b/>
                <w:bCs/>
                <w:color w:val="auto"/>
                <w:sz w:val="21"/>
                <w:szCs w:val="21"/>
                <w:highlight w:val="none"/>
                <w:lang w:val="en-US" w:eastAsia="zh-CN"/>
              </w:rPr>
              <w:t xml:space="preserve">10  </w:t>
            </w:r>
            <w:r>
              <w:rPr>
                <w:rFonts w:hint="eastAsia"/>
                <w:b/>
                <w:bCs/>
                <w:color w:val="auto"/>
                <w:sz w:val="21"/>
                <w:szCs w:val="21"/>
                <w:highlight w:val="none"/>
              </w:rPr>
              <w:t>无组织废气预测结果</w:t>
            </w:r>
            <w:r>
              <w:rPr>
                <w:rFonts w:hint="eastAsia"/>
                <w:b/>
                <w:bCs/>
                <w:color w:val="auto"/>
                <w:sz w:val="21"/>
                <w:szCs w:val="21"/>
                <w:highlight w:val="none"/>
                <w:lang w:val="en-US" w:eastAsia="zh-CN"/>
              </w:rPr>
              <w:t>一览表</w:t>
            </w:r>
          </w:p>
          <w:tbl>
            <w:tblPr>
              <w:tblStyle w:val="16"/>
              <w:tblW w:w="12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335"/>
              <w:gridCol w:w="2220"/>
              <w:gridCol w:w="1863"/>
              <w:gridCol w:w="1617"/>
              <w:gridCol w:w="1510"/>
              <w:gridCol w:w="1402"/>
              <w:gridCol w:w="1593"/>
            </w:tblGrid>
            <w:tr w14:paraId="228C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Merge w:val="restart"/>
                  <w:vAlign w:val="center"/>
                </w:tcPr>
                <w:p w14:paraId="674698F6">
                  <w:pPr>
                    <w:spacing w:line="360" w:lineRule="exact"/>
                    <w:ind w:firstLine="0" w:firstLineChars="0"/>
                    <w:jc w:val="center"/>
                    <w:rPr>
                      <w:b/>
                      <w:bCs/>
                      <w:color w:val="auto"/>
                      <w:sz w:val="21"/>
                      <w:szCs w:val="21"/>
                    </w:rPr>
                  </w:pPr>
                  <w:r>
                    <w:rPr>
                      <w:rFonts w:hint="eastAsia"/>
                      <w:b/>
                      <w:bCs/>
                      <w:color w:val="auto"/>
                      <w:sz w:val="21"/>
                      <w:szCs w:val="21"/>
                    </w:rPr>
                    <w:t>序号</w:t>
                  </w:r>
                </w:p>
              </w:tc>
              <w:tc>
                <w:tcPr>
                  <w:tcW w:w="1335" w:type="dxa"/>
                  <w:vMerge w:val="restart"/>
                  <w:vAlign w:val="center"/>
                </w:tcPr>
                <w:p w14:paraId="7395F509">
                  <w:pPr>
                    <w:spacing w:line="360" w:lineRule="exact"/>
                    <w:ind w:firstLine="0" w:firstLineChars="0"/>
                    <w:jc w:val="center"/>
                    <w:rPr>
                      <w:b/>
                      <w:bCs/>
                      <w:color w:val="auto"/>
                      <w:sz w:val="21"/>
                      <w:szCs w:val="21"/>
                    </w:rPr>
                  </w:pPr>
                  <w:r>
                    <w:rPr>
                      <w:rFonts w:hint="eastAsia"/>
                      <w:b/>
                      <w:bCs/>
                      <w:color w:val="auto"/>
                      <w:sz w:val="21"/>
                      <w:szCs w:val="21"/>
                    </w:rPr>
                    <w:t>离源距离（m）</w:t>
                  </w:r>
                </w:p>
              </w:tc>
              <w:tc>
                <w:tcPr>
                  <w:tcW w:w="2220" w:type="dxa"/>
                  <w:shd w:val="clear" w:color="auto" w:fill="auto"/>
                  <w:vAlign w:val="center"/>
                </w:tcPr>
                <w:p w14:paraId="4FA2349B">
                  <w:pPr>
                    <w:spacing w:line="360" w:lineRule="exact"/>
                    <w:ind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TSP</w:t>
                  </w:r>
                </w:p>
              </w:tc>
              <w:tc>
                <w:tcPr>
                  <w:tcW w:w="1863" w:type="dxa"/>
                  <w:shd w:val="clear" w:color="auto" w:fill="auto"/>
                  <w:vAlign w:val="center"/>
                </w:tcPr>
                <w:p w14:paraId="41132A43">
                  <w:pPr>
                    <w:spacing w:line="360" w:lineRule="exact"/>
                    <w:ind w:firstLine="0" w:firstLineChars="0"/>
                    <w:jc w:val="center"/>
                    <w:rPr>
                      <w:rFonts w:hint="eastAsia"/>
                      <w:b/>
                      <w:bCs/>
                      <w:color w:val="auto"/>
                      <w:sz w:val="21"/>
                      <w:szCs w:val="21"/>
                    </w:rPr>
                  </w:pPr>
                  <w:r>
                    <w:rPr>
                      <w:rFonts w:hint="eastAsia"/>
                      <w:b/>
                      <w:bCs/>
                      <w:color w:val="auto"/>
                      <w:sz w:val="21"/>
                      <w:szCs w:val="21"/>
                    </w:rPr>
                    <w:t>苯并[a]芘</w:t>
                  </w:r>
                </w:p>
              </w:tc>
              <w:tc>
                <w:tcPr>
                  <w:tcW w:w="1617" w:type="dxa"/>
                  <w:shd w:val="clear" w:color="auto" w:fill="auto"/>
                  <w:vAlign w:val="center"/>
                </w:tcPr>
                <w:p w14:paraId="6E0B20FA">
                  <w:pPr>
                    <w:spacing w:line="360" w:lineRule="exact"/>
                    <w:ind w:firstLine="0" w:firstLineChars="0"/>
                    <w:jc w:val="center"/>
                    <w:rPr>
                      <w:rFonts w:hint="eastAsia"/>
                      <w:b/>
                      <w:bCs/>
                      <w:color w:val="auto"/>
                      <w:sz w:val="21"/>
                      <w:szCs w:val="21"/>
                    </w:rPr>
                  </w:pPr>
                  <w:r>
                    <w:rPr>
                      <w:rFonts w:hint="eastAsia"/>
                      <w:b/>
                      <w:bCs/>
                      <w:color w:val="auto"/>
                      <w:sz w:val="21"/>
                      <w:szCs w:val="21"/>
                      <w:lang w:val="en-US" w:eastAsia="zh-CN"/>
                    </w:rPr>
                    <w:t>非</w:t>
                  </w:r>
                  <w:r>
                    <w:rPr>
                      <w:rFonts w:hint="eastAsia"/>
                      <w:b/>
                      <w:bCs/>
                      <w:color w:val="auto"/>
                      <w:sz w:val="21"/>
                      <w:szCs w:val="21"/>
                    </w:rPr>
                    <w:t>甲烷总烃</w:t>
                  </w:r>
                </w:p>
              </w:tc>
              <w:tc>
                <w:tcPr>
                  <w:tcW w:w="1510" w:type="dxa"/>
                  <w:shd w:val="clear" w:color="auto" w:fill="auto"/>
                  <w:vAlign w:val="center"/>
                </w:tcPr>
                <w:p w14:paraId="1AD87A50">
                  <w:pPr>
                    <w:spacing w:line="360" w:lineRule="exact"/>
                    <w:ind w:firstLine="0" w:firstLineChars="0"/>
                    <w:jc w:val="center"/>
                    <w:rPr>
                      <w:b/>
                      <w:bCs/>
                      <w:color w:val="auto"/>
                      <w:sz w:val="21"/>
                      <w:szCs w:val="21"/>
                    </w:rPr>
                  </w:pPr>
                  <w:r>
                    <w:rPr>
                      <w:rFonts w:hint="eastAsia"/>
                      <w:b/>
                      <w:bCs/>
                      <w:color w:val="auto"/>
                      <w:sz w:val="21"/>
                      <w:szCs w:val="21"/>
                      <w:lang w:val="en-US" w:eastAsia="zh-CN"/>
                    </w:rPr>
                    <w:t>TSP</w:t>
                  </w:r>
                </w:p>
              </w:tc>
              <w:tc>
                <w:tcPr>
                  <w:tcW w:w="1402" w:type="dxa"/>
                  <w:shd w:val="clear" w:color="auto" w:fill="auto"/>
                  <w:vAlign w:val="center"/>
                </w:tcPr>
                <w:p w14:paraId="335897D5">
                  <w:pPr>
                    <w:spacing w:line="360" w:lineRule="exact"/>
                    <w:ind w:firstLine="0" w:firstLineChars="0"/>
                    <w:jc w:val="center"/>
                    <w:rPr>
                      <w:rFonts w:hint="eastAsia"/>
                      <w:b/>
                      <w:bCs/>
                      <w:color w:val="auto"/>
                      <w:sz w:val="21"/>
                      <w:szCs w:val="21"/>
                    </w:rPr>
                  </w:pPr>
                  <w:r>
                    <w:rPr>
                      <w:rFonts w:hint="eastAsia"/>
                      <w:b/>
                      <w:bCs/>
                      <w:color w:val="auto"/>
                      <w:sz w:val="21"/>
                      <w:szCs w:val="21"/>
                    </w:rPr>
                    <w:t>苯并[a]芘</w:t>
                  </w:r>
                </w:p>
              </w:tc>
              <w:tc>
                <w:tcPr>
                  <w:tcW w:w="1593" w:type="dxa"/>
                  <w:shd w:val="clear" w:color="auto" w:fill="auto"/>
                  <w:vAlign w:val="center"/>
                </w:tcPr>
                <w:p w14:paraId="7AE4DEFE">
                  <w:pPr>
                    <w:spacing w:line="360" w:lineRule="exact"/>
                    <w:ind w:firstLine="0" w:firstLineChars="0"/>
                    <w:jc w:val="center"/>
                    <w:rPr>
                      <w:rFonts w:hint="eastAsia"/>
                      <w:b/>
                      <w:bCs/>
                      <w:color w:val="auto"/>
                      <w:sz w:val="21"/>
                      <w:szCs w:val="21"/>
                    </w:rPr>
                  </w:pPr>
                  <w:r>
                    <w:rPr>
                      <w:rFonts w:hint="eastAsia"/>
                      <w:b/>
                      <w:bCs/>
                      <w:color w:val="auto"/>
                      <w:sz w:val="21"/>
                      <w:szCs w:val="21"/>
                      <w:lang w:val="en-US" w:eastAsia="zh-CN"/>
                    </w:rPr>
                    <w:t>非</w:t>
                  </w:r>
                  <w:r>
                    <w:rPr>
                      <w:rFonts w:hint="eastAsia"/>
                      <w:b/>
                      <w:bCs/>
                      <w:color w:val="auto"/>
                      <w:sz w:val="21"/>
                      <w:szCs w:val="21"/>
                    </w:rPr>
                    <w:t>甲烷总烃</w:t>
                  </w:r>
                </w:p>
              </w:tc>
            </w:tr>
            <w:tr w14:paraId="5643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Merge w:val="continue"/>
                  <w:vAlign w:val="center"/>
                </w:tcPr>
                <w:p w14:paraId="1F5900E0">
                  <w:pPr>
                    <w:spacing w:line="360" w:lineRule="exact"/>
                    <w:ind w:firstLine="0" w:firstLineChars="0"/>
                    <w:jc w:val="center"/>
                    <w:rPr>
                      <w:b/>
                      <w:bCs/>
                      <w:color w:val="auto"/>
                      <w:sz w:val="21"/>
                      <w:szCs w:val="21"/>
                    </w:rPr>
                  </w:pPr>
                </w:p>
              </w:tc>
              <w:tc>
                <w:tcPr>
                  <w:tcW w:w="1335" w:type="dxa"/>
                  <w:vMerge w:val="continue"/>
                  <w:vAlign w:val="center"/>
                </w:tcPr>
                <w:p w14:paraId="046B0883">
                  <w:pPr>
                    <w:spacing w:line="360" w:lineRule="exact"/>
                    <w:ind w:firstLine="0" w:firstLineChars="0"/>
                    <w:jc w:val="center"/>
                    <w:rPr>
                      <w:b/>
                      <w:bCs/>
                      <w:color w:val="auto"/>
                      <w:sz w:val="21"/>
                      <w:szCs w:val="21"/>
                    </w:rPr>
                  </w:pPr>
                </w:p>
              </w:tc>
              <w:tc>
                <w:tcPr>
                  <w:tcW w:w="5700" w:type="dxa"/>
                  <w:gridSpan w:val="3"/>
                  <w:vAlign w:val="center"/>
                </w:tcPr>
                <w:p w14:paraId="0AF4F01F">
                  <w:pPr>
                    <w:spacing w:line="360" w:lineRule="exact"/>
                    <w:ind w:firstLine="0" w:firstLineChars="0"/>
                    <w:jc w:val="center"/>
                    <w:rPr>
                      <w:rFonts w:hint="default" w:eastAsia="宋体"/>
                      <w:b/>
                      <w:bCs/>
                      <w:color w:val="auto"/>
                      <w:sz w:val="21"/>
                      <w:szCs w:val="21"/>
                      <w:lang w:val="en-US" w:eastAsia="zh-CN"/>
                    </w:rPr>
                  </w:pPr>
                  <w:r>
                    <w:rPr>
                      <w:rFonts w:hint="eastAsia"/>
                      <w:b/>
                      <w:bCs/>
                      <w:color w:val="auto"/>
                      <w:sz w:val="21"/>
                      <w:szCs w:val="21"/>
                      <w:lang w:val="en-US" w:eastAsia="zh-CN"/>
                    </w:rPr>
                    <w:t>1小时落地浓度（mg/m</w:t>
                  </w:r>
                  <w:r>
                    <w:rPr>
                      <w:rFonts w:hint="eastAsia"/>
                      <w:b/>
                      <w:bCs/>
                      <w:color w:val="auto"/>
                      <w:sz w:val="21"/>
                      <w:szCs w:val="21"/>
                      <w:vertAlign w:val="superscript"/>
                      <w:lang w:val="en-US" w:eastAsia="zh-CN"/>
                    </w:rPr>
                    <w:t>3</w:t>
                  </w:r>
                  <w:r>
                    <w:rPr>
                      <w:rFonts w:hint="eastAsia"/>
                      <w:b/>
                      <w:bCs/>
                      <w:color w:val="auto"/>
                      <w:sz w:val="21"/>
                      <w:szCs w:val="21"/>
                      <w:lang w:val="en-US" w:eastAsia="zh-CN"/>
                    </w:rPr>
                    <w:t>）</w:t>
                  </w:r>
                </w:p>
              </w:tc>
              <w:tc>
                <w:tcPr>
                  <w:tcW w:w="4505" w:type="dxa"/>
                  <w:gridSpan w:val="3"/>
                  <w:vAlign w:val="center"/>
                </w:tcPr>
                <w:p w14:paraId="27F87864">
                  <w:pPr>
                    <w:spacing w:line="360" w:lineRule="exact"/>
                    <w:ind w:firstLine="0" w:firstLineChars="0"/>
                    <w:jc w:val="center"/>
                    <w:rPr>
                      <w:rFonts w:hint="eastAsia"/>
                      <w:b/>
                      <w:bCs/>
                      <w:color w:val="auto"/>
                      <w:sz w:val="21"/>
                      <w:szCs w:val="21"/>
                    </w:rPr>
                  </w:pPr>
                  <w:r>
                    <w:rPr>
                      <w:rFonts w:hint="eastAsia"/>
                      <w:b/>
                      <w:bCs/>
                      <w:color w:val="auto"/>
                      <w:sz w:val="21"/>
                      <w:szCs w:val="21"/>
                    </w:rPr>
                    <w:t>占标率（%）</w:t>
                  </w:r>
                </w:p>
              </w:tc>
            </w:tr>
            <w:tr w14:paraId="63D2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0BCCC865">
                  <w:pPr>
                    <w:spacing w:line="360" w:lineRule="exact"/>
                    <w:ind w:firstLine="0" w:firstLineChars="0"/>
                    <w:jc w:val="center"/>
                    <w:rPr>
                      <w:color w:val="auto"/>
                      <w:sz w:val="21"/>
                      <w:szCs w:val="21"/>
                    </w:rPr>
                  </w:pPr>
                  <w:r>
                    <w:rPr>
                      <w:rFonts w:hint="eastAsia"/>
                      <w:color w:val="auto"/>
                      <w:sz w:val="21"/>
                      <w:szCs w:val="21"/>
                    </w:rPr>
                    <w:t>1</w:t>
                  </w:r>
                </w:p>
              </w:tc>
              <w:tc>
                <w:tcPr>
                  <w:tcW w:w="1335" w:type="dxa"/>
                  <w:vAlign w:val="center"/>
                </w:tcPr>
                <w:p w14:paraId="6C0191C8">
                  <w:pPr>
                    <w:spacing w:line="360" w:lineRule="exact"/>
                    <w:ind w:firstLine="0" w:firstLineChars="0"/>
                    <w:jc w:val="center"/>
                    <w:rPr>
                      <w:color w:val="auto"/>
                      <w:sz w:val="21"/>
                      <w:szCs w:val="21"/>
                    </w:rPr>
                  </w:pPr>
                  <w:r>
                    <w:rPr>
                      <w:rFonts w:hint="eastAsia"/>
                      <w:color w:val="auto"/>
                      <w:sz w:val="21"/>
                      <w:szCs w:val="21"/>
                    </w:rPr>
                    <w:t>10</w:t>
                  </w:r>
                </w:p>
              </w:tc>
              <w:tc>
                <w:tcPr>
                  <w:tcW w:w="2220" w:type="dxa"/>
                  <w:shd w:val="clear" w:color="auto" w:fill="auto"/>
                  <w:vAlign w:val="bottom"/>
                </w:tcPr>
                <w:p w14:paraId="6402F911">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0.42155</w:t>
                  </w:r>
                </w:p>
              </w:tc>
              <w:tc>
                <w:tcPr>
                  <w:tcW w:w="1863" w:type="dxa"/>
                  <w:shd w:val="clear" w:color="auto" w:fill="auto"/>
                  <w:vAlign w:val="bottom"/>
                </w:tcPr>
                <w:p w14:paraId="26A606F2">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0.000027</w:t>
                  </w:r>
                </w:p>
              </w:tc>
              <w:tc>
                <w:tcPr>
                  <w:tcW w:w="1617" w:type="dxa"/>
                  <w:shd w:val="clear" w:color="auto" w:fill="auto"/>
                  <w:vAlign w:val="bottom"/>
                </w:tcPr>
                <w:p w14:paraId="26720D68">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0.009761</w:t>
                  </w:r>
                </w:p>
              </w:tc>
              <w:tc>
                <w:tcPr>
                  <w:tcW w:w="1510" w:type="dxa"/>
                  <w:shd w:val="clear" w:color="auto" w:fill="auto"/>
                  <w:vAlign w:val="bottom"/>
                </w:tcPr>
                <w:p w14:paraId="1FB1ECAD">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42.16</w:t>
                  </w:r>
                </w:p>
              </w:tc>
              <w:tc>
                <w:tcPr>
                  <w:tcW w:w="1402" w:type="dxa"/>
                  <w:shd w:val="clear" w:color="auto" w:fill="auto"/>
                  <w:vAlign w:val="bottom"/>
                </w:tcPr>
                <w:p w14:paraId="42C3A8DC">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9.03</w:t>
                  </w:r>
                </w:p>
              </w:tc>
              <w:tc>
                <w:tcPr>
                  <w:tcW w:w="1593" w:type="dxa"/>
                  <w:shd w:val="clear" w:color="auto" w:fill="auto"/>
                  <w:vAlign w:val="bottom"/>
                </w:tcPr>
                <w:p w14:paraId="0D063F27">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0.49</w:t>
                  </w:r>
                </w:p>
              </w:tc>
            </w:tr>
            <w:tr w14:paraId="578D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34F28EAE">
                  <w:pPr>
                    <w:spacing w:line="360" w:lineRule="exact"/>
                    <w:ind w:firstLine="0" w:firstLineChars="0"/>
                    <w:jc w:val="center"/>
                    <w:rPr>
                      <w:color w:val="auto"/>
                      <w:sz w:val="21"/>
                      <w:szCs w:val="21"/>
                    </w:rPr>
                  </w:pPr>
                  <w:r>
                    <w:rPr>
                      <w:rFonts w:hint="eastAsia"/>
                      <w:color w:val="auto"/>
                      <w:sz w:val="21"/>
                      <w:szCs w:val="21"/>
                    </w:rPr>
                    <w:t>2</w:t>
                  </w:r>
                </w:p>
              </w:tc>
              <w:tc>
                <w:tcPr>
                  <w:tcW w:w="1335" w:type="dxa"/>
                  <w:vAlign w:val="center"/>
                </w:tcPr>
                <w:p w14:paraId="70B9D601">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2220" w:type="dxa"/>
                  <w:shd w:val="clear" w:color="auto" w:fill="CFCECE" w:themeFill="background2" w:themeFillShade="E5"/>
                  <w:vAlign w:val="bottom"/>
                </w:tcPr>
                <w:p w14:paraId="1433084C">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0.52881</w:t>
                  </w:r>
                </w:p>
              </w:tc>
              <w:tc>
                <w:tcPr>
                  <w:tcW w:w="1863" w:type="dxa"/>
                  <w:shd w:val="clear" w:color="auto" w:fill="CFCECE" w:themeFill="background2" w:themeFillShade="E5"/>
                  <w:vAlign w:val="bottom"/>
                </w:tcPr>
                <w:p w14:paraId="58F957FA">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0.000034</w:t>
                  </w:r>
                </w:p>
              </w:tc>
              <w:tc>
                <w:tcPr>
                  <w:tcW w:w="1617" w:type="dxa"/>
                  <w:shd w:val="clear" w:color="auto" w:fill="CFCECE" w:themeFill="background2" w:themeFillShade="E5"/>
                  <w:vAlign w:val="bottom"/>
                </w:tcPr>
                <w:p w14:paraId="1170BAC0">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0.012244</w:t>
                  </w:r>
                </w:p>
              </w:tc>
              <w:tc>
                <w:tcPr>
                  <w:tcW w:w="1510" w:type="dxa"/>
                  <w:shd w:val="clear" w:color="auto" w:fill="CFCECE" w:themeFill="background2" w:themeFillShade="E5"/>
                  <w:vAlign w:val="bottom"/>
                </w:tcPr>
                <w:p w14:paraId="7F398F13">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52.88</w:t>
                  </w:r>
                </w:p>
              </w:tc>
              <w:tc>
                <w:tcPr>
                  <w:tcW w:w="1402" w:type="dxa"/>
                  <w:shd w:val="clear" w:color="auto" w:fill="CFCECE" w:themeFill="background2" w:themeFillShade="E5"/>
                  <w:vAlign w:val="bottom"/>
                </w:tcPr>
                <w:p w14:paraId="7F1CB312">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11.33</w:t>
                  </w:r>
                </w:p>
              </w:tc>
              <w:tc>
                <w:tcPr>
                  <w:tcW w:w="1593" w:type="dxa"/>
                  <w:shd w:val="clear" w:color="auto" w:fill="CFCECE" w:themeFill="background2" w:themeFillShade="E5"/>
                  <w:vAlign w:val="bottom"/>
                </w:tcPr>
                <w:p w14:paraId="52B40AC6">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0.61</w:t>
                  </w:r>
                </w:p>
              </w:tc>
            </w:tr>
            <w:tr w14:paraId="385E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59403468">
                  <w:pPr>
                    <w:spacing w:line="360" w:lineRule="exact"/>
                    <w:ind w:firstLine="0" w:firstLineChars="0"/>
                    <w:jc w:val="center"/>
                    <w:rPr>
                      <w:rFonts w:hint="eastAsia" w:eastAsia="宋体"/>
                      <w:color w:val="auto"/>
                      <w:sz w:val="21"/>
                      <w:szCs w:val="21"/>
                      <w:lang w:val="en-US" w:eastAsia="zh-CN"/>
                    </w:rPr>
                  </w:pPr>
                  <w:r>
                    <w:rPr>
                      <w:rFonts w:hint="eastAsia"/>
                      <w:color w:val="auto"/>
                      <w:sz w:val="21"/>
                      <w:szCs w:val="21"/>
                      <w:lang w:val="en-US" w:eastAsia="zh-CN"/>
                    </w:rPr>
                    <w:t>3</w:t>
                  </w:r>
                </w:p>
              </w:tc>
              <w:tc>
                <w:tcPr>
                  <w:tcW w:w="1335" w:type="dxa"/>
                  <w:vAlign w:val="center"/>
                </w:tcPr>
                <w:p w14:paraId="73D2BD27">
                  <w:pPr>
                    <w:spacing w:line="360" w:lineRule="exact"/>
                    <w:ind w:firstLine="0" w:firstLineChars="0"/>
                    <w:jc w:val="center"/>
                    <w:rPr>
                      <w:rFonts w:hint="default" w:eastAsia="宋体"/>
                      <w:color w:val="auto"/>
                      <w:sz w:val="21"/>
                      <w:szCs w:val="21"/>
                      <w:lang w:val="en-US" w:eastAsia="zh-CN"/>
                    </w:rPr>
                  </w:pPr>
                  <w:r>
                    <w:rPr>
                      <w:rFonts w:hint="eastAsia"/>
                      <w:color w:val="auto"/>
                      <w:sz w:val="21"/>
                      <w:szCs w:val="21"/>
                      <w:lang w:val="en-US" w:eastAsia="zh-CN"/>
                    </w:rPr>
                    <w:t>25</w:t>
                  </w:r>
                </w:p>
              </w:tc>
              <w:tc>
                <w:tcPr>
                  <w:tcW w:w="2220" w:type="dxa"/>
                  <w:shd w:val="clear" w:color="auto" w:fill="auto"/>
                  <w:vAlign w:val="bottom"/>
                </w:tcPr>
                <w:p w14:paraId="17C87E59">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0.49704</w:t>
                  </w:r>
                </w:p>
              </w:tc>
              <w:tc>
                <w:tcPr>
                  <w:tcW w:w="1863" w:type="dxa"/>
                  <w:shd w:val="clear" w:color="auto" w:fill="auto"/>
                  <w:vAlign w:val="bottom"/>
                </w:tcPr>
                <w:p w14:paraId="79D944F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0.000032</w:t>
                  </w:r>
                </w:p>
              </w:tc>
              <w:tc>
                <w:tcPr>
                  <w:tcW w:w="1617" w:type="dxa"/>
                  <w:shd w:val="clear" w:color="auto" w:fill="auto"/>
                  <w:vAlign w:val="bottom"/>
                </w:tcPr>
                <w:p w14:paraId="49156B38">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0.011509</w:t>
                  </w:r>
                </w:p>
              </w:tc>
              <w:tc>
                <w:tcPr>
                  <w:tcW w:w="1510" w:type="dxa"/>
                  <w:shd w:val="clear" w:color="auto" w:fill="auto"/>
                  <w:vAlign w:val="bottom"/>
                </w:tcPr>
                <w:p w14:paraId="20914130">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49.70</w:t>
                  </w:r>
                </w:p>
              </w:tc>
              <w:tc>
                <w:tcPr>
                  <w:tcW w:w="1402" w:type="dxa"/>
                  <w:shd w:val="clear" w:color="auto" w:fill="auto"/>
                  <w:vAlign w:val="bottom"/>
                </w:tcPr>
                <w:p w14:paraId="49EBA1C0">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10.65</w:t>
                  </w:r>
                </w:p>
              </w:tc>
              <w:tc>
                <w:tcPr>
                  <w:tcW w:w="1593" w:type="dxa"/>
                  <w:shd w:val="clear" w:color="auto" w:fill="auto"/>
                  <w:vAlign w:val="bottom"/>
                </w:tcPr>
                <w:p w14:paraId="22890D26">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0.58</w:t>
                  </w:r>
                </w:p>
              </w:tc>
            </w:tr>
            <w:tr w14:paraId="70CB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16141DD8">
                  <w:pPr>
                    <w:spacing w:line="360" w:lineRule="exact"/>
                    <w:ind w:firstLine="0" w:firstLineChars="0"/>
                    <w:jc w:val="center"/>
                    <w:rPr>
                      <w:rFonts w:hint="eastAsia" w:eastAsia="宋体"/>
                      <w:color w:val="auto"/>
                      <w:sz w:val="21"/>
                      <w:szCs w:val="21"/>
                      <w:lang w:eastAsia="zh-CN"/>
                    </w:rPr>
                  </w:pPr>
                  <w:r>
                    <w:rPr>
                      <w:rFonts w:hint="eastAsia"/>
                      <w:color w:val="auto"/>
                      <w:sz w:val="21"/>
                      <w:szCs w:val="21"/>
                      <w:lang w:val="en-US" w:eastAsia="zh-CN"/>
                    </w:rPr>
                    <w:t>4</w:t>
                  </w:r>
                </w:p>
              </w:tc>
              <w:tc>
                <w:tcPr>
                  <w:tcW w:w="1335" w:type="dxa"/>
                  <w:vAlign w:val="center"/>
                </w:tcPr>
                <w:p w14:paraId="62105177">
                  <w:pPr>
                    <w:spacing w:line="360" w:lineRule="exact"/>
                    <w:ind w:firstLine="0" w:firstLineChars="0"/>
                    <w:jc w:val="center"/>
                    <w:rPr>
                      <w:color w:val="auto"/>
                      <w:sz w:val="21"/>
                      <w:szCs w:val="21"/>
                    </w:rPr>
                  </w:pPr>
                  <w:r>
                    <w:rPr>
                      <w:rFonts w:hint="eastAsia"/>
                      <w:color w:val="auto"/>
                      <w:sz w:val="21"/>
                      <w:szCs w:val="21"/>
                    </w:rPr>
                    <w:t>50</w:t>
                  </w:r>
                </w:p>
              </w:tc>
              <w:tc>
                <w:tcPr>
                  <w:tcW w:w="2220" w:type="dxa"/>
                  <w:shd w:val="clear" w:color="auto" w:fill="auto"/>
                  <w:vAlign w:val="bottom"/>
                </w:tcPr>
                <w:p w14:paraId="24DD3EF0">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0.3521</w:t>
                  </w:r>
                </w:p>
              </w:tc>
              <w:tc>
                <w:tcPr>
                  <w:tcW w:w="1863" w:type="dxa"/>
                  <w:shd w:val="clear" w:color="auto" w:fill="auto"/>
                  <w:vAlign w:val="bottom"/>
                </w:tcPr>
                <w:p w14:paraId="0230E4F6">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0.000023</w:t>
                  </w:r>
                </w:p>
              </w:tc>
              <w:tc>
                <w:tcPr>
                  <w:tcW w:w="1617" w:type="dxa"/>
                  <w:shd w:val="clear" w:color="auto" w:fill="auto"/>
                  <w:vAlign w:val="bottom"/>
                </w:tcPr>
                <w:p w14:paraId="42C57EDC">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0.008153</w:t>
                  </w:r>
                </w:p>
              </w:tc>
              <w:tc>
                <w:tcPr>
                  <w:tcW w:w="1510" w:type="dxa"/>
                  <w:shd w:val="clear" w:color="auto" w:fill="auto"/>
                  <w:vAlign w:val="bottom"/>
                </w:tcPr>
                <w:p w14:paraId="372C5908">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35.21</w:t>
                  </w:r>
                </w:p>
              </w:tc>
              <w:tc>
                <w:tcPr>
                  <w:tcW w:w="1402" w:type="dxa"/>
                  <w:shd w:val="clear" w:color="auto" w:fill="auto"/>
                  <w:vAlign w:val="bottom"/>
                </w:tcPr>
                <w:p w14:paraId="2714180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7.55</w:t>
                  </w:r>
                </w:p>
              </w:tc>
              <w:tc>
                <w:tcPr>
                  <w:tcW w:w="1593" w:type="dxa"/>
                  <w:shd w:val="clear" w:color="auto" w:fill="auto"/>
                  <w:vAlign w:val="bottom"/>
                </w:tcPr>
                <w:p w14:paraId="664CEC7C">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0.41</w:t>
                  </w:r>
                </w:p>
              </w:tc>
            </w:tr>
            <w:tr w14:paraId="01E8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3ECB2015">
                  <w:pPr>
                    <w:spacing w:line="360" w:lineRule="exact"/>
                    <w:ind w:firstLine="0" w:firstLineChars="0"/>
                    <w:jc w:val="center"/>
                    <w:rPr>
                      <w:color w:val="auto"/>
                      <w:sz w:val="21"/>
                      <w:szCs w:val="21"/>
                    </w:rPr>
                  </w:pPr>
                  <w:r>
                    <w:rPr>
                      <w:rFonts w:hint="eastAsia"/>
                      <w:color w:val="auto"/>
                      <w:sz w:val="21"/>
                      <w:szCs w:val="21"/>
                    </w:rPr>
                    <w:t>5</w:t>
                  </w:r>
                </w:p>
              </w:tc>
              <w:tc>
                <w:tcPr>
                  <w:tcW w:w="1335" w:type="dxa"/>
                  <w:vAlign w:val="center"/>
                </w:tcPr>
                <w:p w14:paraId="62B1814E">
                  <w:pPr>
                    <w:spacing w:line="360" w:lineRule="exact"/>
                    <w:ind w:firstLine="0" w:firstLineChars="0"/>
                    <w:jc w:val="center"/>
                    <w:rPr>
                      <w:color w:val="auto"/>
                      <w:sz w:val="21"/>
                      <w:szCs w:val="21"/>
                    </w:rPr>
                  </w:pPr>
                  <w:r>
                    <w:rPr>
                      <w:rFonts w:hint="eastAsia"/>
                      <w:color w:val="auto"/>
                      <w:sz w:val="21"/>
                      <w:szCs w:val="21"/>
                    </w:rPr>
                    <w:t>75</w:t>
                  </w:r>
                </w:p>
              </w:tc>
              <w:tc>
                <w:tcPr>
                  <w:tcW w:w="2220" w:type="dxa"/>
                  <w:shd w:val="clear" w:color="auto" w:fill="auto"/>
                  <w:vAlign w:val="bottom"/>
                </w:tcPr>
                <w:p w14:paraId="43465858">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0.27616</w:t>
                  </w:r>
                </w:p>
              </w:tc>
              <w:tc>
                <w:tcPr>
                  <w:tcW w:w="1863" w:type="dxa"/>
                  <w:shd w:val="clear" w:color="auto" w:fill="auto"/>
                  <w:vAlign w:val="bottom"/>
                </w:tcPr>
                <w:p w14:paraId="7705BBA8">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0.000018</w:t>
                  </w:r>
                </w:p>
              </w:tc>
              <w:tc>
                <w:tcPr>
                  <w:tcW w:w="1617" w:type="dxa"/>
                  <w:shd w:val="clear" w:color="auto" w:fill="auto"/>
                  <w:vAlign w:val="bottom"/>
                </w:tcPr>
                <w:p w14:paraId="26EB16BC">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0.006394</w:t>
                  </w:r>
                </w:p>
              </w:tc>
              <w:tc>
                <w:tcPr>
                  <w:tcW w:w="1510" w:type="dxa"/>
                  <w:shd w:val="clear" w:color="auto" w:fill="auto"/>
                  <w:vAlign w:val="bottom"/>
                </w:tcPr>
                <w:p w14:paraId="4C211ECA">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27.62</w:t>
                  </w:r>
                </w:p>
              </w:tc>
              <w:tc>
                <w:tcPr>
                  <w:tcW w:w="1402" w:type="dxa"/>
                  <w:shd w:val="clear" w:color="auto" w:fill="auto"/>
                  <w:vAlign w:val="bottom"/>
                </w:tcPr>
                <w:p w14:paraId="0A41485B">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5.92</w:t>
                  </w:r>
                </w:p>
              </w:tc>
              <w:tc>
                <w:tcPr>
                  <w:tcW w:w="1593" w:type="dxa"/>
                  <w:shd w:val="clear" w:color="auto" w:fill="auto"/>
                  <w:vAlign w:val="bottom"/>
                </w:tcPr>
                <w:p w14:paraId="1FBB6012">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0.32</w:t>
                  </w:r>
                </w:p>
              </w:tc>
            </w:tr>
            <w:tr w14:paraId="5D61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565AE019">
                  <w:pPr>
                    <w:spacing w:line="360" w:lineRule="exact"/>
                    <w:ind w:firstLine="0" w:firstLineChars="0"/>
                    <w:jc w:val="center"/>
                    <w:rPr>
                      <w:color w:val="auto"/>
                      <w:sz w:val="21"/>
                      <w:szCs w:val="21"/>
                    </w:rPr>
                  </w:pPr>
                  <w:r>
                    <w:rPr>
                      <w:rFonts w:hint="eastAsia"/>
                      <w:color w:val="auto"/>
                      <w:sz w:val="21"/>
                      <w:szCs w:val="21"/>
                    </w:rPr>
                    <w:t>6</w:t>
                  </w:r>
                </w:p>
              </w:tc>
              <w:tc>
                <w:tcPr>
                  <w:tcW w:w="1335" w:type="dxa"/>
                  <w:vAlign w:val="center"/>
                </w:tcPr>
                <w:p w14:paraId="548C0E94">
                  <w:pPr>
                    <w:spacing w:line="360" w:lineRule="exact"/>
                    <w:ind w:firstLine="0" w:firstLineChars="0"/>
                    <w:jc w:val="center"/>
                    <w:rPr>
                      <w:color w:val="auto"/>
                      <w:sz w:val="21"/>
                      <w:szCs w:val="21"/>
                    </w:rPr>
                  </w:pPr>
                  <w:r>
                    <w:rPr>
                      <w:rFonts w:hint="eastAsia"/>
                      <w:color w:val="auto"/>
                      <w:sz w:val="21"/>
                      <w:szCs w:val="21"/>
                    </w:rPr>
                    <w:t>100</w:t>
                  </w:r>
                </w:p>
              </w:tc>
              <w:tc>
                <w:tcPr>
                  <w:tcW w:w="2220" w:type="dxa"/>
                  <w:shd w:val="clear" w:color="auto" w:fill="auto"/>
                  <w:vAlign w:val="bottom"/>
                </w:tcPr>
                <w:p w14:paraId="2083C192">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0.23208</w:t>
                  </w:r>
                </w:p>
              </w:tc>
              <w:tc>
                <w:tcPr>
                  <w:tcW w:w="1863" w:type="dxa"/>
                  <w:shd w:val="clear" w:color="auto" w:fill="auto"/>
                  <w:vAlign w:val="bottom"/>
                </w:tcPr>
                <w:p w14:paraId="321B7722">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0.000015</w:t>
                  </w:r>
                </w:p>
              </w:tc>
              <w:tc>
                <w:tcPr>
                  <w:tcW w:w="1617" w:type="dxa"/>
                  <w:shd w:val="clear" w:color="auto" w:fill="auto"/>
                  <w:vAlign w:val="bottom"/>
                </w:tcPr>
                <w:p w14:paraId="204C4FBD">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0.005374</w:t>
                  </w:r>
                </w:p>
              </w:tc>
              <w:tc>
                <w:tcPr>
                  <w:tcW w:w="1510" w:type="dxa"/>
                  <w:shd w:val="clear" w:color="auto" w:fill="auto"/>
                  <w:vAlign w:val="bottom"/>
                </w:tcPr>
                <w:p w14:paraId="7F234C46">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23.21</w:t>
                  </w:r>
                </w:p>
              </w:tc>
              <w:tc>
                <w:tcPr>
                  <w:tcW w:w="1402" w:type="dxa"/>
                  <w:shd w:val="clear" w:color="auto" w:fill="auto"/>
                  <w:vAlign w:val="bottom"/>
                </w:tcPr>
                <w:p w14:paraId="6EC53D7D">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4.97</w:t>
                  </w:r>
                </w:p>
              </w:tc>
              <w:tc>
                <w:tcPr>
                  <w:tcW w:w="1593" w:type="dxa"/>
                  <w:shd w:val="clear" w:color="auto" w:fill="auto"/>
                  <w:vAlign w:val="bottom"/>
                </w:tcPr>
                <w:p w14:paraId="7830AD71">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0.27</w:t>
                  </w:r>
                </w:p>
              </w:tc>
            </w:tr>
            <w:tr w14:paraId="6791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622E195D">
                  <w:pPr>
                    <w:spacing w:line="360" w:lineRule="exact"/>
                    <w:ind w:firstLine="0" w:firstLineChars="0"/>
                    <w:jc w:val="center"/>
                    <w:rPr>
                      <w:color w:val="auto"/>
                      <w:sz w:val="21"/>
                      <w:szCs w:val="21"/>
                    </w:rPr>
                  </w:pPr>
                  <w:r>
                    <w:rPr>
                      <w:rFonts w:hint="eastAsia"/>
                      <w:color w:val="auto"/>
                      <w:sz w:val="21"/>
                      <w:szCs w:val="21"/>
                    </w:rPr>
                    <w:t>7</w:t>
                  </w:r>
                </w:p>
              </w:tc>
              <w:tc>
                <w:tcPr>
                  <w:tcW w:w="1335" w:type="dxa"/>
                  <w:vAlign w:val="center"/>
                </w:tcPr>
                <w:p w14:paraId="3CDBFDFE">
                  <w:pPr>
                    <w:spacing w:line="360" w:lineRule="exact"/>
                    <w:ind w:firstLine="0" w:firstLineChars="0"/>
                    <w:jc w:val="center"/>
                    <w:rPr>
                      <w:color w:val="auto"/>
                      <w:sz w:val="21"/>
                      <w:szCs w:val="21"/>
                    </w:rPr>
                  </w:pPr>
                  <w:r>
                    <w:rPr>
                      <w:rFonts w:hint="eastAsia"/>
                      <w:color w:val="auto"/>
                      <w:sz w:val="21"/>
                      <w:szCs w:val="21"/>
                    </w:rPr>
                    <w:t>125</w:t>
                  </w:r>
                </w:p>
              </w:tc>
              <w:tc>
                <w:tcPr>
                  <w:tcW w:w="2220" w:type="dxa"/>
                  <w:shd w:val="clear" w:color="auto" w:fill="auto"/>
                  <w:vAlign w:val="bottom"/>
                </w:tcPr>
                <w:p w14:paraId="1DBE80CB">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0.20311</w:t>
                  </w:r>
                </w:p>
              </w:tc>
              <w:tc>
                <w:tcPr>
                  <w:tcW w:w="1863" w:type="dxa"/>
                  <w:shd w:val="clear" w:color="auto" w:fill="auto"/>
                  <w:vAlign w:val="bottom"/>
                </w:tcPr>
                <w:p w14:paraId="56027A38">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0.000013</w:t>
                  </w:r>
                </w:p>
              </w:tc>
              <w:tc>
                <w:tcPr>
                  <w:tcW w:w="1617" w:type="dxa"/>
                  <w:shd w:val="clear" w:color="auto" w:fill="auto"/>
                  <w:vAlign w:val="bottom"/>
                </w:tcPr>
                <w:p w14:paraId="712E5B1D">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0.004703</w:t>
                  </w:r>
                </w:p>
              </w:tc>
              <w:tc>
                <w:tcPr>
                  <w:tcW w:w="1510" w:type="dxa"/>
                  <w:shd w:val="clear" w:color="auto" w:fill="auto"/>
                  <w:vAlign w:val="bottom"/>
                </w:tcPr>
                <w:p w14:paraId="58D4A607">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20.31</w:t>
                  </w:r>
                </w:p>
              </w:tc>
              <w:tc>
                <w:tcPr>
                  <w:tcW w:w="1402" w:type="dxa"/>
                  <w:shd w:val="clear" w:color="auto" w:fill="auto"/>
                  <w:vAlign w:val="bottom"/>
                </w:tcPr>
                <w:p w14:paraId="0B8203AB">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4.35</w:t>
                  </w:r>
                </w:p>
              </w:tc>
              <w:tc>
                <w:tcPr>
                  <w:tcW w:w="1593" w:type="dxa"/>
                  <w:shd w:val="clear" w:color="auto" w:fill="auto"/>
                  <w:vAlign w:val="bottom"/>
                </w:tcPr>
                <w:p w14:paraId="396B8178">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0.24</w:t>
                  </w:r>
                </w:p>
              </w:tc>
            </w:tr>
            <w:tr w14:paraId="7ABA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704B06A1">
                  <w:pPr>
                    <w:spacing w:line="360" w:lineRule="exact"/>
                    <w:ind w:firstLine="0" w:firstLineChars="0"/>
                    <w:jc w:val="center"/>
                    <w:rPr>
                      <w:color w:val="auto"/>
                      <w:sz w:val="21"/>
                      <w:szCs w:val="21"/>
                    </w:rPr>
                  </w:pPr>
                  <w:r>
                    <w:rPr>
                      <w:rFonts w:hint="eastAsia"/>
                      <w:color w:val="auto"/>
                      <w:sz w:val="21"/>
                      <w:szCs w:val="21"/>
                    </w:rPr>
                    <w:t>8</w:t>
                  </w:r>
                </w:p>
              </w:tc>
              <w:tc>
                <w:tcPr>
                  <w:tcW w:w="1335" w:type="dxa"/>
                  <w:vAlign w:val="center"/>
                </w:tcPr>
                <w:p w14:paraId="1CD11216">
                  <w:pPr>
                    <w:spacing w:line="360" w:lineRule="exact"/>
                    <w:ind w:firstLine="0" w:firstLineChars="0"/>
                    <w:jc w:val="center"/>
                    <w:rPr>
                      <w:color w:val="auto"/>
                      <w:sz w:val="21"/>
                      <w:szCs w:val="21"/>
                    </w:rPr>
                  </w:pPr>
                  <w:r>
                    <w:rPr>
                      <w:rFonts w:hint="eastAsia"/>
                      <w:color w:val="auto"/>
                      <w:sz w:val="21"/>
                      <w:szCs w:val="21"/>
                    </w:rPr>
                    <w:t>150</w:t>
                  </w:r>
                </w:p>
              </w:tc>
              <w:tc>
                <w:tcPr>
                  <w:tcW w:w="2220" w:type="dxa"/>
                  <w:shd w:val="clear" w:color="auto" w:fill="auto"/>
                  <w:vAlign w:val="bottom"/>
                </w:tcPr>
                <w:p w14:paraId="323DB84C">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0.18246</w:t>
                  </w:r>
                </w:p>
              </w:tc>
              <w:tc>
                <w:tcPr>
                  <w:tcW w:w="1863" w:type="dxa"/>
                  <w:shd w:val="clear" w:color="auto" w:fill="auto"/>
                  <w:vAlign w:val="bottom"/>
                </w:tcPr>
                <w:p w14:paraId="4A2FBB2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0.000012</w:t>
                  </w:r>
                </w:p>
              </w:tc>
              <w:tc>
                <w:tcPr>
                  <w:tcW w:w="1617" w:type="dxa"/>
                  <w:shd w:val="clear" w:color="auto" w:fill="auto"/>
                  <w:vAlign w:val="bottom"/>
                </w:tcPr>
                <w:p w14:paraId="36C98974">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0.004225</w:t>
                  </w:r>
                </w:p>
              </w:tc>
              <w:tc>
                <w:tcPr>
                  <w:tcW w:w="1510" w:type="dxa"/>
                  <w:shd w:val="clear" w:color="auto" w:fill="auto"/>
                  <w:vAlign w:val="bottom"/>
                </w:tcPr>
                <w:p w14:paraId="0E85AECF">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18.25</w:t>
                  </w:r>
                </w:p>
              </w:tc>
              <w:tc>
                <w:tcPr>
                  <w:tcW w:w="1402" w:type="dxa"/>
                  <w:shd w:val="clear" w:color="auto" w:fill="auto"/>
                  <w:vAlign w:val="bottom"/>
                </w:tcPr>
                <w:p w14:paraId="0F412FEF">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3.91</w:t>
                  </w:r>
                </w:p>
              </w:tc>
              <w:tc>
                <w:tcPr>
                  <w:tcW w:w="1593" w:type="dxa"/>
                  <w:shd w:val="clear" w:color="auto" w:fill="auto"/>
                  <w:vAlign w:val="bottom"/>
                </w:tcPr>
                <w:p w14:paraId="74570AD5">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0.21</w:t>
                  </w:r>
                </w:p>
              </w:tc>
            </w:tr>
            <w:tr w14:paraId="6520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459AC7CE">
                  <w:pPr>
                    <w:spacing w:line="360" w:lineRule="exact"/>
                    <w:ind w:firstLine="0" w:firstLineChars="0"/>
                    <w:jc w:val="center"/>
                    <w:rPr>
                      <w:color w:val="auto"/>
                      <w:sz w:val="21"/>
                      <w:szCs w:val="21"/>
                    </w:rPr>
                  </w:pPr>
                  <w:r>
                    <w:rPr>
                      <w:rFonts w:hint="eastAsia"/>
                      <w:color w:val="auto"/>
                      <w:sz w:val="21"/>
                      <w:szCs w:val="21"/>
                    </w:rPr>
                    <w:t>9</w:t>
                  </w:r>
                </w:p>
              </w:tc>
              <w:tc>
                <w:tcPr>
                  <w:tcW w:w="1335" w:type="dxa"/>
                  <w:vAlign w:val="center"/>
                </w:tcPr>
                <w:p w14:paraId="27D9E5AC">
                  <w:pPr>
                    <w:spacing w:line="360" w:lineRule="exact"/>
                    <w:ind w:firstLine="0" w:firstLineChars="0"/>
                    <w:jc w:val="center"/>
                    <w:rPr>
                      <w:color w:val="auto"/>
                      <w:sz w:val="21"/>
                      <w:szCs w:val="21"/>
                    </w:rPr>
                  </w:pPr>
                  <w:r>
                    <w:rPr>
                      <w:rFonts w:hint="eastAsia"/>
                      <w:color w:val="auto"/>
                      <w:sz w:val="21"/>
                      <w:szCs w:val="21"/>
                    </w:rPr>
                    <w:t>175</w:t>
                  </w:r>
                </w:p>
              </w:tc>
              <w:tc>
                <w:tcPr>
                  <w:tcW w:w="2220" w:type="dxa"/>
                  <w:shd w:val="clear" w:color="auto" w:fill="auto"/>
                  <w:vAlign w:val="bottom"/>
                </w:tcPr>
                <w:p w14:paraId="00DA899B">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0.16705</w:t>
                  </w:r>
                </w:p>
              </w:tc>
              <w:tc>
                <w:tcPr>
                  <w:tcW w:w="1863" w:type="dxa"/>
                  <w:shd w:val="clear" w:color="auto" w:fill="auto"/>
                  <w:vAlign w:val="bottom"/>
                </w:tcPr>
                <w:p w14:paraId="00EB8F34">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0.000011</w:t>
                  </w:r>
                </w:p>
              </w:tc>
              <w:tc>
                <w:tcPr>
                  <w:tcW w:w="1617" w:type="dxa"/>
                  <w:shd w:val="clear" w:color="auto" w:fill="auto"/>
                  <w:vAlign w:val="bottom"/>
                </w:tcPr>
                <w:p w14:paraId="75D00CB7">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0.003868</w:t>
                  </w:r>
                </w:p>
              </w:tc>
              <w:tc>
                <w:tcPr>
                  <w:tcW w:w="1510" w:type="dxa"/>
                  <w:shd w:val="clear" w:color="auto" w:fill="auto"/>
                  <w:vAlign w:val="bottom"/>
                </w:tcPr>
                <w:p w14:paraId="33600EB9">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16.71</w:t>
                  </w:r>
                </w:p>
              </w:tc>
              <w:tc>
                <w:tcPr>
                  <w:tcW w:w="1402" w:type="dxa"/>
                  <w:shd w:val="clear" w:color="auto" w:fill="auto"/>
                  <w:vAlign w:val="bottom"/>
                </w:tcPr>
                <w:p w14:paraId="7EAB0631">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3.58</w:t>
                  </w:r>
                </w:p>
              </w:tc>
              <w:tc>
                <w:tcPr>
                  <w:tcW w:w="1593" w:type="dxa"/>
                  <w:shd w:val="clear" w:color="auto" w:fill="auto"/>
                  <w:vAlign w:val="bottom"/>
                </w:tcPr>
                <w:p w14:paraId="71C9F845">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0.19</w:t>
                  </w:r>
                </w:p>
              </w:tc>
            </w:tr>
            <w:tr w14:paraId="2758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46ECAAD6">
                  <w:pPr>
                    <w:spacing w:line="360" w:lineRule="exact"/>
                    <w:ind w:firstLine="0" w:firstLineChars="0"/>
                    <w:jc w:val="center"/>
                    <w:rPr>
                      <w:color w:val="auto"/>
                      <w:sz w:val="21"/>
                      <w:szCs w:val="21"/>
                    </w:rPr>
                  </w:pPr>
                  <w:r>
                    <w:rPr>
                      <w:rFonts w:hint="eastAsia"/>
                      <w:color w:val="auto"/>
                      <w:sz w:val="21"/>
                      <w:szCs w:val="21"/>
                    </w:rPr>
                    <w:t>10</w:t>
                  </w:r>
                </w:p>
              </w:tc>
              <w:tc>
                <w:tcPr>
                  <w:tcW w:w="1335" w:type="dxa"/>
                  <w:vAlign w:val="center"/>
                </w:tcPr>
                <w:p w14:paraId="1FAE1C93">
                  <w:pPr>
                    <w:spacing w:line="360" w:lineRule="exact"/>
                    <w:ind w:firstLine="0" w:firstLineChars="0"/>
                    <w:jc w:val="center"/>
                    <w:rPr>
                      <w:color w:val="auto"/>
                      <w:sz w:val="21"/>
                      <w:szCs w:val="21"/>
                    </w:rPr>
                  </w:pPr>
                  <w:r>
                    <w:rPr>
                      <w:rFonts w:hint="eastAsia"/>
                      <w:color w:val="auto"/>
                      <w:sz w:val="21"/>
                      <w:szCs w:val="21"/>
                    </w:rPr>
                    <w:t>200</w:t>
                  </w:r>
                </w:p>
              </w:tc>
              <w:tc>
                <w:tcPr>
                  <w:tcW w:w="2220" w:type="dxa"/>
                  <w:shd w:val="clear" w:color="auto" w:fill="auto"/>
                  <w:vAlign w:val="bottom"/>
                </w:tcPr>
                <w:p w14:paraId="745EB339">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0.15492</w:t>
                  </w:r>
                </w:p>
              </w:tc>
              <w:tc>
                <w:tcPr>
                  <w:tcW w:w="1863" w:type="dxa"/>
                  <w:shd w:val="clear" w:color="auto" w:fill="auto"/>
                  <w:vAlign w:val="bottom"/>
                </w:tcPr>
                <w:p w14:paraId="00E21BB6">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0.00001</w:t>
                  </w:r>
                </w:p>
              </w:tc>
              <w:tc>
                <w:tcPr>
                  <w:tcW w:w="1617" w:type="dxa"/>
                  <w:shd w:val="clear" w:color="auto" w:fill="auto"/>
                  <w:vAlign w:val="bottom"/>
                </w:tcPr>
                <w:p w14:paraId="3AC8E675">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0.003587</w:t>
                  </w:r>
                </w:p>
              </w:tc>
              <w:tc>
                <w:tcPr>
                  <w:tcW w:w="1510" w:type="dxa"/>
                  <w:shd w:val="clear" w:color="auto" w:fill="auto"/>
                  <w:vAlign w:val="bottom"/>
                </w:tcPr>
                <w:p w14:paraId="687D32B1">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15.49</w:t>
                  </w:r>
                </w:p>
              </w:tc>
              <w:tc>
                <w:tcPr>
                  <w:tcW w:w="1402" w:type="dxa"/>
                  <w:shd w:val="clear" w:color="auto" w:fill="auto"/>
                  <w:vAlign w:val="bottom"/>
                </w:tcPr>
                <w:p w14:paraId="5E555923">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3.32</w:t>
                  </w:r>
                </w:p>
              </w:tc>
              <w:tc>
                <w:tcPr>
                  <w:tcW w:w="1593" w:type="dxa"/>
                  <w:shd w:val="clear" w:color="auto" w:fill="auto"/>
                  <w:vAlign w:val="bottom"/>
                </w:tcPr>
                <w:p w14:paraId="0CFF8D9C">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0.18</w:t>
                  </w:r>
                </w:p>
              </w:tc>
            </w:tr>
            <w:tr w14:paraId="73B0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615CBE98">
                  <w:pPr>
                    <w:spacing w:line="360" w:lineRule="exact"/>
                    <w:ind w:firstLine="0" w:firstLineChars="0"/>
                    <w:jc w:val="center"/>
                    <w:rPr>
                      <w:color w:val="auto"/>
                      <w:sz w:val="21"/>
                      <w:szCs w:val="21"/>
                    </w:rPr>
                  </w:pPr>
                  <w:r>
                    <w:rPr>
                      <w:rFonts w:hint="eastAsia"/>
                      <w:color w:val="auto"/>
                      <w:sz w:val="21"/>
                      <w:szCs w:val="21"/>
                    </w:rPr>
                    <w:t>11</w:t>
                  </w:r>
                </w:p>
              </w:tc>
              <w:tc>
                <w:tcPr>
                  <w:tcW w:w="1335" w:type="dxa"/>
                  <w:vAlign w:val="center"/>
                </w:tcPr>
                <w:p w14:paraId="0592FD2A">
                  <w:pPr>
                    <w:spacing w:line="360" w:lineRule="exact"/>
                    <w:ind w:firstLine="0" w:firstLineChars="0"/>
                    <w:jc w:val="center"/>
                    <w:rPr>
                      <w:color w:val="auto"/>
                      <w:sz w:val="21"/>
                      <w:szCs w:val="21"/>
                    </w:rPr>
                  </w:pPr>
                  <w:r>
                    <w:rPr>
                      <w:rFonts w:hint="eastAsia"/>
                      <w:color w:val="auto"/>
                      <w:sz w:val="21"/>
                      <w:szCs w:val="21"/>
                    </w:rPr>
                    <w:t>225</w:t>
                  </w:r>
                </w:p>
              </w:tc>
              <w:tc>
                <w:tcPr>
                  <w:tcW w:w="2220" w:type="dxa"/>
                  <w:shd w:val="clear" w:color="auto" w:fill="auto"/>
                  <w:vAlign w:val="bottom"/>
                </w:tcPr>
                <w:p w14:paraId="59183947">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0.14509</w:t>
                  </w:r>
                </w:p>
              </w:tc>
              <w:tc>
                <w:tcPr>
                  <w:tcW w:w="1863" w:type="dxa"/>
                  <w:shd w:val="clear" w:color="auto" w:fill="auto"/>
                  <w:vAlign w:val="bottom"/>
                </w:tcPr>
                <w:p w14:paraId="66E432C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0.000009</w:t>
                  </w:r>
                </w:p>
              </w:tc>
              <w:tc>
                <w:tcPr>
                  <w:tcW w:w="1617" w:type="dxa"/>
                  <w:shd w:val="clear" w:color="auto" w:fill="auto"/>
                  <w:vAlign w:val="bottom"/>
                </w:tcPr>
                <w:p w14:paraId="4CF1F75A">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0.00336</w:t>
                  </w:r>
                </w:p>
              </w:tc>
              <w:tc>
                <w:tcPr>
                  <w:tcW w:w="1510" w:type="dxa"/>
                  <w:shd w:val="clear" w:color="auto" w:fill="auto"/>
                  <w:vAlign w:val="bottom"/>
                </w:tcPr>
                <w:p w14:paraId="16FD9AF4">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14.51</w:t>
                  </w:r>
                </w:p>
              </w:tc>
              <w:tc>
                <w:tcPr>
                  <w:tcW w:w="1402" w:type="dxa"/>
                  <w:shd w:val="clear" w:color="auto" w:fill="auto"/>
                  <w:vAlign w:val="bottom"/>
                </w:tcPr>
                <w:p w14:paraId="69CF43B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3.11</w:t>
                  </w:r>
                </w:p>
              </w:tc>
              <w:tc>
                <w:tcPr>
                  <w:tcW w:w="1593" w:type="dxa"/>
                  <w:shd w:val="clear" w:color="auto" w:fill="auto"/>
                  <w:vAlign w:val="bottom"/>
                </w:tcPr>
                <w:p w14:paraId="5423F4C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0.17</w:t>
                  </w:r>
                </w:p>
              </w:tc>
            </w:tr>
            <w:tr w14:paraId="03BF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3D0DF586">
                  <w:pPr>
                    <w:spacing w:line="360" w:lineRule="exact"/>
                    <w:ind w:firstLine="0" w:firstLineChars="0"/>
                    <w:jc w:val="center"/>
                    <w:rPr>
                      <w:color w:val="auto"/>
                      <w:sz w:val="21"/>
                      <w:szCs w:val="21"/>
                    </w:rPr>
                  </w:pPr>
                  <w:r>
                    <w:rPr>
                      <w:rFonts w:hint="eastAsia"/>
                      <w:color w:val="auto"/>
                      <w:sz w:val="21"/>
                      <w:szCs w:val="21"/>
                    </w:rPr>
                    <w:t>12</w:t>
                  </w:r>
                </w:p>
              </w:tc>
              <w:tc>
                <w:tcPr>
                  <w:tcW w:w="1335" w:type="dxa"/>
                  <w:vAlign w:val="center"/>
                </w:tcPr>
                <w:p w14:paraId="52C16F3A">
                  <w:pPr>
                    <w:spacing w:line="360" w:lineRule="exact"/>
                    <w:ind w:firstLine="0" w:firstLineChars="0"/>
                    <w:jc w:val="center"/>
                    <w:rPr>
                      <w:color w:val="auto"/>
                      <w:sz w:val="21"/>
                      <w:szCs w:val="21"/>
                    </w:rPr>
                  </w:pPr>
                  <w:r>
                    <w:rPr>
                      <w:rFonts w:hint="eastAsia"/>
                      <w:color w:val="auto"/>
                      <w:sz w:val="21"/>
                      <w:szCs w:val="21"/>
                    </w:rPr>
                    <w:t>250</w:t>
                  </w:r>
                </w:p>
              </w:tc>
              <w:tc>
                <w:tcPr>
                  <w:tcW w:w="2220" w:type="dxa"/>
                  <w:shd w:val="clear" w:color="auto" w:fill="auto"/>
                  <w:vAlign w:val="bottom"/>
                </w:tcPr>
                <w:p w14:paraId="367D5B31">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0.13698</w:t>
                  </w:r>
                </w:p>
              </w:tc>
              <w:tc>
                <w:tcPr>
                  <w:tcW w:w="1863" w:type="dxa"/>
                  <w:shd w:val="clear" w:color="auto" w:fill="auto"/>
                  <w:vAlign w:val="bottom"/>
                </w:tcPr>
                <w:p w14:paraId="20774A42">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0.000009</w:t>
                  </w:r>
                </w:p>
              </w:tc>
              <w:tc>
                <w:tcPr>
                  <w:tcW w:w="1617" w:type="dxa"/>
                  <w:shd w:val="clear" w:color="auto" w:fill="auto"/>
                  <w:vAlign w:val="bottom"/>
                </w:tcPr>
                <w:p w14:paraId="2D706557">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0.003172</w:t>
                  </w:r>
                </w:p>
              </w:tc>
              <w:tc>
                <w:tcPr>
                  <w:tcW w:w="1510" w:type="dxa"/>
                  <w:shd w:val="clear" w:color="auto" w:fill="auto"/>
                  <w:vAlign w:val="bottom"/>
                </w:tcPr>
                <w:p w14:paraId="10D46118">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13.70</w:t>
                  </w:r>
                </w:p>
              </w:tc>
              <w:tc>
                <w:tcPr>
                  <w:tcW w:w="1402" w:type="dxa"/>
                  <w:shd w:val="clear" w:color="auto" w:fill="auto"/>
                  <w:vAlign w:val="bottom"/>
                </w:tcPr>
                <w:p w14:paraId="7CB95B62">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2.94</w:t>
                  </w:r>
                </w:p>
              </w:tc>
              <w:tc>
                <w:tcPr>
                  <w:tcW w:w="1593" w:type="dxa"/>
                  <w:shd w:val="clear" w:color="auto" w:fill="auto"/>
                  <w:vAlign w:val="bottom"/>
                </w:tcPr>
                <w:p w14:paraId="7E47B6AA">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0.16</w:t>
                  </w:r>
                </w:p>
              </w:tc>
            </w:tr>
            <w:tr w14:paraId="50DE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358428F1">
                  <w:pPr>
                    <w:spacing w:line="360" w:lineRule="exact"/>
                    <w:ind w:firstLine="0" w:firstLineChars="0"/>
                    <w:jc w:val="center"/>
                    <w:rPr>
                      <w:color w:val="auto"/>
                      <w:sz w:val="21"/>
                      <w:szCs w:val="21"/>
                    </w:rPr>
                  </w:pPr>
                  <w:r>
                    <w:rPr>
                      <w:rFonts w:hint="eastAsia"/>
                      <w:color w:val="auto"/>
                      <w:sz w:val="21"/>
                      <w:szCs w:val="21"/>
                    </w:rPr>
                    <w:t>13</w:t>
                  </w:r>
                </w:p>
              </w:tc>
              <w:tc>
                <w:tcPr>
                  <w:tcW w:w="1335" w:type="dxa"/>
                  <w:vAlign w:val="center"/>
                </w:tcPr>
                <w:p w14:paraId="009002C0">
                  <w:pPr>
                    <w:spacing w:line="360" w:lineRule="exact"/>
                    <w:ind w:firstLine="0" w:firstLineChars="0"/>
                    <w:jc w:val="center"/>
                    <w:rPr>
                      <w:color w:val="auto"/>
                      <w:sz w:val="21"/>
                      <w:szCs w:val="21"/>
                    </w:rPr>
                  </w:pPr>
                  <w:r>
                    <w:rPr>
                      <w:rFonts w:hint="eastAsia"/>
                      <w:color w:val="auto"/>
                      <w:sz w:val="21"/>
                      <w:szCs w:val="21"/>
                    </w:rPr>
                    <w:t>275</w:t>
                  </w:r>
                </w:p>
              </w:tc>
              <w:tc>
                <w:tcPr>
                  <w:tcW w:w="2220" w:type="dxa"/>
                  <w:shd w:val="clear" w:color="auto" w:fill="auto"/>
                  <w:vAlign w:val="bottom"/>
                </w:tcPr>
                <w:p w14:paraId="5F3FF024">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0.13015</w:t>
                  </w:r>
                </w:p>
              </w:tc>
              <w:tc>
                <w:tcPr>
                  <w:tcW w:w="1863" w:type="dxa"/>
                  <w:shd w:val="clear" w:color="auto" w:fill="auto"/>
                  <w:vAlign w:val="bottom"/>
                </w:tcPr>
                <w:p w14:paraId="38545020">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0.000008</w:t>
                  </w:r>
                </w:p>
              </w:tc>
              <w:tc>
                <w:tcPr>
                  <w:tcW w:w="1617" w:type="dxa"/>
                  <w:shd w:val="clear" w:color="auto" w:fill="auto"/>
                  <w:vAlign w:val="bottom"/>
                </w:tcPr>
                <w:p w14:paraId="7CFA4B6F">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0.003014</w:t>
                  </w:r>
                </w:p>
              </w:tc>
              <w:tc>
                <w:tcPr>
                  <w:tcW w:w="1510" w:type="dxa"/>
                  <w:shd w:val="clear" w:color="auto" w:fill="auto"/>
                  <w:vAlign w:val="bottom"/>
                </w:tcPr>
                <w:p w14:paraId="74B00E34">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13.02</w:t>
                  </w:r>
                </w:p>
              </w:tc>
              <w:tc>
                <w:tcPr>
                  <w:tcW w:w="1402" w:type="dxa"/>
                  <w:shd w:val="clear" w:color="auto" w:fill="auto"/>
                  <w:vAlign w:val="bottom"/>
                </w:tcPr>
                <w:p w14:paraId="06A76AD7">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2.79</w:t>
                  </w:r>
                </w:p>
              </w:tc>
              <w:tc>
                <w:tcPr>
                  <w:tcW w:w="1593" w:type="dxa"/>
                  <w:shd w:val="clear" w:color="auto" w:fill="auto"/>
                  <w:vAlign w:val="bottom"/>
                </w:tcPr>
                <w:p w14:paraId="4A125BD2">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0.15</w:t>
                  </w:r>
                </w:p>
              </w:tc>
            </w:tr>
            <w:tr w14:paraId="09BE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53903059">
                  <w:pPr>
                    <w:spacing w:line="360" w:lineRule="exact"/>
                    <w:ind w:firstLine="0" w:firstLineChars="0"/>
                    <w:jc w:val="center"/>
                    <w:rPr>
                      <w:color w:val="auto"/>
                      <w:sz w:val="21"/>
                      <w:szCs w:val="21"/>
                    </w:rPr>
                  </w:pPr>
                  <w:r>
                    <w:rPr>
                      <w:rFonts w:hint="eastAsia"/>
                      <w:color w:val="auto"/>
                      <w:sz w:val="21"/>
                      <w:szCs w:val="21"/>
                    </w:rPr>
                    <w:t>14</w:t>
                  </w:r>
                </w:p>
              </w:tc>
              <w:tc>
                <w:tcPr>
                  <w:tcW w:w="1335" w:type="dxa"/>
                  <w:vAlign w:val="center"/>
                </w:tcPr>
                <w:p w14:paraId="6907DA0A">
                  <w:pPr>
                    <w:spacing w:line="360" w:lineRule="exact"/>
                    <w:ind w:firstLine="0" w:firstLineChars="0"/>
                    <w:jc w:val="center"/>
                    <w:rPr>
                      <w:color w:val="auto"/>
                      <w:sz w:val="21"/>
                      <w:szCs w:val="21"/>
                    </w:rPr>
                  </w:pPr>
                  <w:r>
                    <w:rPr>
                      <w:rFonts w:hint="eastAsia"/>
                      <w:color w:val="auto"/>
                      <w:sz w:val="21"/>
                      <w:szCs w:val="21"/>
                    </w:rPr>
                    <w:t>300</w:t>
                  </w:r>
                </w:p>
              </w:tc>
              <w:tc>
                <w:tcPr>
                  <w:tcW w:w="2220" w:type="dxa"/>
                  <w:shd w:val="clear" w:color="auto" w:fill="auto"/>
                  <w:vAlign w:val="bottom"/>
                </w:tcPr>
                <w:p w14:paraId="74F0DC21">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0.1243</w:t>
                  </w:r>
                </w:p>
              </w:tc>
              <w:tc>
                <w:tcPr>
                  <w:tcW w:w="1863" w:type="dxa"/>
                  <w:shd w:val="clear" w:color="auto" w:fill="auto"/>
                  <w:vAlign w:val="bottom"/>
                </w:tcPr>
                <w:p w14:paraId="64BE8FED">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0.000008</w:t>
                  </w:r>
                </w:p>
              </w:tc>
              <w:tc>
                <w:tcPr>
                  <w:tcW w:w="1617" w:type="dxa"/>
                  <w:shd w:val="clear" w:color="auto" w:fill="auto"/>
                  <w:vAlign w:val="bottom"/>
                </w:tcPr>
                <w:p w14:paraId="5832F34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0.002878</w:t>
                  </w:r>
                </w:p>
              </w:tc>
              <w:tc>
                <w:tcPr>
                  <w:tcW w:w="1510" w:type="dxa"/>
                  <w:shd w:val="clear" w:color="auto" w:fill="auto"/>
                  <w:vAlign w:val="bottom"/>
                </w:tcPr>
                <w:p w14:paraId="5245669C">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12.43</w:t>
                  </w:r>
                </w:p>
              </w:tc>
              <w:tc>
                <w:tcPr>
                  <w:tcW w:w="1402" w:type="dxa"/>
                  <w:shd w:val="clear" w:color="auto" w:fill="auto"/>
                  <w:vAlign w:val="bottom"/>
                </w:tcPr>
                <w:p w14:paraId="2678BDD7">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2.66</w:t>
                  </w:r>
                </w:p>
              </w:tc>
              <w:tc>
                <w:tcPr>
                  <w:tcW w:w="1593" w:type="dxa"/>
                  <w:shd w:val="clear" w:color="auto" w:fill="auto"/>
                  <w:vAlign w:val="bottom"/>
                </w:tcPr>
                <w:p w14:paraId="745D4D76">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0.14</w:t>
                  </w:r>
                </w:p>
              </w:tc>
            </w:tr>
            <w:tr w14:paraId="070A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576DB5AE">
                  <w:pPr>
                    <w:spacing w:line="360" w:lineRule="exact"/>
                    <w:ind w:firstLine="0" w:firstLineChars="0"/>
                    <w:jc w:val="center"/>
                    <w:rPr>
                      <w:color w:val="auto"/>
                      <w:sz w:val="21"/>
                      <w:szCs w:val="21"/>
                    </w:rPr>
                  </w:pPr>
                  <w:r>
                    <w:rPr>
                      <w:rFonts w:hint="eastAsia"/>
                      <w:color w:val="auto"/>
                      <w:sz w:val="21"/>
                      <w:szCs w:val="21"/>
                    </w:rPr>
                    <w:t>15</w:t>
                  </w:r>
                </w:p>
              </w:tc>
              <w:tc>
                <w:tcPr>
                  <w:tcW w:w="1335" w:type="dxa"/>
                  <w:vAlign w:val="center"/>
                </w:tcPr>
                <w:p w14:paraId="4B9C1D3C">
                  <w:pPr>
                    <w:spacing w:line="360" w:lineRule="exact"/>
                    <w:ind w:firstLine="0" w:firstLineChars="0"/>
                    <w:jc w:val="center"/>
                    <w:rPr>
                      <w:color w:val="auto"/>
                      <w:sz w:val="21"/>
                      <w:szCs w:val="21"/>
                    </w:rPr>
                  </w:pPr>
                  <w:r>
                    <w:rPr>
                      <w:rFonts w:hint="eastAsia"/>
                      <w:color w:val="auto"/>
                      <w:sz w:val="21"/>
                      <w:szCs w:val="21"/>
                    </w:rPr>
                    <w:t>325</w:t>
                  </w:r>
                </w:p>
              </w:tc>
              <w:tc>
                <w:tcPr>
                  <w:tcW w:w="2220" w:type="dxa"/>
                  <w:shd w:val="clear" w:color="auto" w:fill="auto"/>
                  <w:vAlign w:val="bottom"/>
                </w:tcPr>
                <w:p w14:paraId="344C8C83">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0.11917</w:t>
                  </w:r>
                </w:p>
              </w:tc>
              <w:tc>
                <w:tcPr>
                  <w:tcW w:w="1863" w:type="dxa"/>
                  <w:shd w:val="clear" w:color="auto" w:fill="auto"/>
                  <w:vAlign w:val="bottom"/>
                </w:tcPr>
                <w:p w14:paraId="0F26B6F1">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0.000008</w:t>
                  </w:r>
                </w:p>
              </w:tc>
              <w:tc>
                <w:tcPr>
                  <w:tcW w:w="1617" w:type="dxa"/>
                  <w:shd w:val="clear" w:color="auto" w:fill="auto"/>
                  <w:vAlign w:val="bottom"/>
                </w:tcPr>
                <w:p w14:paraId="4E376A60">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0.002759</w:t>
                  </w:r>
                </w:p>
              </w:tc>
              <w:tc>
                <w:tcPr>
                  <w:tcW w:w="1510" w:type="dxa"/>
                  <w:shd w:val="clear" w:color="auto" w:fill="auto"/>
                  <w:vAlign w:val="bottom"/>
                </w:tcPr>
                <w:p w14:paraId="3F997150">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11.92</w:t>
                  </w:r>
                </w:p>
              </w:tc>
              <w:tc>
                <w:tcPr>
                  <w:tcW w:w="1402" w:type="dxa"/>
                  <w:shd w:val="clear" w:color="auto" w:fill="auto"/>
                  <w:vAlign w:val="bottom"/>
                </w:tcPr>
                <w:p w14:paraId="1832F8BC">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2.55</w:t>
                  </w:r>
                </w:p>
              </w:tc>
              <w:tc>
                <w:tcPr>
                  <w:tcW w:w="1593" w:type="dxa"/>
                  <w:shd w:val="clear" w:color="auto" w:fill="auto"/>
                  <w:vAlign w:val="bottom"/>
                </w:tcPr>
                <w:p w14:paraId="1CC8343F">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0.14</w:t>
                  </w:r>
                </w:p>
              </w:tc>
            </w:tr>
            <w:tr w14:paraId="0A90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17CA0F55">
                  <w:pPr>
                    <w:spacing w:line="360" w:lineRule="exact"/>
                    <w:ind w:firstLine="0" w:firstLineChars="0"/>
                    <w:jc w:val="center"/>
                    <w:rPr>
                      <w:color w:val="auto"/>
                      <w:sz w:val="21"/>
                      <w:szCs w:val="21"/>
                    </w:rPr>
                  </w:pPr>
                  <w:r>
                    <w:rPr>
                      <w:rFonts w:hint="eastAsia"/>
                      <w:color w:val="auto"/>
                      <w:sz w:val="21"/>
                      <w:szCs w:val="21"/>
                    </w:rPr>
                    <w:t>16</w:t>
                  </w:r>
                </w:p>
              </w:tc>
              <w:tc>
                <w:tcPr>
                  <w:tcW w:w="1335" w:type="dxa"/>
                  <w:vAlign w:val="center"/>
                </w:tcPr>
                <w:p w14:paraId="692DD301">
                  <w:pPr>
                    <w:spacing w:line="360" w:lineRule="exact"/>
                    <w:ind w:firstLine="0" w:firstLineChars="0"/>
                    <w:jc w:val="center"/>
                    <w:rPr>
                      <w:color w:val="auto"/>
                      <w:sz w:val="21"/>
                      <w:szCs w:val="21"/>
                    </w:rPr>
                  </w:pPr>
                  <w:r>
                    <w:rPr>
                      <w:rFonts w:hint="eastAsia"/>
                      <w:color w:val="auto"/>
                      <w:sz w:val="21"/>
                      <w:szCs w:val="21"/>
                    </w:rPr>
                    <w:t>350</w:t>
                  </w:r>
                </w:p>
              </w:tc>
              <w:tc>
                <w:tcPr>
                  <w:tcW w:w="2220" w:type="dxa"/>
                  <w:shd w:val="clear" w:color="auto" w:fill="auto"/>
                  <w:vAlign w:val="bottom"/>
                </w:tcPr>
                <w:p w14:paraId="47ED462E">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0.11456</w:t>
                  </w:r>
                </w:p>
              </w:tc>
              <w:tc>
                <w:tcPr>
                  <w:tcW w:w="1863" w:type="dxa"/>
                  <w:shd w:val="clear" w:color="auto" w:fill="auto"/>
                  <w:vAlign w:val="bottom"/>
                </w:tcPr>
                <w:p w14:paraId="7861EB75">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0.000007</w:t>
                  </w:r>
                </w:p>
              </w:tc>
              <w:tc>
                <w:tcPr>
                  <w:tcW w:w="1617" w:type="dxa"/>
                  <w:shd w:val="clear" w:color="auto" w:fill="auto"/>
                  <w:vAlign w:val="bottom"/>
                </w:tcPr>
                <w:p w14:paraId="4125A8C8">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0.002653</w:t>
                  </w:r>
                </w:p>
              </w:tc>
              <w:tc>
                <w:tcPr>
                  <w:tcW w:w="1510" w:type="dxa"/>
                  <w:shd w:val="clear" w:color="auto" w:fill="auto"/>
                  <w:vAlign w:val="bottom"/>
                </w:tcPr>
                <w:p w14:paraId="6EC7F740">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11.46</w:t>
                  </w:r>
                </w:p>
              </w:tc>
              <w:tc>
                <w:tcPr>
                  <w:tcW w:w="1402" w:type="dxa"/>
                  <w:shd w:val="clear" w:color="auto" w:fill="auto"/>
                  <w:vAlign w:val="bottom"/>
                </w:tcPr>
                <w:p w14:paraId="5D865FEE">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2.45</w:t>
                  </w:r>
                </w:p>
              </w:tc>
              <w:tc>
                <w:tcPr>
                  <w:tcW w:w="1593" w:type="dxa"/>
                  <w:shd w:val="clear" w:color="auto" w:fill="auto"/>
                  <w:vAlign w:val="bottom"/>
                </w:tcPr>
                <w:p w14:paraId="15D304AB">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0.13</w:t>
                  </w:r>
                </w:p>
              </w:tc>
            </w:tr>
            <w:tr w14:paraId="3B58D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01F0E01B">
                  <w:pPr>
                    <w:spacing w:line="360" w:lineRule="exact"/>
                    <w:ind w:firstLine="0" w:firstLineChars="0"/>
                    <w:jc w:val="center"/>
                    <w:rPr>
                      <w:color w:val="auto"/>
                      <w:sz w:val="21"/>
                      <w:szCs w:val="21"/>
                    </w:rPr>
                  </w:pPr>
                  <w:r>
                    <w:rPr>
                      <w:rFonts w:hint="eastAsia"/>
                      <w:color w:val="auto"/>
                      <w:sz w:val="21"/>
                      <w:szCs w:val="21"/>
                    </w:rPr>
                    <w:t>17</w:t>
                  </w:r>
                </w:p>
              </w:tc>
              <w:tc>
                <w:tcPr>
                  <w:tcW w:w="1335" w:type="dxa"/>
                  <w:vAlign w:val="center"/>
                </w:tcPr>
                <w:p w14:paraId="4CBE3F41">
                  <w:pPr>
                    <w:spacing w:line="360" w:lineRule="exact"/>
                    <w:ind w:firstLine="0" w:firstLineChars="0"/>
                    <w:jc w:val="center"/>
                    <w:rPr>
                      <w:color w:val="auto"/>
                      <w:sz w:val="21"/>
                      <w:szCs w:val="21"/>
                    </w:rPr>
                  </w:pPr>
                  <w:r>
                    <w:rPr>
                      <w:rFonts w:hint="eastAsia"/>
                      <w:color w:val="auto"/>
                      <w:sz w:val="21"/>
                      <w:szCs w:val="21"/>
                    </w:rPr>
                    <w:t>375</w:t>
                  </w:r>
                </w:p>
              </w:tc>
              <w:tc>
                <w:tcPr>
                  <w:tcW w:w="2220" w:type="dxa"/>
                  <w:shd w:val="clear" w:color="auto" w:fill="auto"/>
                  <w:vAlign w:val="bottom"/>
                </w:tcPr>
                <w:p w14:paraId="38DCB65D">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0.11043</w:t>
                  </w:r>
                </w:p>
              </w:tc>
              <w:tc>
                <w:tcPr>
                  <w:tcW w:w="1863" w:type="dxa"/>
                  <w:shd w:val="clear" w:color="auto" w:fill="auto"/>
                  <w:vAlign w:val="bottom"/>
                </w:tcPr>
                <w:p w14:paraId="28FE6D0E">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0.000007</w:t>
                  </w:r>
                </w:p>
              </w:tc>
              <w:tc>
                <w:tcPr>
                  <w:tcW w:w="1617" w:type="dxa"/>
                  <w:shd w:val="clear" w:color="auto" w:fill="auto"/>
                  <w:vAlign w:val="bottom"/>
                </w:tcPr>
                <w:p w14:paraId="23D08620">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0.002557</w:t>
                  </w:r>
                </w:p>
              </w:tc>
              <w:tc>
                <w:tcPr>
                  <w:tcW w:w="1510" w:type="dxa"/>
                  <w:shd w:val="clear" w:color="auto" w:fill="auto"/>
                  <w:vAlign w:val="bottom"/>
                </w:tcPr>
                <w:p w14:paraId="5E613D01">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11.04</w:t>
                  </w:r>
                </w:p>
              </w:tc>
              <w:tc>
                <w:tcPr>
                  <w:tcW w:w="1402" w:type="dxa"/>
                  <w:shd w:val="clear" w:color="auto" w:fill="auto"/>
                  <w:vAlign w:val="bottom"/>
                </w:tcPr>
                <w:p w14:paraId="7EE90B10">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2.37</w:t>
                  </w:r>
                </w:p>
              </w:tc>
              <w:tc>
                <w:tcPr>
                  <w:tcW w:w="1593" w:type="dxa"/>
                  <w:shd w:val="clear" w:color="auto" w:fill="auto"/>
                  <w:vAlign w:val="bottom"/>
                </w:tcPr>
                <w:p w14:paraId="0191235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0.13</w:t>
                  </w:r>
                </w:p>
              </w:tc>
            </w:tr>
            <w:tr w14:paraId="3031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7AA59ACA">
                  <w:pPr>
                    <w:spacing w:line="360" w:lineRule="exact"/>
                    <w:ind w:firstLine="0" w:firstLineChars="0"/>
                    <w:jc w:val="center"/>
                    <w:rPr>
                      <w:color w:val="auto"/>
                      <w:sz w:val="21"/>
                      <w:szCs w:val="21"/>
                    </w:rPr>
                  </w:pPr>
                  <w:r>
                    <w:rPr>
                      <w:rFonts w:hint="eastAsia"/>
                      <w:color w:val="auto"/>
                      <w:sz w:val="21"/>
                      <w:szCs w:val="21"/>
                    </w:rPr>
                    <w:t>18</w:t>
                  </w:r>
                </w:p>
              </w:tc>
              <w:tc>
                <w:tcPr>
                  <w:tcW w:w="1335" w:type="dxa"/>
                  <w:vAlign w:val="center"/>
                </w:tcPr>
                <w:p w14:paraId="76DA64A2">
                  <w:pPr>
                    <w:spacing w:line="360" w:lineRule="exact"/>
                    <w:ind w:firstLine="0" w:firstLineChars="0"/>
                    <w:jc w:val="center"/>
                    <w:rPr>
                      <w:color w:val="auto"/>
                      <w:sz w:val="21"/>
                      <w:szCs w:val="21"/>
                    </w:rPr>
                  </w:pPr>
                  <w:r>
                    <w:rPr>
                      <w:rFonts w:hint="eastAsia"/>
                      <w:color w:val="auto"/>
                      <w:sz w:val="21"/>
                      <w:szCs w:val="21"/>
                    </w:rPr>
                    <w:t>400</w:t>
                  </w:r>
                </w:p>
              </w:tc>
              <w:tc>
                <w:tcPr>
                  <w:tcW w:w="2220" w:type="dxa"/>
                  <w:shd w:val="clear" w:color="auto" w:fill="auto"/>
                  <w:vAlign w:val="bottom"/>
                </w:tcPr>
                <w:p w14:paraId="00A04F23">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0.10727</w:t>
                  </w:r>
                </w:p>
              </w:tc>
              <w:tc>
                <w:tcPr>
                  <w:tcW w:w="1863" w:type="dxa"/>
                  <w:shd w:val="clear" w:color="auto" w:fill="auto"/>
                  <w:vAlign w:val="bottom"/>
                </w:tcPr>
                <w:p w14:paraId="0709A0AB">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0.000007</w:t>
                  </w:r>
                </w:p>
              </w:tc>
              <w:tc>
                <w:tcPr>
                  <w:tcW w:w="1617" w:type="dxa"/>
                  <w:shd w:val="clear" w:color="auto" w:fill="auto"/>
                  <w:vAlign w:val="bottom"/>
                </w:tcPr>
                <w:p w14:paraId="1C148F9D">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0.002484</w:t>
                  </w:r>
                </w:p>
              </w:tc>
              <w:tc>
                <w:tcPr>
                  <w:tcW w:w="1510" w:type="dxa"/>
                  <w:shd w:val="clear" w:color="auto" w:fill="auto"/>
                  <w:vAlign w:val="bottom"/>
                </w:tcPr>
                <w:p w14:paraId="372112E7">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10.73</w:t>
                  </w:r>
                </w:p>
              </w:tc>
              <w:tc>
                <w:tcPr>
                  <w:tcW w:w="1402" w:type="dxa"/>
                  <w:shd w:val="clear" w:color="auto" w:fill="auto"/>
                  <w:vAlign w:val="bottom"/>
                </w:tcPr>
                <w:p w14:paraId="46CBD54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2.30</w:t>
                  </w:r>
                </w:p>
              </w:tc>
              <w:tc>
                <w:tcPr>
                  <w:tcW w:w="1593" w:type="dxa"/>
                  <w:shd w:val="clear" w:color="auto" w:fill="auto"/>
                  <w:vAlign w:val="bottom"/>
                </w:tcPr>
                <w:p w14:paraId="130F719D">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w:t>
                  </w:r>
                </w:p>
              </w:tc>
            </w:tr>
            <w:tr w14:paraId="3ED7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01AA2FD0">
                  <w:pPr>
                    <w:spacing w:line="360" w:lineRule="exact"/>
                    <w:ind w:firstLine="0" w:firstLineChars="0"/>
                    <w:jc w:val="center"/>
                    <w:rPr>
                      <w:color w:val="auto"/>
                      <w:sz w:val="21"/>
                      <w:szCs w:val="21"/>
                    </w:rPr>
                  </w:pPr>
                  <w:r>
                    <w:rPr>
                      <w:rFonts w:hint="eastAsia"/>
                      <w:color w:val="auto"/>
                      <w:sz w:val="21"/>
                      <w:szCs w:val="21"/>
                    </w:rPr>
                    <w:t>19</w:t>
                  </w:r>
                </w:p>
              </w:tc>
              <w:tc>
                <w:tcPr>
                  <w:tcW w:w="1335" w:type="dxa"/>
                  <w:vAlign w:val="center"/>
                </w:tcPr>
                <w:p w14:paraId="0466B83C">
                  <w:pPr>
                    <w:spacing w:line="360" w:lineRule="exact"/>
                    <w:ind w:firstLine="0" w:firstLineChars="0"/>
                    <w:jc w:val="center"/>
                    <w:rPr>
                      <w:color w:val="auto"/>
                      <w:sz w:val="21"/>
                      <w:szCs w:val="21"/>
                    </w:rPr>
                  </w:pPr>
                  <w:r>
                    <w:rPr>
                      <w:rFonts w:hint="eastAsia"/>
                      <w:color w:val="auto"/>
                      <w:sz w:val="21"/>
                      <w:szCs w:val="21"/>
                    </w:rPr>
                    <w:t>425</w:t>
                  </w:r>
                </w:p>
              </w:tc>
              <w:tc>
                <w:tcPr>
                  <w:tcW w:w="2220" w:type="dxa"/>
                  <w:shd w:val="clear" w:color="auto" w:fill="auto"/>
                  <w:vAlign w:val="bottom"/>
                </w:tcPr>
                <w:p w14:paraId="516C8E2D">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0.10386</w:t>
                  </w:r>
                </w:p>
              </w:tc>
              <w:tc>
                <w:tcPr>
                  <w:tcW w:w="1863" w:type="dxa"/>
                  <w:shd w:val="clear" w:color="auto" w:fill="auto"/>
                  <w:vAlign w:val="bottom"/>
                </w:tcPr>
                <w:p w14:paraId="01A9265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0.000007</w:t>
                  </w:r>
                </w:p>
              </w:tc>
              <w:tc>
                <w:tcPr>
                  <w:tcW w:w="1617" w:type="dxa"/>
                  <w:shd w:val="clear" w:color="auto" w:fill="auto"/>
                  <w:vAlign w:val="bottom"/>
                </w:tcPr>
                <w:p w14:paraId="3AA204C8">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0.002405</w:t>
                  </w:r>
                </w:p>
              </w:tc>
              <w:tc>
                <w:tcPr>
                  <w:tcW w:w="1510" w:type="dxa"/>
                  <w:shd w:val="clear" w:color="auto" w:fill="auto"/>
                  <w:vAlign w:val="bottom"/>
                </w:tcPr>
                <w:p w14:paraId="0469559E">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10.39</w:t>
                  </w:r>
                </w:p>
              </w:tc>
              <w:tc>
                <w:tcPr>
                  <w:tcW w:w="1402" w:type="dxa"/>
                  <w:shd w:val="clear" w:color="auto" w:fill="auto"/>
                  <w:vAlign w:val="bottom"/>
                </w:tcPr>
                <w:p w14:paraId="433F0E3C">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2.23</w:t>
                  </w:r>
                </w:p>
              </w:tc>
              <w:tc>
                <w:tcPr>
                  <w:tcW w:w="1593" w:type="dxa"/>
                  <w:shd w:val="clear" w:color="auto" w:fill="auto"/>
                  <w:vAlign w:val="bottom"/>
                </w:tcPr>
                <w:p w14:paraId="0EDFD837">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w:t>
                  </w:r>
                </w:p>
              </w:tc>
            </w:tr>
            <w:tr w14:paraId="3107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6" w:type="dxa"/>
                  <w:vAlign w:val="center"/>
                </w:tcPr>
                <w:p w14:paraId="1035E567">
                  <w:pPr>
                    <w:spacing w:line="360" w:lineRule="exact"/>
                    <w:ind w:firstLine="0" w:firstLineChars="0"/>
                    <w:jc w:val="center"/>
                    <w:rPr>
                      <w:color w:val="auto"/>
                      <w:sz w:val="21"/>
                      <w:szCs w:val="21"/>
                    </w:rPr>
                  </w:pPr>
                  <w:r>
                    <w:rPr>
                      <w:rFonts w:hint="eastAsia"/>
                      <w:color w:val="auto"/>
                      <w:sz w:val="21"/>
                      <w:szCs w:val="21"/>
                    </w:rPr>
                    <w:t>20</w:t>
                  </w:r>
                </w:p>
              </w:tc>
              <w:tc>
                <w:tcPr>
                  <w:tcW w:w="1335" w:type="dxa"/>
                  <w:vAlign w:val="center"/>
                </w:tcPr>
                <w:p w14:paraId="7EE6AF6A">
                  <w:pPr>
                    <w:spacing w:line="360" w:lineRule="exact"/>
                    <w:ind w:firstLine="0" w:firstLineChars="0"/>
                    <w:jc w:val="center"/>
                    <w:rPr>
                      <w:color w:val="auto"/>
                      <w:sz w:val="21"/>
                      <w:szCs w:val="21"/>
                    </w:rPr>
                  </w:pPr>
                  <w:r>
                    <w:rPr>
                      <w:rFonts w:hint="eastAsia"/>
                      <w:color w:val="auto"/>
                      <w:sz w:val="21"/>
                      <w:szCs w:val="21"/>
                    </w:rPr>
                    <w:t>450</w:t>
                  </w:r>
                </w:p>
              </w:tc>
              <w:tc>
                <w:tcPr>
                  <w:tcW w:w="2220" w:type="dxa"/>
                  <w:shd w:val="clear" w:color="auto" w:fill="auto"/>
                  <w:vAlign w:val="bottom"/>
                </w:tcPr>
                <w:p w14:paraId="4DD5A81D">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0.10074</w:t>
                  </w:r>
                </w:p>
              </w:tc>
              <w:tc>
                <w:tcPr>
                  <w:tcW w:w="1863" w:type="dxa"/>
                  <w:shd w:val="clear" w:color="auto" w:fill="auto"/>
                  <w:vAlign w:val="bottom"/>
                </w:tcPr>
                <w:p w14:paraId="7D2FE87A">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0.000006</w:t>
                  </w:r>
                </w:p>
              </w:tc>
              <w:tc>
                <w:tcPr>
                  <w:tcW w:w="1617" w:type="dxa"/>
                  <w:shd w:val="clear" w:color="auto" w:fill="auto"/>
                  <w:vAlign w:val="bottom"/>
                </w:tcPr>
                <w:p w14:paraId="3ED148C6">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0.002333</w:t>
                  </w:r>
                </w:p>
              </w:tc>
              <w:tc>
                <w:tcPr>
                  <w:tcW w:w="1510" w:type="dxa"/>
                  <w:shd w:val="clear" w:color="auto" w:fill="auto"/>
                  <w:vAlign w:val="bottom"/>
                </w:tcPr>
                <w:p w14:paraId="15BF8351">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10.07</w:t>
                  </w:r>
                </w:p>
              </w:tc>
              <w:tc>
                <w:tcPr>
                  <w:tcW w:w="1402" w:type="dxa"/>
                  <w:shd w:val="clear" w:color="auto" w:fill="auto"/>
                  <w:vAlign w:val="bottom"/>
                </w:tcPr>
                <w:p w14:paraId="4BAFE9CF">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2.16</w:t>
                  </w:r>
                </w:p>
              </w:tc>
              <w:tc>
                <w:tcPr>
                  <w:tcW w:w="1593" w:type="dxa"/>
                  <w:shd w:val="clear" w:color="auto" w:fill="auto"/>
                  <w:vAlign w:val="bottom"/>
                </w:tcPr>
                <w:p w14:paraId="36B8C65C">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0.12</w:t>
                  </w:r>
                </w:p>
              </w:tc>
            </w:tr>
            <w:tr w14:paraId="2346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6" w:type="dxa"/>
                  <w:vAlign w:val="center"/>
                </w:tcPr>
                <w:p w14:paraId="34A71AF2">
                  <w:pPr>
                    <w:spacing w:line="360" w:lineRule="exact"/>
                    <w:ind w:firstLine="0" w:firstLineChars="0"/>
                    <w:jc w:val="center"/>
                    <w:rPr>
                      <w:color w:val="auto"/>
                      <w:sz w:val="21"/>
                      <w:szCs w:val="21"/>
                    </w:rPr>
                  </w:pPr>
                  <w:r>
                    <w:rPr>
                      <w:rFonts w:hint="eastAsia"/>
                      <w:color w:val="auto"/>
                      <w:sz w:val="21"/>
                      <w:szCs w:val="21"/>
                    </w:rPr>
                    <w:t>21</w:t>
                  </w:r>
                </w:p>
              </w:tc>
              <w:tc>
                <w:tcPr>
                  <w:tcW w:w="1335" w:type="dxa"/>
                  <w:vAlign w:val="center"/>
                </w:tcPr>
                <w:p w14:paraId="6E220A28">
                  <w:pPr>
                    <w:spacing w:line="360" w:lineRule="exact"/>
                    <w:ind w:firstLine="0" w:firstLineChars="0"/>
                    <w:jc w:val="center"/>
                    <w:rPr>
                      <w:color w:val="auto"/>
                      <w:sz w:val="21"/>
                      <w:szCs w:val="21"/>
                    </w:rPr>
                  </w:pPr>
                  <w:r>
                    <w:rPr>
                      <w:rFonts w:hint="eastAsia"/>
                      <w:color w:val="auto"/>
                      <w:sz w:val="21"/>
                      <w:szCs w:val="21"/>
                    </w:rPr>
                    <w:t>475</w:t>
                  </w:r>
                </w:p>
              </w:tc>
              <w:tc>
                <w:tcPr>
                  <w:tcW w:w="2220" w:type="dxa"/>
                  <w:shd w:val="clear" w:color="auto" w:fill="auto"/>
                  <w:vAlign w:val="bottom"/>
                </w:tcPr>
                <w:p w14:paraId="258C025C">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0.09787</w:t>
                  </w:r>
                </w:p>
              </w:tc>
              <w:tc>
                <w:tcPr>
                  <w:tcW w:w="1863" w:type="dxa"/>
                  <w:shd w:val="clear" w:color="auto" w:fill="auto"/>
                  <w:vAlign w:val="bottom"/>
                </w:tcPr>
                <w:p w14:paraId="62C13B8D">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0.000006</w:t>
                  </w:r>
                </w:p>
              </w:tc>
              <w:tc>
                <w:tcPr>
                  <w:tcW w:w="1617" w:type="dxa"/>
                  <w:shd w:val="clear" w:color="auto" w:fill="auto"/>
                  <w:vAlign w:val="bottom"/>
                </w:tcPr>
                <w:p w14:paraId="1106EC74">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0.002266</w:t>
                  </w:r>
                </w:p>
              </w:tc>
              <w:tc>
                <w:tcPr>
                  <w:tcW w:w="1510" w:type="dxa"/>
                  <w:shd w:val="clear" w:color="auto" w:fill="auto"/>
                  <w:vAlign w:val="bottom"/>
                </w:tcPr>
                <w:p w14:paraId="4D6AD200">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9.79</w:t>
                  </w:r>
                </w:p>
              </w:tc>
              <w:tc>
                <w:tcPr>
                  <w:tcW w:w="1402" w:type="dxa"/>
                  <w:shd w:val="clear" w:color="auto" w:fill="auto"/>
                  <w:vAlign w:val="bottom"/>
                </w:tcPr>
                <w:p w14:paraId="55B0B50D">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2.10</w:t>
                  </w:r>
                </w:p>
              </w:tc>
              <w:tc>
                <w:tcPr>
                  <w:tcW w:w="1593" w:type="dxa"/>
                  <w:shd w:val="clear" w:color="auto" w:fill="auto"/>
                  <w:vAlign w:val="bottom"/>
                </w:tcPr>
                <w:p w14:paraId="6C8D765B">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w:t>
                  </w:r>
                </w:p>
              </w:tc>
            </w:tr>
            <w:tr w14:paraId="3F5B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6" w:type="dxa"/>
                  <w:vAlign w:val="center"/>
                </w:tcPr>
                <w:p w14:paraId="18140594">
                  <w:pPr>
                    <w:spacing w:line="360" w:lineRule="exact"/>
                    <w:ind w:firstLine="0" w:firstLineChars="0"/>
                    <w:jc w:val="center"/>
                    <w:rPr>
                      <w:color w:val="auto"/>
                      <w:sz w:val="21"/>
                      <w:szCs w:val="21"/>
                    </w:rPr>
                  </w:pPr>
                  <w:r>
                    <w:rPr>
                      <w:rFonts w:hint="eastAsia"/>
                      <w:color w:val="auto"/>
                      <w:sz w:val="21"/>
                      <w:szCs w:val="21"/>
                    </w:rPr>
                    <w:t>22</w:t>
                  </w:r>
                </w:p>
              </w:tc>
              <w:tc>
                <w:tcPr>
                  <w:tcW w:w="1335" w:type="dxa"/>
                  <w:vAlign w:val="center"/>
                </w:tcPr>
                <w:p w14:paraId="7B46D694">
                  <w:pPr>
                    <w:spacing w:line="360" w:lineRule="exact"/>
                    <w:ind w:firstLine="0" w:firstLineChars="0"/>
                    <w:jc w:val="center"/>
                    <w:rPr>
                      <w:color w:val="auto"/>
                      <w:sz w:val="21"/>
                      <w:szCs w:val="21"/>
                    </w:rPr>
                  </w:pPr>
                  <w:r>
                    <w:rPr>
                      <w:rFonts w:hint="eastAsia"/>
                      <w:color w:val="auto"/>
                      <w:sz w:val="21"/>
                      <w:szCs w:val="21"/>
                    </w:rPr>
                    <w:t>500</w:t>
                  </w:r>
                </w:p>
              </w:tc>
              <w:tc>
                <w:tcPr>
                  <w:tcW w:w="2220" w:type="dxa"/>
                  <w:shd w:val="clear" w:color="auto" w:fill="auto"/>
                  <w:vAlign w:val="bottom"/>
                </w:tcPr>
                <w:p w14:paraId="3553F38B">
                  <w:pPr>
                    <w:spacing w:line="360" w:lineRule="exact"/>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0.095213</w:t>
                  </w:r>
                </w:p>
              </w:tc>
              <w:tc>
                <w:tcPr>
                  <w:tcW w:w="1863" w:type="dxa"/>
                  <w:shd w:val="clear" w:color="auto" w:fill="auto"/>
                  <w:vAlign w:val="bottom"/>
                </w:tcPr>
                <w:p w14:paraId="31032812">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0.000006</w:t>
                  </w:r>
                </w:p>
              </w:tc>
              <w:tc>
                <w:tcPr>
                  <w:tcW w:w="1617" w:type="dxa"/>
                  <w:shd w:val="clear" w:color="auto" w:fill="auto"/>
                  <w:vAlign w:val="bottom"/>
                </w:tcPr>
                <w:p w14:paraId="5F7078E9">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0.002205</w:t>
                  </w:r>
                </w:p>
              </w:tc>
              <w:tc>
                <w:tcPr>
                  <w:tcW w:w="1510" w:type="dxa"/>
                  <w:shd w:val="clear" w:color="auto" w:fill="auto"/>
                  <w:vAlign w:val="bottom"/>
                </w:tcPr>
                <w:p w14:paraId="6ECE95EF">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9.52</w:t>
                  </w:r>
                </w:p>
              </w:tc>
              <w:tc>
                <w:tcPr>
                  <w:tcW w:w="1402" w:type="dxa"/>
                  <w:shd w:val="clear" w:color="auto" w:fill="auto"/>
                  <w:vAlign w:val="bottom"/>
                </w:tcPr>
                <w:p w14:paraId="380A27AE">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2.04</w:t>
                  </w:r>
                </w:p>
              </w:tc>
              <w:tc>
                <w:tcPr>
                  <w:tcW w:w="1593" w:type="dxa"/>
                  <w:shd w:val="clear" w:color="auto" w:fill="auto"/>
                  <w:vAlign w:val="bottom"/>
                </w:tcPr>
                <w:p w14:paraId="28BC304F">
                  <w:pPr>
                    <w:spacing w:line="360" w:lineRule="exact"/>
                    <w:ind w:firstLine="0" w:firstLineChars="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0.11</w:t>
                  </w:r>
                </w:p>
              </w:tc>
            </w:tr>
          </w:tbl>
          <w:p w14:paraId="7B5044A5">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vertAlign w:val="baseline"/>
                <w:lang w:val="en-US" w:eastAsia="zh-CN"/>
              </w:rPr>
            </w:pPr>
            <w:r>
              <w:rPr>
                <w:rFonts w:hint="eastAsia"/>
                <w:color w:val="auto"/>
              </w:rPr>
              <w:t>根据</w:t>
            </w:r>
            <w:r>
              <w:rPr>
                <w:rFonts w:hint="eastAsia"/>
                <w:color w:val="auto"/>
                <w:lang w:val="en-US" w:eastAsia="zh-CN"/>
              </w:rPr>
              <w:t>估算</w:t>
            </w:r>
            <w:r>
              <w:rPr>
                <w:rFonts w:hint="eastAsia"/>
                <w:color w:val="auto"/>
              </w:rPr>
              <w:t>结果，</w:t>
            </w:r>
            <w:r>
              <w:rPr>
                <w:rFonts w:hint="eastAsia"/>
                <w:color w:val="auto"/>
                <w:lang w:eastAsia="zh-CN"/>
              </w:rPr>
              <w:t>项目无组织排放的污染物最大落地浓度离源距离为源下风向</w:t>
            </w:r>
            <w:r>
              <w:rPr>
                <w:rFonts w:hint="eastAsia"/>
                <w:color w:val="auto"/>
                <w:lang w:val="en-US" w:eastAsia="zh-CN"/>
              </w:rPr>
              <w:t>20m，颗粒物</w:t>
            </w:r>
            <w:r>
              <w:rPr>
                <w:rFonts w:hint="eastAsia"/>
                <w:color w:val="auto"/>
              </w:rPr>
              <w:t>最大落地浓度为</w:t>
            </w:r>
            <w:r>
              <w:rPr>
                <w:rFonts w:hint="eastAsia"/>
                <w:color w:val="auto"/>
                <w:lang w:val="en-US" w:eastAsia="zh-CN"/>
              </w:rPr>
              <w:t>0.52881mg/m</w:t>
            </w:r>
            <w:r>
              <w:rPr>
                <w:rFonts w:hint="eastAsia"/>
                <w:color w:val="auto"/>
                <w:vertAlign w:val="superscript"/>
                <w:lang w:val="en-US" w:eastAsia="zh-CN"/>
              </w:rPr>
              <w:t>3</w:t>
            </w:r>
            <w:r>
              <w:rPr>
                <w:rFonts w:hint="eastAsia"/>
                <w:color w:val="auto"/>
                <w:lang w:val="en-US" w:eastAsia="zh-CN"/>
              </w:rPr>
              <w:t>，苯并[a]芘</w:t>
            </w:r>
            <w:r>
              <w:rPr>
                <w:rFonts w:hint="eastAsia"/>
                <w:color w:val="auto"/>
              </w:rPr>
              <w:t>最大落地浓度为</w:t>
            </w:r>
            <w:r>
              <w:rPr>
                <w:rFonts w:hint="eastAsia"/>
                <w:color w:val="auto"/>
                <w:lang w:val="en-US" w:eastAsia="zh-CN"/>
              </w:rPr>
              <w:t>0.000027mg/m</w:t>
            </w:r>
            <w:r>
              <w:rPr>
                <w:rFonts w:hint="eastAsia"/>
                <w:color w:val="auto"/>
                <w:vertAlign w:val="superscript"/>
                <w:lang w:val="en-US" w:eastAsia="zh-CN"/>
              </w:rPr>
              <w:t>3</w:t>
            </w:r>
            <w:r>
              <w:rPr>
                <w:rFonts w:hint="eastAsia"/>
                <w:color w:val="auto"/>
                <w:lang w:val="en-US" w:eastAsia="zh-CN"/>
              </w:rPr>
              <w:t>，</w:t>
            </w:r>
            <w:r>
              <w:rPr>
                <w:rFonts w:hint="eastAsia"/>
                <w:color w:val="auto"/>
              </w:rPr>
              <w:t>非甲烷总烃最大落地浓度为</w:t>
            </w:r>
            <w:r>
              <w:rPr>
                <w:rFonts w:hint="eastAsia"/>
                <w:color w:val="auto"/>
                <w:lang w:val="en-US" w:eastAsia="zh-CN"/>
              </w:rPr>
              <w:t>0.009761</w:t>
            </w:r>
            <w:r>
              <w:rPr>
                <w:color w:val="auto"/>
              </w:rPr>
              <w:t>mg/m</w:t>
            </w:r>
            <w:r>
              <w:rPr>
                <w:color w:val="auto"/>
                <w:vertAlign w:val="superscript"/>
              </w:rPr>
              <w:t>3</w:t>
            </w:r>
            <w:r>
              <w:rPr>
                <w:rFonts w:hint="eastAsia"/>
                <w:color w:val="auto"/>
              </w:rPr>
              <w:t>，满足《大气污染物综合排放标准》(GB16297-1996)表2中无组织排放监控浓度限值，即颗粒物≤1.0mg/m</w:t>
            </w:r>
            <w:r>
              <w:rPr>
                <w:rFonts w:hint="eastAsia"/>
                <w:color w:val="auto"/>
                <w:vertAlign w:val="superscript"/>
                <w:lang w:val="en-US" w:eastAsia="zh-CN"/>
              </w:rPr>
              <w:t>3</w:t>
            </w:r>
            <w:r>
              <w:rPr>
                <w:rFonts w:hint="eastAsia"/>
                <w:color w:val="auto"/>
              </w:rPr>
              <w:t>，</w:t>
            </w:r>
            <w:r>
              <w:rPr>
                <w:rFonts w:hint="eastAsia"/>
                <w:color w:val="auto"/>
                <w:lang w:val="en-US" w:eastAsia="zh-CN"/>
              </w:rPr>
              <w:t>苯并[a]芘</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0.008</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10</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mg/m</w:t>
            </w:r>
            <w:r>
              <w:rPr>
                <w:rFonts w:hint="eastAsia"/>
                <w:color w:val="auto"/>
                <w:vertAlign w:val="superscript"/>
                <w:lang w:val="en-US" w:eastAsia="zh-CN"/>
              </w:rPr>
              <w:t>3</w:t>
            </w:r>
            <w:r>
              <w:rPr>
                <w:rFonts w:hint="eastAsia"/>
                <w:color w:val="auto"/>
              </w:rPr>
              <w:t>，</w:t>
            </w:r>
            <w:r>
              <w:rPr>
                <w:rFonts w:hint="eastAsia" w:ascii="Times New Roman" w:hAnsi="Times New Roman" w:eastAsia="宋体" w:cs="Times New Roman"/>
                <w:color w:val="auto"/>
              </w:rPr>
              <w:t>非</w:t>
            </w:r>
            <w:r>
              <w:rPr>
                <w:rFonts w:hint="eastAsia"/>
                <w:color w:val="auto"/>
              </w:rPr>
              <w:t>甲烷总烃&lt;4.0mg/m</w:t>
            </w:r>
            <w:r>
              <w:rPr>
                <w:rFonts w:hint="eastAsia"/>
                <w:color w:val="auto"/>
                <w:vertAlign w:val="superscript"/>
                <w:lang w:val="en-US" w:eastAsia="zh-CN"/>
              </w:rPr>
              <w:t>3</w:t>
            </w:r>
            <w:r>
              <w:rPr>
                <w:rFonts w:hint="eastAsia"/>
                <w:color w:val="auto"/>
                <w:vertAlign w:val="baseline"/>
                <w:lang w:val="en-US" w:eastAsia="zh-CN"/>
              </w:rPr>
              <w:t>；</w:t>
            </w:r>
          </w:p>
          <w:p w14:paraId="19D5C553">
            <w:pPr>
              <w:adjustRightInd w:val="0"/>
              <w:spacing w:line="360" w:lineRule="auto"/>
              <w:ind w:firstLine="480" w:firstLineChars="200"/>
              <w:rPr>
                <w:bCs/>
                <w:color w:val="auto"/>
                <w:spacing w:val="-10"/>
                <w:szCs w:val="24"/>
              </w:rPr>
            </w:pPr>
            <w:r>
              <w:rPr>
                <w:rFonts w:hint="eastAsia"/>
                <w:i w:val="0"/>
                <w:iCs/>
                <w:color w:val="auto"/>
                <w:sz w:val="24"/>
                <w:szCs w:val="24"/>
                <w:lang w:val="en-US" w:eastAsia="zh-CN"/>
              </w:rPr>
              <w:t>综上分析，</w:t>
            </w:r>
            <w:r>
              <w:rPr>
                <w:rFonts w:hint="eastAsia" w:ascii="Times New Roman" w:hAnsi="Times New Roman" w:eastAsia="宋体" w:cs="Times New Roman"/>
                <w:color w:val="auto"/>
                <w:kern w:val="0"/>
                <w:sz w:val="24"/>
                <w:lang w:val="en-US" w:eastAsia="zh-CN" w:bidi="ar"/>
              </w:rPr>
              <w:t>项目区域属于环境空气质量达标区，大气环境质量现状良好，且项目周围500m</w:t>
            </w:r>
            <w:r>
              <w:rPr>
                <w:rFonts w:hint="eastAsia" w:cs="Times New Roman"/>
                <w:color w:val="auto"/>
                <w:kern w:val="0"/>
                <w:sz w:val="24"/>
                <w:lang w:val="en-US" w:eastAsia="zh-CN" w:bidi="ar"/>
              </w:rPr>
              <w:t>范围内无大气环境敏感目标</w:t>
            </w:r>
            <w:r>
              <w:rPr>
                <w:color w:val="auto"/>
                <w:spacing w:val="2"/>
                <w:sz w:val="24"/>
                <w:szCs w:val="24"/>
                <w:highlight w:val="none"/>
              </w:rPr>
              <w:t>，项目在建设及运营过程中只要加强环境管理，严格落实设计及环评提出的各项废气污染防治措施，</w:t>
            </w:r>
            <w:r>
              <w:rPr>
                <w:color w:val="auto"/>
                <w:sz w:val="24"/>
                <w:szCs w:val="24"/>
                <w:highlight w:val="none"/>
              </w:rPr>
              <w:t>项目正常排放条件下废气污染物对环境的影响可接受</w:t>
            </w:r>
            <w:r>
              <w:rPr>
                <w:bCs/>
                <w:color w:val="auto"/>
                <w:spacing w:val="-10"/>
                <w:szCs w:val="24"/>
              </w:rPr>
              <w:t>。</w:t>
            </w:r>
          </w:p>
          <w:p w14:paraId="771A11A7">
            <w:pPr>
              <w:rPr>
                <w:rFonts w:hint="eastAsia"/>
                <w:color w:val="000000" w:themeColor="text1"/>
                <w:vertAlign w:val="baseline"/>
                <w:lang w:val="en-US" w:eastAsia="zh-CN"/>
                <w14:textFill>
                  <w14:solidFill>
                    <w14:schemeClr w14:val="tx1"/>
                  </w14:solidFill>
                </w14:textFill>
              </w:rPr>
            </w:pPr>
          </w:p>
        </w:tc>
      </w:tr>
    </w:tbl>
    <w:p w14:paraId="4E8D1DE8">
      <w:pPr>
        <w:rPr>
          <w:rFonts w:hint="eastAsi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7491"/>
      </w:tblGrid>
      <w:tr w14:paraId="04A2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1" w:type="dxa"/>
          </w:tcPr>
          <w:p w14:paraId="032CF63D">
            <w:pPr>
              <w:pStyle w:val="2"/>
              <w:jc w:val="center"/>
              <w:rPr>
                <w:rFonts w:hint="eastAsia"/>
                <w:vertAlign w:val="baseline"/>
              </w:rPr>
            </w:pPr>
          </w:p>
        </w:tc>
        <w:tc>
          <w:tcPr>
            <w:tcW w:w="7491" w:type="dxa"/>
          </w:tcPr>
          <w:p w14:paraId="244F00BE">
            <w:pPr>
              <w:adjustRightInd w:val="0"/>
              <w:spacing w:line="360" w:lineRule="auto"/>
              <w:ind w:firstLine="482" w:firstLineChars="200"/>
              <w:rPr>
                <w:rFonts w:hint="default"/>
                <w:bCs/>
                <w:color w:val="0000FF"/>
                <w:spacing w:val="-10"/>
                <w:szCs w:val="24"/>
                <w:lang w:val="en-US"/>
              </w:rPr>
            </w:pPr>
            <w:r>
              <w:rPr>
                <w:rFonts w:hint="eastAsia" w:cs="Times New Roman"/>
                <w:b/>
                <w:bCs/>
                <w:color w:val="000000" w:themeColor="text1"/>
                <w:kern w:val="2"/>
                <w:sz w:val="24"/>
                <w:szCs w:val="21"/>
                <w:lang w:val="en-US" w:eastAsia="zh-CN" w:bidi="ar-SA"/>
                <w14:textFill>
                  <w14:solidFill>
                    <w14:schemeClr w14:val="tx1"/>
                  </w14:solidFill>
                </w14:textFill>
              </w:rPr>
              <w:t>（四）自行监测计划</w:t>
            </w:r>
          </w:p>
          <w:p w14:paraId="173D9310">
            <w:pPr>
              <w:keepNext w:val="0"/>
              <w:keepLines w:val="0"/>
              <w:pageBreakBefore w:val="0"/>
              <w:widowControl w:val="0"/>
              <w:kinsoku/>
              <w:wordWrap/>
              <w:overflowPunct/>
              <w:topLinePunct w:val="0"/>
              <w:autoSpaceDE/>
              <w:autoSpaceDN/>
              <w:bidi w:val="0"/>
              <w:adjustRightInd w:val="0"/>
              <w:snapToGrid w:val="0"/>
              <w:ind w:firstLine="480"/>
              <w:textAlignment w:val="auto"/>
              <w:rPr>
                <w:b/>
                <w:spacing w:val="-10"/>
                <w:sz w:val="21"/>
                <w:szCs w:val="21"/>
              </w:rPr>
            </w:pPr>
            <w:r>
              <w:rPr>
                <w:rFonts w:hint="eastAsia"/>
                <w:bCs/>
                <w:kern w:val="0"/>
                <w:szCs w:val="24"/>
              </w:rPr>
              <w:t>本项目根据《排污单位自行监测技术指南</w:t>
            </w:r>
            <w:r>
              <w:rPr>
                <w:rFonts w:hint="eastAsia"/>
                <w:bCs/>
                <w:kern w:val="0"/>
                <w:szCs w:val="24"/>
                <w:lang w:val="en-US" w:eastAsia="zh-CN"/>
              </w:rPr>
              <w:t xml:space="preserve"> </w:t>
            </w:r>
            <w:r>
              <w:rPr>
                <w:rFonts w:hint="eastAsia"/>
                <w:bCs/>
                <w:kern w:val="0"/>
                <w:szCs w:val="24"/>
              </w:rPr>
              <w:t>总则》（HJ819-2017）、《排污许可证申请与核发技术规范</w:t>
            </w:r>
            <w:r>
              <w:rPr>
                <w:rFonts w:hint="eastAsia"/>
                <w:bCs/>
                <w:kern w:val="0"/>
                <w:szCs w:val="24"/>
                <w:lang w:val="en-US" w:eastAsia="zh-CN"/>
              </w:rPr>
              <w:t xml:space="preserve"> </w:t>
            </w:r>
            <w:r>
              <w:rPr>
                <w:rFonts w:hint="eastAsia"/>
                <w:bCs/>
                <w:kern w:val="0"/>
                <w:szCs w:val="24"/>
              </w:rPr>
              <w:t>锅炉》（HJ953-2018）、《排污许可证申请与核发技术规范</w:t>
            </w:r>
            <w:r>
              <w:rPr>
                <w:rFonts w:hint="eastAsia"/>
                <w:bCs/>
                <w:kern w:val="0"/>
                <w:szCs w:val="24"/>
                <w:lang w:val="en-US" w:eastAsia="zh-CN"/>
              </w:rPr>
              <w:t xml:space="preserve"> </w:t>
            </w:r>
            <w:r>
              <w:rPr>
                <w:rFonts w:hint="eastAsia"/>
                <w:bCs/>
                <w:kern w:val="0"/>
                <w:szCs w:val="24"/>
              </w:rPr>
              <w:t>石墨及其他非金属矿物制品制造》（HJ1119-2020）制定了具体的监测计划见下表</w:t>
            </w:r>
            <w:r>
              <w:rPr>
                <w:rFonts w:hint="eastAsia"/>
                <w:bCs/>
                <w:kern w:val="0"/>
                <w:szCs w:val="24"/>
                <w:lang w:val="en-US" w:eastAsia="zh-CN"/>
              </w:rPr>
              <w:t>4-11</w:t>
            </w:r>
            <w:r>
              <w:rPr>
                <w:rFonts w:hint="eastAsia"/>
                <w:bCs/>
                <w:kern w:val="0"/>
                <w:szCs w:val="24"/>
              </w:rPr>
              <w:t>。</w:t>
            </w:r>
          </w:p>
          <w:p w14:paraId="2D0ABFD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b/>
                <w:bCs/>
                <w:spacing w:val="-10"/>
                <w:sz w:val="21"/>
                <w:szCs w:val="21"/>
              </w:rPr>
            </w:pPr>
            <w:r>
              <w:rPr>
                <w:rFonts w:hint="eastAsia" w:ascii="Times New Roman" w:hAnsi="Times New Roman" w:eastAsia="宋体" w:cs="Times New Roman"/>
                <w:b/>
                <w:bCs/>
                <w:snapToGrid w:val="0"/>
                <w:kern w:val="0"/>
                <w:sz w:val="21"/>
                <w:szCs w:val="21"/>
                <w:lang w:val="en-US" w:eastAsia="zh-CN" w:bidi="ar-SA"/>
              </w:rPr>
              <w:t>表4</w:t>
            </w:r>
            <w:r>
              <w:rPr>
                <w:rFonts w:ascii="Times New Roman" w:hAnsi="Times New Roman" w:eastAsia="宋体" w:cs="Times New Roman"/>
                <w:b/>
                <w:bCs/>
                <w:snapToGrid w:val="0"/>
                <w:kern w:val="0"/>
                <w:sz w:val="21"/>
                <w:szCs w:val="21"/>
                <w:lang w:val="en-US" w:eastAsia="zh-CN" w:bidi="ar-SA"/>
              </w:rPr>
              <w:t>-</w:t>
            </w:r>
            <w:r>
              <w:rPr>
                <w:rFonts w:hint="eastAsia" w:ascii="Times New Roman" w:hAnsi="Times New Roman" w:eastAsia="宋体" w:cs="Times New Roman"/>
                <w:b/>
                <w:bCs/>
                <w:snapToGrid w:val="0"/>
                <w:kern w:val="0"/>
                <w:sz w:val="21"/>
                <w:szCs w:val="21"/>
                <w:lang w:val="en-US" w:eastAsia="zh-CN" w:bidi="ar-SA"/>
              </w:rPr>
              <w:t>1</w:t>
            </w:r>
            <w:r>
              <w:rPr>
                <w:rFonts w:hint="eastAsia" w:cs="Times New Roman"/>
                <w:b/>
                <w:bCs/>
                <w:snapToGrid w:val="0"/>
                <w:kern w:val="0"/>
                <w:sz w:val="21"/>
                <w:szCs w:val="21"/>
                <w:lang w:val="en-US" w:eastAsia="zh-CN" w:bidi="ar-SA"/>
              </w:rPr>
              <w:t>1</w:t>
            </w:r>
            <w:r>
              <w:rPr>
                <w:rFonts w:hint="eastAsia" w:ascii="Times New Roman" w:hAnsi="Times New Roman" w:eastAsia="宋体" w:cs="Times New Roman"/>
                <w:b/>
                <w:bCs/>
                <w:snapToGrid w:val="0"/>
                <w:kern w:val="0"/>
                <w:sz w:val="21"/>
                <w:szCs w:val="21"/>
                <w:lang w:val="en-US" w:eastAsia="zh-CN" w:bidi="ar-SA"/>
              </w:rPr>
              <w:t xml:space="preserve">  </w:t>
            </w:r>
            <w:r>
              <w:rPr>
                <w:rFonts w:ascii="Times New Roman" w:hAnsi="Times New Roman" w:eastAsia="宋体" w:cs="Times New Roman"/>
                <w:b/>
                <w:bCs/>
                <w:snapToGrid w:val="0"/>
                <w:kern w:val="0"/>
                <w:sz w:val="21"/>
                <w:szCs w:val="21"/>
                <w:lang w:val="en-US" w:eastAsia="zh-CN" w:bidi="ar-SA"/>
              </w:rPr>
              <w:t xml:space="preserve"> </w:t>
            </w:r>
            <w:r>
              <w:rPr>
                <w:rFonts w:hint="eastAsia" w:ascii="Times New Roman" w:hAnsi="Times New Roman" w:eastAsia="宋体" w:cs="Times New Roman"/>
                <w:b/>
                <w:bCs/>
                <w:snapToGrid w:val="0"/>
                <w:kern w:val="0"/>
                <w:sz w:val="21"/>
                <w:szCs w:val="21"/>
                <w:lang w:val="en-US" w:eastAsia="zh-CN" w:bidi="ar-SA"/>
              </w:rPr>
              <w:t>项目运营期监测计划一览表</w:t>
            </w:r>
          </w:p>
          <w:tbl>
            <w:tblPr>
              <w:tblStyle w:val="16"/>
              <w:tblW w:w="7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68"/>
              <w:gridCol w:w="2300"/>
              <w:gridCol w:w="967"/>
              <w:gridCol w:w="2516"/>
            </w:tblGrid>
            <w:tr w14:paraId="69C6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67" w:type="dxa"/>
                  <w:vAlign w:val="center"/>
                </w:tcPr>
                <w:p w14:paraId="21AC5AF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类别</w:t>
                  </w:r>
                </w:p>
              </w:tc>
              <w:tc>
                <w:tcPr>
                  <w:tcW w:w="868" w:type="dxa"/>
                  <w:vAlign w:val="center"/>
                </w:tcPr>
                <w:p w14:paraId="7933FD77">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监测点</w:t>
                  </w:r>
                </w:p>
              </w:tc>
              <w:tc>
                <w:tcPr>
                  <w:tcW w:w="2300" w:type="dxa"/>
                  <w:vAlign w:val="center"/>
                </w:tcPr>
                <w:p w14:paraId="20EC3B5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监测因子</w:t>
                  </w:r>
                </w:p>
              </w:tc>
              <w:tc>
                <w:tcPr>
                  <w:tcW w:w="967" w:type="dxa"/>
                  <w:vAlign w:val="center"/>
                </w:tcPr>
                <w:p w14:paraId="5C650C8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频次</w:t>
                  </w:r>
                </w:p>
              </w:tc>
              <w:tc>
                <w:tcPr>
                  <w:tcW w:w="2516" w:type="dxa"/>
                  <w:vAlign w:val="center"/>
                </w:tcPr>
                <w:p w14:paraId="30186F2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sz w:val="21"/>
                      <w:szCs w:val="21"/>
                    </w:rPr>
                  </w:pPr>
                  <w:r>
                    <w:rPr>
                      <w:b/>
                      <w:bCs/>
                      <w:sz w:val="21"/>
                      <w:szCs w:val="21"/>
                    </w:rPr>
                    <w:t>执行标准</w:t>
                  </w:r>
                </w:p>
              </w:tc>
            </w:tr>
            <w:tr w14:paraId="4FE3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67" w:type="dxa"/>
                  <w:vMerge w:val="restart"/>
                  <w:vAlign w:val="center"/>
                </w:tcPr>
                <w:p w14:paraId="03870E2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有组织</w:t>
                  </w:r>
                </w:p>
              </w:tc>
              <w:tc>
                <w:tcPr>
                  <w:tcW w:w="868" w:type="dxa"/>
                  <w:shd w:val="clear" w:color="auto" w:fill="auto"/>
                  <w:vAlign w:val="center"/>
                </w:tcPr>
                <w:p w14:paraId="4ECFF44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DA001</w:t>
                  </w:r>
                </w:p>
              </w:tc>
              <w:tc>
                <w:tcPr>
                  <w:tcW w:w="2300" w:type="dxa"/>
                  <w:shd w:val="clear" w:color="auto" w:fill="auto"/>
                  <w:vAlign w:val="center"/>
                </w:tcPr>
                <w:p w14:paraId="22A418E0">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颗粒物、二氧化硫、氮氧化物</w:t>
                  </w:r>
                </w:p>
              </w:tc>
              <w:tc>
                <w:tcPr>
                  <w:tcW w:w="967" w:type="dxa"/>
                  <w:shd w:val="clear" w:color="auto" w:fill="auto"/>
                  <w:vAlign w:val="center"/>
                </w:tcPr>
                <w:p w14:paraId="1B08399B">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1次/半年</w:t>
                  </w:r>
                </w:p>
              </w:tc>
              <w:tc>
                <w:tcPr>
                  <w:tcW w:w="2516" w:type="dxa"/>
                  <w:vMerge w:val="restart"/>
                  <w:vAlign w:val="center"/>
                </w:tcPr>
                <w:p w14:paraId="6C9800C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《大气污染物综合排放标准》（GB16297-1996）表2中的标准限值要求</w:t>
                  </w:r>
                </w:p>
              </w:tc>
            </w:tr>
            <w:tr w14:paraId="4330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0" w:hRule="atLeast"/>
              </w:trPr>
              <w:tc>
                <w:tcPr>
                  <w:tcW w:w="667" w:type="dxa"/>
                  <w:vMerge w:val="continue"/>
                  <w:vAlign w:val="center"/>
                </w:tcPr>
                <w:p w14:paraId="1108537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shd w:val="clear" w:color="auto" w:fill="auto"/>
                  <w:vAlign w:val="center"/>
                </w:tcPr>
                <w:p w14:paraId="40A17542">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DA003</w:t>
                  </w:r>
                </w:p>
              </w:tc>
              <w:tc>
                <w:tcPr>
                  <w:tcW w:w="2300" w:type="dxa"/>
                  <w:shd w:val="clear" w:color="auto" w:fill="auto"/>
                  <w:vAlign w:val="center"/>
                </w:tcPr>
                <w:p w14:paraId="2A7FF69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沥青烟、苯并芘</w:t>
                  </w:r>
                  <w:r>
                    <w:rPr>
                      <w:rFonts w:hint="eastAsia"/>
                      <w:color w:val="auto"/>
                      <w:sz w:val="21"/>
                      <w:szCs w:val="21"/>
                      <w:lang w:eastAsia="zh-CN"/>
                    </w:rPr>
                    <w:t>、</w:t>
                  </w:r>
                  <w:r>
                    <w:rPr>
                      <w:rFonts w:hint="eastAsia"/>
                      <w:color w:val="auto"/>
                      <w:sz w:val="21"/>
                      <w:szCs w:val="21"/>
                      <w:lang w:val="en-US" w:eastAsia="zh-CN"/>
                    </w:rPr>
                    <w:t>非甲烷总烃、颗粒物</w:t>
                  </w:r>
                </w:p>
              </w:tc>
              <w:tc>
                <w:tcPr>
                  <w:tcW w:w="967" w:type="dxa"/>
                  <w:shd w:val="clear" w:color="auto" w:fill="auto"/>
                  <w:vAlign w:val="center"/>
                </w:tcPr>
                <w:p w14:paraId="0809FEC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1次/年</w:t>
                  </w:r>
                </w:p>
              </w:tc>
              <w:tc>
                <w:tcPr>
                  <w:tcW w:w="2516" w:type="dxa"/>
                  <w:vMerge w:val="continue"/>
                  <w:vAlign w:val="center"/>
                </w:tcPr>
                <w:p w14:paraId="0CA878D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r>
            <w:tr w14:paraId="5F4B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667" w:type="dxa"/>
                  <w:vMerge w:val="continue"/>
                  <w:vAlign w:val="center"/>
                </w:tcPr>
                <w:p w14:paraId="6AE82DE8">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p>
              </w:tc>
              <w:tc>
                <w:tcPr>
                  <w:tcW w:w="868" w:type="dxa"/>
                  <w:vAlign w:val="center"/>
                </w:tcPr>
                <w:p w14:paraId="6E861DED">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default"/>
                      <w:color w:val="auto"/>
                      <w:sz w:val="21"/>
                      <w:szCs w:val="21"/>
                      <w:lang w:val="en-US" w:eastAsia="zh-CN"/>
                    </w:rPr>
                    <w:t>DA002</w:t>
                  </w:r>
                </w:p>
              </w:tc>
              <w:tc>
                <w:tcPr>
                  <w:tcW w:w="2300" w:type="dxa"/>
                  <w:vAlign w:val="center"/>
                </w:tcPr>
                <w:p w14:paraId="47DA5BC5">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颗粒物、二氧化硫、氮氧化物、林格曼黑度</w:t>
                  </w:r>
                </w:p>
              </w:tc>
              <w:tc>
                <w:tcPr>
                  <w:tcW w:w="967" w:type="dxa"/>
                  <w:vAlign w:val="center"/>
                </w:tcPr>
                <w:p w14:paraId="5F2A691C">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color w:val="auto"/>
                      <w:sz w:val="21"/>
                      <w:szCs w:val="21"/>
                      <w:lang w:val="en-US" w:eastAsia="zh-CN"/>
                    </w:rPr>
                  </w:pPr>
                  <w:r>
                    <w:rPr>
                      <w:rFonts w:hint="eastAsia"/>
                      <w:color w:val="auto"/>
                      <w:sz w:val="21"/>
                      <w:szCs w:val="21"/>
                    </w:rPr>
                    <w:t>1次/</w:t>
                  </w:r>
                  <w:r>
                    <w:rPr>
                      <w:rFonts w:hint="eastAsia"/>
                      <w:color w:val="auto"/>
                      <w:sz w:val="21"/>
                      <w:szCs w:val="21"/>
                      <w:lang w:val="en-US" w:eastAsia="zh-CN"/>
                    </w:rPr>
                    <w:t>月</w:t>
                  </w:r>
                </w:p>
              </w:tc>
              <w:tc>
                <w:tcPr>
                  <w:tcW w:w="2516" w:type="dxa"/>
                  <w:vAlign w:val="center"/>
                </w:tcPr>
                <w:p w14:paraId="500C442A">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《锅炉大气污染物排放标准》（GB13271-2014）中表2 大气污染物排放限值中的燃油锅炉浓度限值</w:t>
                  </w:r>
                </w:p>
              </w:tc>
            </w:tr>
            <w:tr w14:paraId="777D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67" w:type="dxa"/>
                  <w:vAlign w:val="center"/>
                </w:tcPr>
                <w:p w14:paraId="07386E49">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无组织</w:t>
                  </w:r>
                </w:p>
              </w:tc>
              <w:tc>
                <w:tcPr>
                  <w:tcW w:w="868" w:type="dxa"/>
                  <w:vAlign w:val="center"/>
                </w:tcPr>
                <w:p w14:paraId="442B40C6">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厂界</w:t>
                  </w:r>
                </w:p>
              </w:tc>
              <w:tc>
                <w:tcPr>
                  <w:tcW w:w="2300" w:type="dxa"/>
                  <w:vAlign w:val="center"/>
                </w:tcPr>
                <w:p w14:paraId="3B035D0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rPr>
                    <w:t>颗粒物、苯并芘</w:t>
                  </w:r>
                  <w:r>
                    <w:rPr>
                      <w:rFonts w:hint="eastAsia"/>
                      <w:color w:val="auto"/>
                      <w:sz w:val="21"/>
                      <w:szCs w:val="21"/>
                      <w:lang w:eastAsia="zh-CN"/>
                    </w:rPr>
                    <w:t>、</w:t>
                  </w:r>
                  <w:r>
                    <w:rPr>
                      <w:rFonts w:hint="eastAsia"/>
                      <w:color w:val="auto"/>
                      <w:sz w:val="21"/>
                      <w:szCs w:val="21"/>
                      <w:lang w:val="en-US" w:eastAsia="zh-CN"/>
                    </w:rPr>
                    <w:t>非甲烷总烃</w:t>
                  </w:r>
                </w:p>
              </w:tc>
              <w:tc>
                <w:tcPr>
                  <w:tcW w:w="967" w:type="dxa"/>
                  <w:vAlign w:val="center"/>
                </w:tcPr>
                <w:p w14:paraId="6590C034">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1次/年</w:t>
                  </w:r>
                </w:p>
              </w:tc>
              <w:tc>
                <w:tcPr>
                  <w:tcW w:w="2516" w:type="dxa"/>
                  <w:vAlign w:val="center"/>
                </w:tcPr>
                <w:p w14:paraId="6B09D533">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color w:val="auto"/>
                      <w:sz w:val="21"/>
                      <w:szCs w:val="21"/>
                    </w:rPr>
                  </w:pPr>
                  <w:r>
                    <w:rPr>
                      <w:rFonts w:hint="eastAsia"/>
                      <w:color w:val="auto"/>
                      <w:sz w:val="21"/>
                      <w:szCs w:val="21"/>
                    </w:rPr>
                    <w:t>《大气污染物综合排放标准》（GB16297-1996）表2中的标准限值要求</w:t>
                  </w:r>
                </w:p>
              </w:tc>
            </w:tr>
          </w:tbl>
          <w:p w14:paraId="333FBF3A">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二</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w:t>
            </w:r>
            <w:r>
              <w:rPr>
                <w:rFonts w:hint="eastAsia" w:cs="Times New Roman"/>
                <w:b/>
                <w:bCs/>
                <w:color w:val="000000" w:themeColor="text1"/>
                <w:szCs w:val="21"/>
                <w:lang w:val="en-US" w:eastAsia="zh-CN"/>
                <w14:textFill>
                  <w14:solidFill>
                    <w14:schemeClr w14:val="tx1"/>
                  </w14:solidFill>
                </w14:textFill>
              </w:rPr>
              <w:t>水</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环境影响及保护措施</w:t>
            </w:r>
          </w:p>
          <w:p w14:paraId="5EC08B14">
            <w:pPr>
              <w:ind w:firstLine="480"/>
              <w:rPr>
                <w:rFonts w:hint="eastAsia" w:eastAsia="宋体" w:cs="Times New Roman"/>
                <w:b/>
                <w:bCs/>
                <w:color w:val="000000" w:themeColor="text1"/>
                <w:kern w:val="2"/>
                <w:sz w:val="24"/>
                <w:szCs w:val="21"/>
                <w:lang w:val="en-US" w:eastAsia="zh-CN" w:bidi="ar-SA"/>
                <w14:textFill>
                  <w14:solidFill>
                    <w14:schemeClr w14:val="tx1"/>
                  </w14:solidFill>
                </w14:textFill>
              </w:rPr>
            </w:pPr>
            <w:r>
              <w:rPr>
                <w:rFonts w:hint="eastAsia"/>
                <w:bCs/>
                <w:kern w:val="0"/>
                <w:szCs w:val="24"/>
              </w:rPr>
              <w:t>项目运营期产生的废水主</w:t>
            </w:r>
            <w:r>
              <w:rPr>
                <w:rFonts w:hint="eastAsia"/>
                <w:bCs/>
                <w:color w:val="auto"/>
                <w:kern w:val="0"/>
                <w:szCs w:val="24"/>
              </w:rPr>
              <w:t>要为</w:t>
            </w:r>
            <w:r>
              <w:rPr>
                <w:rFonts w:hint="eastAsia"/>
                <w:bCs/>
                <w:color w:val="auto"/>
                <w:kern w:val="0"/>
                <w:szCs w:val="24"/>
                <w:lang w:val="en-US" w:eastAsia="zh-CN"/>
              </w:rPr>
              <w:t>办公废水、运输车辆清洗水及初</w:t>
            </w:r>
            <w:r>
              <w:rPr>
                <w:rFonts w:hint="eastAsia"/>
                <w:bCs/>
                <w:color w:val="auto"/>
                <w:kern w:val="0"/>
                <w:szCs w:val="24"/>
              </w:rPr>
              <w:t>期雨水</w:t>
            </w:r>
            <w:r>
              <w:rPr>
                <w:rFonts w:hint="eastAsia"/>
                <w:bCs/>
                <w:color w:val="auto"/>
                <w:kern w:val="0"/>
                <w:szCs w:val="24"/>
                <w:lang w:eastAsia="zh-CN"/>
              </w:rPr>
              <w:t>。</w:t>
            </w:r>
          </w:p>
          <w:p w14:paraId="5CA693C1">
            <w:pPr>
              <w:adjustRightInd w:val="0"/>
              <w:spacing w:line="360" w:lineRule="auto"/>
              <w:ind w:firstLine="482" w:firstLineChars="200"/>
              <w:rPr>
                <w:rFonts w:hint="default"/>
                <w:bCs/>
                <w:color w:val="0000FF"/>
                <w:spacing w:val="-10"/>
                <w:szCs w:val="24"/>
                <w:lang w:val="en-US"/>
              </w:rPr>
            </w:pPr>
            <w:r>
              <w:rPr>
                <w:rFonts w:hint="eastAsia" w:cs="Times New Roman"/>
                <w:b/>
                <w:bCs/>
                <w:color w:val="000000" w:themeColor="text1"/>
                <w:kern w:val="2"/>
                <w:sz w:val="24"/>
                <w:szCs w:val="21"/>
                <w:lang w:val="en-US" w:eastAsia="zh-CN" w:bidi="ar-SA"/>
                <w14:textFill>
                  <w14:solidFill>
                    <w14:schemeClr w14:val="tx1"/>
                  </w14:solidFill>
                </w14:textFill>
              </w:rPr>
              <w:t>（一）废水源强核算</w:t>
            </w:r>
          </w:p>
          <w:p w14:paraId="763A1B54">
            <w:pPr>
              <w:adjustRightInd w:val="0"/>
              <w:spacing w:line="360" w:lineRule="auto"/>
              <w:ind w:firstLine="480" w:firstLineChars="200"/>
              <w:rPr>
                <w:bCs/>
                <w:color w:val="0000FF"/>
                <w:spacing w:val="-10"/>
                <w:szCs w:val="24"/>
              </w:rPr>
            </w:pPr>
            <w:r>
              <w:rPr>
                <w:rFonts w:hint="eastAsia"/>
                <w:color w:val="auto"/>
                <w:lang w:val="en-US" w:eastAsia="zh-CN"/>
              </w:rPr>
              <w:t>项目</w:t>
            </w:r>
            <w:r>
              <w:rPr>
                <w:rFonts w:hint="eastAsia"/>
                <w:bCs/>
                <w:kern w:val="0"/>
                <w:szCs w:val="24"/>
              </w:rPr>
              <w:t>运营期</w:t>
            </w:r>
            <w:r>
              <w:rPr>
                <w:rFonts w:hint="eastAsia"/>
                <w:color w:val="auto"/>
              </w:rPr>
              <w:t>废水核算详见水平衡章节</w:t>
            </w:r>
            <w:r>
              <w:rPr>
                <w:rFonts w:hint="eastAsia"/>
                <w:color w:val="auto"/>
                <w:lang w:eastAsia="zh-CN"/>
              </w:rPr>
              <w:t>，</w:t>
            </w:r>
            <w:r>
              <w:rPr>
                <w:rFonts w:hint="eastAsia"/>
                <w:color w:val="auto"/>
                <w:lang w:val="en-US" w:eastAsia="zh-CN"/>
              </w:rPr>
              <w:t>废水产排情况详见下表4-12</w:t>
            </w:r>
            <w:r>
              <w:rPr>
                <w:rFonts w:hint="eastAsia"/>
                <w:color w:val="auto"/>
              </w:rPr>
              <w:t>。</w:t>
            </w:r>
          </w:p>
          <w:p w14:paraId="4907E64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
                <w:bCs/>
                <w:snapToGrid w:val="0"/>
                <w:kern w:val="0"/>
                <w:sz w:val="21"/>
                <w:szCs w:val="21"/>
                <w:lang w:val="en-US" w:eastAsia="zh-CN" w:bidi="ar-SA"/>
              </w:rPr>
            </w:pPr>
            <w:r>
              <w:rPr>
                <w:rFonts w:hint="eastAsia" w:ascii="Times New Roman" w:hAnsi="Times New Roman" w:eastAsia="宋体" w:cs="Times New Roman"/>
                <w:b/>
                <w:bCs/>
                <w:snapToGrid w:val="0"/>
                <w:kern w:val="0"/>
                <w:sz w:val="21"/>
                <w:szCs w:val="21"/>
                <w:lang w:val="en-US" w:eastAsia="zh-CN" w:bidi="ar-SA"/>
              </w:rPr>
              <w:t>表4-1</w:t>
            </w:r>
            <w:r>
              <w:rPr>
                <w:rFonts w:hint="eastAsia" w:cs="Times New Roman"/>
                <w:b/>
                <w:bCs/>
                <w:snapToGrid w:val="0"/>
                <w:kern w:val="0"/>
                <w:sz w:val="21"/>
                <w:szCs w:val="21"/>
                <w:lang w:val="en-US" w:eastAsia="zh-CN" w:bidi="ar-SA"/>
              </w:rPr>
              <w:t>2</w:t>
            </w:r>
            <w:r>
              <w:rPr>
                <w:rFonts w:hint="eastAsia" w:ascii="Times New Roman" w:hAnsi="Times New Roman" w:eastAsia="宋体" w:cs="Times New Roman"/>
                <w:b/>
                <w:bCs/>
                <w:snapToGrid w:val="0"/>
                <w:kern w:val="0"/>
                <w:sz w:val="21"/>
                <w:szCs w:val="21"/>
                <w:lang w:val="en-US" w:eastAsia="zh-CN" w:bidi="ar-SA"/>
              </w:rPr>
              <w:t xml:space="preserve"> </w:t>
            </w:r>
            <w:r>
              <w:rPr>
                <w:rFonts w:hint="eastAsia" w:cs="Times New Roman"/>
                <w:b/>
                <w:bCs/>
                <w:snapToGrid w:val="0"/>
                <w:kern w:val="0"/>
                <w:sz w:val="21"/>
                <w:szCs w:val="21"/>
                <w:lang w:val="en-US" w:eastAsia="zh-CN" w:bidi="ar-SA"/>
              </w:rPr>
              <w:t xml:space="preserve"> </w:t>
            </w:r>
            <w:r>
              <w:rPr>
                <w:rFonts w:hint="eastAsia" w:ascii="Times New Roman" w:hAnsi="Times New Roman" w:eastAsia="宋体" w:cs="Times New Roman"/>
                <w:b/>
                <w:bCs/>
                <w:snapToGrid w:val="0"/>
                <w:kern w:val="0"/>
                <w:sz w:val="21"/>
                <w:szCs w:val="21"/>
                <w:lang w:val="en-US" w:eastAsia="zh-CN" w:bidi="ar-SA"/>
              </w:rPr>
              <w:t>项目废水产排情况一览表</w:t>
            </w:r>
          </w:p>
          <w:tbl>
            <w:tblPr>
              <w:tblStyle w:val="16"/>
              <w:tblW w:w="7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681"/>
              <w:gridCol w:w="1350"/>
              <w:gridCol w:w="994"/>
              <w:gridCol w:w="1069"/>
              <w:gridCol w:w="2855"/>
            </w:tblGrid>
            <w:tr w14:paraId="7830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27" w:type="pct"/>
                  <w:vAlign w:val="center"/>
                </w:tcPr>
                <w:p w14:paraId="317E53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4"/>
                    </w:rPr>
                  </w:pPr>
                  <w:r>
                    <w:rPr>
                      <w:b/>
                      <w:bCs/>
                      <w:color w:val="auto"/>
                      <w:sz w:val="21"/>
                      <w:szCs w:val="24"/>
                    </w:rPr>
                    <w:t>序号</w:t>
                  </w:r>
                </w:p>
              </w:tc>
              <w:tc>
                <w:tcPr>
                  <w:tcW w:w="467" w:type="pct"/>
                  <w:vAlign w:val="center"/>
                </w:tcPr>
                <w:p w14:paraId="08305E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4"/>
                    </w:rPr>
                  </w:pPr>
                  <w:r>
                    <w:rPr>
                      <w:b/>
                      <w:bCs/>
                      <w:color w:val="auto"/>
                      <w:sz w:val="21"/>
                      <w:szCs w:val="24"/>
                    </w:rPr>
                    <w:t>项目</w:t>
                  </w:r>
                </w:p>
              </w:tc>
              <w:tc>
                <w:tcPr>
                  <w:tcW w:w="927" w:type="pct"/>
                  <w:vAlign w:val="center"/>
                </w:tcPr>
                <w:p w14:paraId="2A0F8A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
                      <w:bCs/>
                      <w:color w:val="auto"/>
                      <w:sz w:val="21"/>
                      <w:szCs w:val="24"/>
                      <w:lang w:val="en-US" w:eastAsia="zh-CN"/>
                    </w:rPr>
                  </w:pPr>
                  <w:r>
                    <w:rPr>
                      <w:rFonts w:hint="eastAsia"/>
                      <w:b/>
                      <w:bCs/>
                      <w:color w:val="auto"/>
                      <w:sz w:val="21"/>
                      <w:szCs w:val="24"/>
                      <w:lang w:val="en-US" w:eastAsia="zh-CN"/>
                    </w:rPr>
                    <w:t>污染物</w:t>
                  </w:r>
                </w:p>
              </w:tc>
              <w:tc>
                <w:tcPr>
                  <w:tcW w:w="682" w:type="pct"/>
                  <w:vAlign w:val="center"/>
                </w:tcPr>
                <w:p w14:paraId="6DA9B8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4"/>
                    </w:rPr>
                  </w:pPr>
                  <w:r>
                    <w:rPr>
                      <w:rFonts w:hint="eastAsia"/>
                      <w:b/>
                      <w:bCs/>
                      <w:color w:val="auto"/>
                      <w:sz w:val="21"/>
                      <w:szCs w:val="24"/>
                      <w:lang w:val="en-US" w:eastAsia="zh-CN"/>
                    </w:rPr>
                    <w:t>废水</w:t>
                  </w:r>
                  <w:r>
                    <w:rPr>
                      <w:b/>
                      <w:bCs/>
                      <w:color w:val="auto"/>
                      <w:sz w:val="21"/>
                      <w:szCs w:val="24"/>
                    </w:rPr>
                    <w:t>量（m</w:t>
                  </w:r>
                  <w:r>
                    <w:rPr>
                      <w:b/>
                      <w:bCs/>
                      <w:color w:val="auto"/>
                      <w:sz w:val="21"/>
                      <w:szCs w:val="24"/>
                      <w:vertAlign w:val="superscript"/>
                    </w:rPr>
                    <w:t>3</w:t>
                  </w:r>
                  <w:r>
                    <w:rPr>
                      <w:b/>
                      <w:bCs/>
                      <w:color w:val="auto"/>
                      <w:sz w:val="21"/>
                      <w:szCs w:val="24"/>
                    </w:rPr>
                    <w:t>/d）</w:t>
                  </w:r>
                </w:p>
              </w:tc>
              <w:tc>
                <w:tcPr>
                  <w:tcW w:w="734" w:type="pct"/>
                  <w:vAlign w:val="center"/>
                </w:tcPr>
                <w:p w14:paraId="1BCE15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bCs/>
                      <w:color w:val="auto"/>
                      <w:sz w:val="21"/>
                      <w:szCs w:val="24"/>
                      <w:lang w:val="en-US" w:eastAsia="zh-CN"/>
                    </w:rPr>
                  </w:pPr>
                  <w:r>
                    <w:rPr>
                      <w:rFonts w:hint="eastAsia"/>
                      <w:b/>
                      <w:bCs/>
                      <w:color w:val="auto"/>
                      <w:sz w:val="21"/>
                      <w:szCs w:val="24"/>
                      <w:lang w:val="en-US" w:eastAsia="zh-CN"/>
                    </w:rPr>
                    <w:t>排水量</w:t>
                  </w:r>
                </w:p>
                <w:p w14:paraId="64050C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
                      <w:bCs/>
                      <w:color w:val="auto"/>
                      <w:sz w:val="21"/>
                      <w:szCs w:val="24"/>
                      <w:lang w:val="en-US" w:eastAsia="zh-CN"/>
                    </w:rPr>
                  </w:pPr>
                  <w:r>
                    <w:rPr>
                      <w:b/>
                      <w:bCs/>
                      <w:color w:val="auto"/>
                      <w:sz w:val="21"/>
                      <w:szCs w:val="24"/>
                    </w:rPr>
                    <w:t>（m</w:t>
                  </w:r>
                  <w:r>
                    <w:rPr>
                      <w:b/>
                      <w:bCs/>
                      <w:color w:val="auto"/>
                      <w:sz w:val="21"/>
                      <w:szCs w:val="24"/>
                      <w:vertAlign w:val="superscript"/>
                    </w:rPr>
                    <w:t>3</w:t>
                  </w:r>
                  <w:r>
                    <w:rPr>
                      <w:b/>
                      <w:bCs/>
                      <w:color w:val="auto"/>
                      <w:sz w:val="21"/>
                      <w:szCs w:val="24"/>
                    </w:rPr>
                    <w:t>/d）</w:t>
                  </w:r>
                </w:p>
              </w:tc>
              <w:tc>
                <w:tcPr>
                  <w:tcW w:w="1960" w:type="pct"/>
                  <w:vAlign w:val="center"/>
                </w:tcPr>
                <w:p w14:paraId="06F255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4"/>
                    </w:rPr>
                  </w:pPr>
                  <w:r>
                    <w:rPr>
                      <w:b/>
                      <w:bCs/>
                      <w:color w:val="auto"/>
                      <w:sz w:val="21"/>
                      <w:szCs w:val="24"/>
                    </w:rPr>
                    <w:t>处置措施</w:t>
                  </w:r>
                </w:p>
              </w:tc>
            </w:tr>
            <w:tr w14:paraId="4B6A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vAlign w:val="center"/>
                </w:tcPr>
                <w:p w14:paraId="7B0390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4"/>
                    </w:rPr>
                  </w:pPr>
                  <w:r>
                    <w:rPr>
                      <w:color w:val="auto"/>
                      <w:sz w:val="21"/>
                      <w:szCs w:val="24"/>
                    </w:rPr>
                    <w:t>1</w:t>
                  </w:r>
                </w:p>
              </w:tc>
              <w:tc>
                <w:tcPr>
                  <w:tcW w:w="467" w:type="pct"/>
                  <w:vAlign w:val="center"/>
                </w:tcPr>
                <w:p w14:paraId="04DB5F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办公用废水</w:t>
                  </w:r>
                </w:p>
              </w:tc>
              <w:tc>
                <w:tcPr>
                  <w:tcW w:w="927" w:type="pct"/>
                  <w:vAlign w:val="center"/>
                </w:tcPr>
                <w:p w14:paraId="31503C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olor w:val="auto"/>
                      <w:sz w:val="21"/>
                      <w:szCs w:val="21"/>
                      <w:vertAlign w:val="subscript"/>
                      <w:lang w:val="en-US" w:eastAsia="zh-CN"/>
                    </w:rPr>
                  </w:pPr>
                  <w:r>
                    <w:rPr>
                      <w:rFonts w:hint="eastAsia"/>
                      <w:color w:val="auto"/>
                      <w:sz w:val="21"/>
                      <w:szCs w:val="21"/>
                      <w:lang w:val="en-US" w:eastAsia="zh-CN"/>
                    </w:rPr>
                    <w:t>COD、SS、NH</w:t>
                  </w:r>
                  <w:r>
                    <w:rPr>
                      <w:rFonts w:hint="eastAsia"/>
                      <w:color w:val="auto"/>
                      <w:sz w:val="21"/>
                      <w:szCs w:val="21"/>
                      <w:vertAlign w:val="subscript"/>
                      <w:lang w:val="en-US" w:eastAsia="zh-CN"/>
                    </w:rPr>
                    <w:t>3</w:t>
                  </w:r>
                  <w:r>
                    <w:rPr>
                      <w:rFonts w:hint="eastAsia"/>
                      <w:color w:val="auto"/>
                      <w:sz w:val="21"/>
                      <w:szCs w:val="21"/>
                      <w:lang w:val="en-US" w:eastAsia="zh-CN"/>
                    </w:rPr>
                    <w:t>-N、TP、BOD</w:t>
                  </w:r>
                  <w:r>
                    <w:rPr>
                      <w:rFonts w:hint="eastAsia"/>
                      <w:color w:val="auto"/>
                      <w:sz w:val="21"/>
                      <w:szCs w:val="21"/>
                      <w:vertAlign w:val="subscript"/>
                      <w:lang w:val="en-US" w:eastAsia="zh-CN"/>
                    </w:rPr>
                    <w:t>5</w:t>
                  </w:r>
                  <w:r>
                    <w:rPr>
                      <w:rFonts w:hint="eastAsia"/>
                      <w:color w:val="auto"/>
                      <w:sz w:val="21"/>
                      <w:szCs w:val="21"/>
                      <w:vertAlign w:val="baseline"/>
                      <w:lang w:val="en-US" w:eastAsia="zh-CN"/>
                    </w:rPr>
                    <w:t>等</w:t>
                  </w:r>
                </w:p>
              </w:tc>
              <w:tc>
                <w:tcPr>
                  <w:tcW w:w="682" w:type="pct"/>
                  <w:vAlign w:val="center"/>
                </w:tcPr>
                <w:p w14:paraId="720EC1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color w:val="auto"/>
                      <w:sz w:val="21"/>
                      <w:szCs w:val="21"/>
                    </w:rPr>
                    <w:t>0</w:t>
                  </w:r>
                  <w:r>
                    <w:rPr>
                      <w:rFonts w:hint="eastAsia"/>
                      <w:color w:val="auto"/>
                      <w:sz w:val="21"/>
                      <w:szCs w:val="21"/>
                      <w:lang w:val="en-US" w:eastAsia="zh-CN"/>
                    </w:rPr>
                    <w:t>.128</w:t>
                  </w:r>
                </w:p>
              </w:tc>
              <w:tc>
                <w:tcPr>
                  <w:tcW w:w="734" w:type="pct"/>
                  <w:vAlign w:val="center"/>
                </w:tcPr>
                <w:p w14:paraId="33471E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1960" w:type="pct"/>
                  <w:vAlign w:val="center"/>
                </w:tcPr>
                <w:p w14:paraId="577C290D">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color w:val="auto"/>
                      <w:sz w:val="21"/>
                      <w:szCs w:val="21"/>
                    </w:rPr>
                  </w:pPr>
                  <w:r>
                    <w:rPr>
                      <w:rFonts w:hint="eastAsia" w:cs="Times New Roman"/>
                      <w:color w:val="auto"/>
                      <w:sz w:val="21"/>
                      <w:szCs w:val="21"/>
                      <w:vertAlign w:val="baseline"/>
                      <w:lang w:val="en-US" w:eastAsia="zh-CN"/>
                    </w:rPr>
                    <w:t>依托云南龙泉矿业开发有限公司办公生活区化粪池处理后</w:t>
                  </w:r>
                  <w:r>
                    <w:rPr>
                      <w:rFonts w:hint="eastAsia" w:ascii="Times New Roman" w:hAnsi="Times New Roman" w:eastAsia="宋体" w:cs="Times New Roman"/>
                      <w:color w:val="auto"/>
                      <w:sz w:val="21"/>
                      <w:szCs w:val="21"/>
                      <w:lang w:val="en-US" w:eastAsia="zh-CN"/>
                    </w:rPr>
                    <w:t>定期清掏用作周围农作物施肥。</w:t>
                  </w:r>
                </w:p>
              </w:tc>
            </w:tr>
            <w:tr w14:paraId="75B0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227" w:type="pct"/>
                  <w:vAlign w:val="center"/>
                </w:tcPr>
                <w:p w14:paraId="662DB0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4"/>
                    </w:rPr>
                  </w:pPr>
                  <w:r>
                    <w:rPr>
                      <w:rFonts w:hint="eastAsia"/>
                      <w:color w:val="auto"/>
                      <w:sz w:val="21"/>
                      <w:szCs w:val="24"/>
                      <w:lang w:val="en-US" w:eastAsia="zh-CN"/>
                    </w:rPr>
                    <w:t>2</w:t>
                  </w:r>
                </w:p>
              </w:tc>
              <w:tc>
                <w:tcPr>
                  <w:tcW w:w="467" w:type="pct"/>
                  <w:vAlign w:val="center"/>
                </w:tcPr>
                <w:p w14:paraId="0082F2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运输车辆清洗废水</w:t>
                  </w:r>
                </w:p>
              </w:tc>
              <w:tc>
                <w:tcPr>
                  <w:tcW w:w="927" w:type="pct"/>
                  <w:vAlign w:val="center"/>
                </w:tcPr>
                <w:p w14:paraId="7F40EA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lang w:val="en-US" w:eastAsia="zh-CN"/>
                    </w:rPr>
                  </w:pPr>
                  <w:r>
                    <w:rPr>
                      <w:rFonts w:hint="eastAsia"/>
                      <w:color w:val="auto"/>
                      <w:sz w:val="21"/>
                      <w:szCs w:val="24"/>
                      <w:lang w:val="en-US" w:eastAsia="zh-CN"/>
                    </w:rPr>
                    <w:t>SS</w:t>
                  </w:r>
                </w:p>
              </w:tc>
              <w:tc>
                <w:tcPr>
                  <w:tcW w:w="682" w:type="pct"/>
                  <w:vAlign w:val="center"/>
                </w:tcPr>
                <w:p w14:paraId="25CAC6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0（0.534）</w:t>
                  </w:r>
                </w:p>
              </w:tc>
              <w:tc>
                <w:tcPr>
                  <w:tcW w:w="734" w:type="pct"/>
                  <w:vAlign w:val="center"/>
                </w:tcPr>
                <w:p w14:paraId="76CF15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0</w:t>
                  </w:r>
                </w:p>
              </w:tc>
              <w:tc>
                <w:tcPr>
                  <w:tcW w:w="2855" w:type="dxa"/>
                  <w:vAlign w:val="center"/>
                </w:tcPr>
                <w:p w14:paraId="2447BB73">
                  <w:pPr>
                    <w:pageBreakBefore w:val="0"/>
                    <w:kinsoku/>
                    <w:wordWrap/>
                    <w:overflowPunct/>
                    <w:topLinePunct w:val="0"/>
                    <w:autoSpaceDE/>
                    <w:autoSpaceDN/>
                    <w:bidi w:val="0"/>
                    <w:adjustRightInd/>
                    <w:spacing w:line="360" w:lineRule="exact"/>
                    <w:ind w:firstLine="0" w:firstLineChars="0"/>
                    <w:jc w:val="both"/>
                    <w:textAlignment w:val="auto"/>
                    <w:rPr>
                      <w:rFonts w:hint="eastAsia"/>
                      <w:color w:val="auto"/>
                      <w:sz w:val="21"/>
                      <w:szCs w:val="21"/>
                      <w:lang w:val="en-US" w:eastAsia="zh-CN"/>
                    </w:rPr>
                  </w:pPr>
                  <w:r>
                    <w:rPr>
                      <w:rFonts w:hint="default" w:ascii="Times New Roman" w:hAnsi="Times New Roman" w:eastAsia="宋体" w:cs="Times New Roman"/>
                      <w:color w:val="auto"/>
                      <w:sz w:val="21"/>
                      <w:szCs w:val="21"/>
                      <w:lang w:val="en-US" w:eastAsia="zh-CN"/>
                    </w:rPr>
                    <w:t>进出口处设置1个容积为</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洗车池，运输</w:t>
                  </w:r>
                  <w:r>
                    <w:rPr>
                      <w:rFonts w:hint="eastAsia" w:ascii="Times New Roman" w:hAnsi="Times New Roman" w:eastAsia="宋体" w:cs="Times New Roman"/>
                      <w:color w:val="auto"/>
                      <w:sz w:val="21"/>
                      <w:szCs w:val="21"/>
                      <w:lang w:val="en-US" w:eastAsia="zh-CN"/>
                    </w:rPr>
                    <w:t>车辆</w:t>
                  </w:r>
                  <w:r>
                    <w:rPr>
                      <w:rFonts w:hint="default" w:ascii="Times New Roman" w:hAnsi="Times New Roman" w:eastAsia="宋体" w:cs="Times New Roman"/>
                      <w:color w:val="auto"/>
                      <w:sz w:val="21"/>
                      <w:szCs w:val="21"/>
                      <w:lang w:val="en-US" w:eastAsia="zh-CN"/>
                    </w:rPr>
                    <w:t>清洗废水</w:t>
                  </w:r>
                  <w:r>
                    <w:rPr>
                      <w:rFonts w:hint="eastAsia" w:cs="Times New Roman"/>
                      <w:color w:val="auto"/>
                      <w:sz w:val="21"/>
                      <w:szCs w:val="21"/>
                      <w:lang w:val="en-US" w:eastAsia="zh-CN"/>
                    </w:rPr>
                    <w:t>循环使用，当不能满足洗车条件后用于厂区洒水降尘</w:t>
                  </w:r>
                  <w:r>
                    <w:rPr>
                      <w:rFonts w:hint="default" w:ascii="Times New Roman" w:hAnsi="Times New Roman" w:eastAsia="宋体" w:cs="Times New Roman"/>
                      <w:color w:val="auto"/>
                      <w:sz w:val="21"/>
                      <w:szCs w:val="21"/>
                      <w:lang w:val="en-US" w:eastAsia="zh-CN"/>
                    </w:rPr>
                    <w:t>，不外排</w:t>
                  </w:r>
                  <w:r>
                    <w:rPr>
                      <w:rFonts w:hint="eastAsia" w:ascii="Times New Roman" w:hAnsi="Times New Roman" w:eastAsia="宋体" w:cs="Times New Roman"/>
                      <w:color w:val="auto"/>
                      <w:sz w:val="21"/>
                      <w:szCs w:val="21"/>
                      <w:lang w:val="en-US" w:eastAsia="zh-CN"/>
                    </w:rPr>
                    <w:t>。</w:t>
                  </w:r>
                </w:p>
              </w:tc>
            </w:tr>
            <w:tr w14:paraId="77CF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27" w:type="pct"/>
                  <w:vAlign w:val="center"/>
                </w:tcPr>
                <w:p w14:paraId="7925F4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4"/>
                      <w:lang w:val="en-US" w:eastAsia="zh-CN"/>
                    </w:rPr>
                  </w:pPr>
                  <w:r>
                    <w:rPr>
                      <w:rFonts w:hint="eastAsia"/>
                      <w:color w:val="auto"/>
                      <w:sz w:val="21"/>
                      <w:szCs w:val="24"/>
                      <w:lang w:val="en-US" w:eastAsia="zh-CN"/>
                    </w:rPr>
                    <w:t>3</w:t>
                  </w:r>
                </w:p>
              </w:tc>
              <w:tc>
                <w:tcPr>
                  <w:tcW w:w="467" w:type="pct"/>
                  <w:vAlign w:val="center"/>
                </w:tcPr>
                <w:p w14:paraId="5ED156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4"/>
                    </w:rPr>
                  </w:pPr>
                  <w:r>
                    <w:rPr>
                      <w:rFonts w:hint="eastAsia"/>
                      <w:color w:val="auto"/>
                      <w:sz w:val="21"/>
                      <w:szCs w:val="24"/>
                    </w:rPr>
                    <w:t>初期雨水</w:t>
                  </w:r>
                </w:p>
              </w:tc>
              <w:tc>
                <w:tcPr>
                  <w:tcW w:w="927" w:type="pct"/>
                  <w:vAlign w:val="center"/>
                </w:tcPr>
                <w:p w14:paraId="229A35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4"/>
                      <w:lang w:val="en-US" w:eastAsia="zh-CN"/>
                    </w:rPr>
                  </w:pPr>
                  <w:r>
                    <w:rPr>
                      <w:rFonts w:hint="eastAsia"/>
                      <w:color w:val="auto"/>
                      <w:sz w:val="21"/>
                      <w:szCs w:val="24"/>
                      <w:lang w:val="en-US" w:eastAsia="zh-CN"/>
                    </w:rPr>
                    <w:t>SS、油类</w:t>
                  </w:r>
                </w:p>
              </w:tc>
              <w:tc>
                <w:tcPr>
                  <w:tcW w:w="682" w:type="pct"/>
                  <w:vAlign w:val="center"/>
                </w:tcPr>
                <w:p w14:paraId="5E96D7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color w:val="auto"/>
                      <w:sz w:val="21"/>
                      <w:szCs w:val="21"/>
                      <w:lang w:val="en-US" w:eastAsia="zh-CN"/>
                    </w:rPr>
                    <w:t>5.986</w:t>
                  </w:r>
                  <w:r>
                    <w:rPr>
                      <w:rFonts w:hint="eastAsia"/>
                      <w:color w:val="auto"/>
                      <w:sz w:val="21"/>
                      <w:szCs w:val="21"/>
                    </w:rPr>
                    <w:t>m</w:t>
                  </w:r>
                  <w:r>
                    <w:rPr>
                      <w:rFonts w:hint="eastAsia"/>
                      <w:color w:val="auto"/>
                      <w:sz w:val="21"/>
                      <w:szCs w:val="21"/>
                      <w:vertAlign w:val="superscript"/>
                    </w:rPr>
                    <w:t>3</w:t>
                  </w:r>
                  <w:r>
                    <w:rPr>
                      <w:rFonts w:hint="eastAsia"/>
                      <w:color w:val="auto"/>
                      <w:sz w:val="21"/>
                      <w:szCs w:val="21"/>
                    </w:rPr>
                    <w:t>/次</w:t>
                  </w:r>
                </w:p>
              </w:tc>
              <w:tc>
                <w:tcPr>
                  <w:tcW w:w="734" w:type="pct"/>
                  <w:vAlign w:val="center"/>
                </w:tcPr>
                <w:p w14:paraId="4C8598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0</w:t>
                  </w:r>
                </w:p>
              </w:tc>
              <w:tc>
                <w:tcPr>
                  <w:tcW w:w="2855" w:type="dxa"/>
                  <w:vAlign w:val="center"/>
                </w:tcPr>
                <w:p w14:paraId="470EB3F9">
                  <w:pPr>
                    <w:pageBreakBefore w:val="0"/>
                    <w:kinsoku/>
                    <w:wordWrap/>
                    <w:overflowPunct/>
                    <w:topLinePunct w:val="0"/>
                    <w:autoSpaceDE/>
                    <w:autoSpaceDN/>
                    <w:bidi w:val="0"/>
                    <w:adjustRightInd/>
                    <w:spacing w:line="360" w:lineRule="exact"/>
                    <w:ind w:firstLine="0" w:firstLineChars="0"/>
                    <w:jc w:val="both"/>
                    <w:textAlignment w:val="auto"/>
                    <w:rPr>
                      <w:color w:val="auto"/>
                      <w:sz w:val="21"/>
                      <w:szCs w:val="21"/>
                    </w:rPr>
                  </w:pPr>
                  <w:r>
                    <w:rPr>
                      <w:rFonts w:hint="eastAsia" w:cs="Times New Roman"/>
                      <w:color w:val="auto"/>
                      <w:sz w:val="21"/>
                      <w:szCs w:val="21"/>
                      <w:lang w:val="en-US" w:eastAsia="zh-CN"/>
                    </w:rPr>
                    <w:t>新建1个</w:t>
                  </w:r>
                  <w:r>
                    <w:rPr>
                      <w:rFonts w:hint="default" w:ascii="Times New Roman" w:hAnsi="Times New Roman" w:eastAsia="宋体" w:cs="Times New Roman"/>
                      <w:color w:val="auto"/>
                      <w:sz w:val="21"/>
                      <w:szCs w:val="21"/>
                    </w:rPr>
                    <w:t>容积为</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w:t>
                  </w:r>
                  <w:r>
                    <w:rPr>
                      <w:rFonts w:hint="eastAsia" w:ascii="Times New Roman" w:hAnsi="Times New Roman" w:eastAsia="宋体" w:cs="Times New Roman"/>
                      <w:color w:val="auto"/>
                      <w:sz w:val="21"/>
                      <w:szCs w:val="21"/>
                      <w:lang w:val="en-US" w:eastAsia="zh-CN"/>
                    </w:rPr>
                    <w:t>初期雨水</w:t>
                  </w:r>
                  <w:r>
                    <w:rPr>
                      <w:rFonts w:hint="eastAsia" w:cs="Times New Roman"/>
                      <w:color w:val="auto"/>
                      <w:sz w:val="21"/>
                      <w:szCs w:val="21"/>
                      <w:lang w:val="en-US" w:eastAsia="zh-CN"/>
                    </w:rPr>
                    <w:t>隔油沉淀</w:t>
                  </w:r>
                  <w:r>
                    <w:rPr>
                      <w:rFonts w:hint="eastAsia" w:ascii="Times New Roman" w:hAnsi="Times New Roman" w:eastAsia="宋体" w:cs="Times New Roman"/>
                      <w:color w:val="auto"/>
                      <w:sz w:val="21"/>
                      <w:szCs w:val="21"/>
                      <w:lang w:val="en-US" w:eastAsia="zh-CN"/>
                    </w:rPr>
                    <w:t>池，</w:t>
                  </w:r>
                  <w:r>
                    <w:rPr>
                      <w:rFonts w:hint="eastAsia" w:cs="Times New Roman"/>
                      <w:color w:val="auto"/>
                      <w:sz w:val="21"/>
                      <w:szCs w:val="21"/>
                      <w:lang w:val="en-US" w:eastAsia="zh-CN"/>
                    </w:rPr>
                    <w:t>经隔油、</w:t>
                  </w:r>
                  <w:r>
                    <w:rPr>
                      <w:rFonts w:hint="default" w:ascii="Times New Roman" w:hAnsi="Times New Roman" w:eastAsia="宋体" w:cs="Times New Roman"/>
                      <w:color w:val="auto"/>
                      <w:sz w:val="21"/>
                      <w:szCs w:val="21"/>
                    </w:rPr>
                    <w:t>沉淀</w:t>
                  </w:r>
                  <w:r>
                    <w:rPr>
                      <w:rFonts w:hint="eastAsia"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rPr>
                    <w:t>后用于厂区洒水降尘</w:t>
                  </w:r>
                  <w:r>
                    <w:rPr>
                      <w:rFonts w:hint="eastAsia" w:ascii="Times New Roman" w:hAnsi="Times New Roman" w:eastAsia="宋体" w:cs="Times New Roman"/>
                      <w:color w:val="auto"/>
                      <w:sz w:val="21"/>
                      <w:szCs w:val="21"/>
                      <w:lang w:val="en-US" w:eastAsia="zh-CN"/>
                    </w:rPr>
                    <w:t>。</w:t>
                  </w:r>
                </w:p>
              </w:tc>
            </w:tr>
            <w:tr w14:paraId="3F5F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95" w:type="pct"/>
                  <w:gridSpan w:val="2"/>
                  <w:vAlign w:val="center"/>
                </w:tcPr>
                <w:p w14:paraId="6057BF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b/>
                      <w:bCs/>
                      <w:color w:val="auto"/>
                      <w:sz w:val="21"/>
                      <w:szCs w:val="21"/>
                    </w:rPr>
                    <w:t>合计</w:t>
                  </w:r>
                </w:p>
              </w:tc>
              <w:tc>
                <w:tcPr>
                  <w:tcW w:w="927" w:type="pct"/>
                  <w:vAlign w:val="center"/>
                </w:tcPr>
                <w:p w14:paraId="47668C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color w:val="auto"/>
                      <w:sz w:val="21"/>
                      <w:szCs w:val="24"/>
                    </w:rPr>
                    <w:t>/</w:t>
                  </w:r>
                </w:p>
              </w:tc>
              <w:tc>
                <w:tcPr>
                  <w:tcW w:w="682" w:type="pct"/>
                  <w:vAlign w:val="center"/>
                </w:tcPr>
                <w:p w14:paraId="579863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4"/>
                      <w:lang w:val="en-US" w:eastAsia="zh-CN"/>
                    </w:rPr>
                  </w:pPr>
                  <w:r>
                    <w:rPr>
                      <w:rFonts w:hint="eastAsia"/>
                      <w:color w:val="auto"/>
                      <w:sz w:val="21"/>
                      <w:szCs w:val="24"/>
                      <w:lang w:val="en-US" w:eastAsia="zh-CN"/>
                    </w:rPr>
                    <w:t>6.114</w:t>
                  </w:r>
                </w:p>
              </w:tc>
              <w:tc>
                <w:tcPr>
                  <w:tcW w:w="734" w:type="pct"/>
                  <w:vAlign w:val="center"/>
                </w:tcPr>
                <w:p w14:paraId="55C163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sz w:val="21"/>
                      <w:szCs w:val="24"/>
                      <w:lang w:val="en-US" w:eastAsia="zh-CN"/>
                    </w:rPr>
                  </w:pPr>
                  <w:r>
                    <w:rPr>
                      <w:rFonts w:hint="eastAsia"/>
                      <w:color w:val="auto"/>
                      <w:sz w:val="21"/>
                      <w:szCs w:val="24"/>
                      <w:lang w:val="en-US" w:eastAsia="zh-CN"/>
                    </w:rPr>
                    <w:t>0</w:t>
                  </w:r>
                </w:p>
              </w:tc>
              <w:tc>
                <w:tcPr>
                  <w:tcW w:w="1960" w:type="pct"/>
                  <w:vAlign w:val="center"/>
                </w:tcPr>
                <w:p w14:paraId="242318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4"/>
                    </w:rPr>
                  </w:pPr>
                  <w:r>
                    <w:rPr>
                      <w:color w:val="auto"/>
                      <w:sz w:val="21"/>
                      <w:szCs w:val="24"/>
                    </w:rPr>
                    <w:t>/</w:t>
                  </w:r>
                </w:p>
              </w:tc>
            </w:tr>
          </w:tbl>
          <w:p w14:paraId="17F99113">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（二）</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废</w:t>
            </w:r>
            <w:r>
              <w:rPr>
                <w:rFonts w:hint="eastAsia" w:cs="Times New Roman"/>
                <w:b/>
                <w:bCs/>
                <w:color w:val="000000" w:themeColor="text1"/>
                <w:szCs w:val="21"/>
                <w:lang w:val="en-US" w:eastAsia="zh-CN"/>
                <w14:textFill>
                  <w14:solidFill>
                    <w14:schemeClr w14:val="tx1"/>
                  </w14:solidFill>
                </w14:textFill>
              </w:rPr>
              <w:t>水</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治理措施可行性分析</w:t>
            </w:r>
          </w:p>
          <w:p w14:paraId="77E531E2">
            <w:pPr>
              <w:widowControl/>
              <w:ind w:firstLine="480"/>
              <w:jc w:val="left"/>
              <w:rPr>
                <w:kern w:val="0"/>
                <w:szCs w:val="24"/>
                <w:lang w:bidi="ar"/>
              </w:rPr>
            </w:pPr>
            <w:r>
              <w:rPr>
                <w:rFonts w:hint="eastAsia"/>
                <w:kern w:val="0"/>
                <w:szCs w:val="24"/>
                <w:lang w:val="en-US" w:eastAsia="zh-CN" w:bidi="ar"/>
              </w:rPr>
              <w:t>对照</w:t>
            </w:r>
            <w:r>
              <w:rPr>
                <w:rFonts w:hint="eastAsia"/>
                <w:kern w:val="0"/>
                <w:szCs w:val="24"/>
                <w:lang w:bidi="ar"/>
              </w:rPr>
              <w:t>《排污许可证申请与核发技术规范</w:t>
            </w:r>
            <w:r>
              <w:rPr>
                <w:rFonts w:hint="eastAsia"/>
                <w:kern w:val="0"/>
                <w:szCs w:val="24"/>
                <w:lang w:val="en-US" w:eastAsia="zh-CN" w:bidi="ar"/>
              </w:rPr>
              <w:t xml:space="preserve"> </w:t>
            </w:r>
            <w:r>
              <w:rPr>
                <w:rFonts w:hint="eastAsia"/>
                <w:kern w:val="0"/>
                <w:szCs w:val="24"/>
                <w:lang w:bidi="ar"/>
              </w:rPr>
              <w:t>石墨及其他非金属矿物制品制造》（HJ1119-2020）表</w:t>
            </w:r>
            <w:r>
              <w:rPr>
                <w:rFonts w:hint="eastAsia"/>
                <w:kern w:val="0"/>
                <w:szCs w:val="24"/>
                <w:lang w:val="en-US" w:eastAsia="zh-CN" w:bidi="ar"/>
              </w:rPr>
              <w:t>23</w:t>
            </w:r>
            <w:r>
              <w:rPr>
                <w:rFonts w:hint="eastAsia"/>
                <w:kern w:val="0"/>
                <w:szCs w:val="24"/>
                <w:lang w:bidi="ar"/>
              </w:rPr>
              <w:t xml:space="preserve"> 沥青混合料生产排污单位废水</w:t>
            </w:r>
            <w:r>
              <w:rPr>
                <w:rFonts w:hint="eastAsia"/>
                <w:kern w:val="0"/>
                <w:szCs w:val="24"/>
                <w:lang w:val="en-US" w:eastAsia="zh-CN" w:bidi="ar"/>
              </w:rPr>
              <w:t>类别、污染物项目及对应排放口类型一览表</w:t>
            </w:r>
            <w:r>
              <w:rPr>
                <w:rFonts w:hint="eastAsia"/>
                <w:kern w:val="0"/>
                <w:szCs w:val="24"/>
                <w:lang w:eastAsia="zh-CN" w:bidi="ar"/>
              </w:rPr>
              <w:t>，</w:t>
            </w:r>
            <w:r>
              <w:rPr>
                <w:rFonts w:hint="eastAsia"/>
                <w:kern w:val="0"/>
                <w:szCs w:val="24"/>
                <w:lang w:val="en-US" w:eastAsia="zh-CN" w:bidi="ar"/>
              </w:rPr>
              <w:t>对照情况详见下表4-13。</w:t>
            </w:r>
          </w:p>
          <w:p w14:paraId="49E063A4">
            <w:pPr>
              <w:ind w:left="0" w:leftChars="0" w:firstLine="0" w:firstLineChars="0"/>
              <w:jc w:val="center"/>
              <w:rPr>
                <w:rFonts w:hint="eastAsia" w:ascii="宋体" w:cs="宋体"/>
                <w:b/>
                <w:bCs/>
                <w:kern w:val="0"/>
                <w:sz w:val="21"/>
                <w:szCs w:val="21"/>
              </w:rPr>
            </w:pPr>
            <w:r>
              <w:rPr>
                <w:rFonts w:hint="eastAsia" w:ascii="宋体" w:cs="宋体"/>
                <w:b/>
                <w:bCs/>
                <w:kern w:val="0"/>
                <w:sz w:val="21"/>
                <w:szCs w:val="21"/>
              </w:rPr>
              <w:t>表</w:t>
            </w:r>
            <w:r>
              <w:rPr>
                <w:b/>
                <w:bCs/>
                <w:kern w:val="0"/>
                <w:sz w:val="21"/>
                <w:szCs w:val="21"/>
              </w:rPr>
              <w:t>4-</w:t>
            </w:r>
            <w:r>
              <w:rPr>
                <w:rFonts w:hint="eastAsia"/>
                <w:b/>
                <w:bCs/>
                <w:kern w:val="0"/>
                <w:sz w:val="21"/>
                <w:szCs w:val="21"/>
              </w:rPr>
              <w:t>1</w:t>
            </w:r>
            <w:r>
              <w:rPr>
                <w:rFonts w:hint="eastAsia"/>
                <w:b/>
                <w:bCs/>
                <w:kern w:val="0"/>
                <w:sz w:val="21"/>
                <w:szCs w:val="21"/>
                <w:lang w:val="en-US" w:eastAsia="zh-CN"/>
              </w:rPr>
              <w:t>3</w:t>
            </w:r>
            <w:r>
              <w:rPr>
                <w:b/>
                <w:bCs/>
                <w:kern w:val="0"/>
                <w:sz w:val="21"/>
                <w:szCs w:val="21"/>
              </w:rPr>
              <w:t xml:space="preserve">  </w:t>
            </w:r>
            <w:r>
              <w:rPr>
                <w:rFonts w:hint="eastAsia" w:ascii="宋体" w:cs="宋体"/>
                <w:b/>
                <w:bCs/>
                <w:kern w:val="0"/>
                <w:sz w:val="21"/>
                <w:szCs w:val="21"/>
              </w:rPr>
              <w:t>本项目的废水污染防治可行技术的符合性分析</w:t>
            </w:r>
          </w:p>
          <w:tbl>
            <w:tblPr>
              <w:tblStyle w:val="16"/>
              <w:tblW w:w="7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420"/>
              <w:gridCol w:w="1069"/>
              <w:gridCol w:w="1781"/>
              <w:gridCol w:w="1061"/>
              <w:gridCol w:w="702"/>
            </w:tblGrid>
            <w:tr w14:paraId="2FC4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344" w:type="dxa"/>
                  <w:vAlign w:val="center"/>
                </w:tcPr>
                <w:p w14:paraId="23294094">
                  <w:pPr>
                    <w:pStyle w:val="32"/>
                    <w:keepNext w:val="0"/>
                    <w:keepLines w:val="0"/>
                    <w:pageBreakBefore w:val="0"/>
                    <w:kinsoku/>
                    <w:wordWrap/>
                    <w:overflowPunct/>
                    <w:topLinePunct w:val="0"/>
                    <w:autoSpaceDE/>
                    <w:autoSpaceDN/>
                    <w:bidi w:val="0"/>
                    <w:spacing w:line="360" w:lineRule="exact"/>
                    <w:textAlignment w:val="auto"/>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废水类别</w:t>
                  </w:r>
                </w:p>
              </w:tc>
              <w:tc>
                <w:tcPr>
                  <w:tcW w:w="1420" w:type="dxa"/>
                  <w:vAlign w:val="center"/>
                </w:tcPr>
                <w:p w14:paraId="4471A9E7">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污染物种类</w:t>
                  </w:r>
                </w:p>
              </w:tc>
              <w:tc>
                <w:tcPr>
                  <w:tcW w:w="1069" w:type="dxa"/>
                  <w:vAlign w:val="center"/>
                </w:tcPr>
                <w:p w14:paraId="36DBF37D">
                  <w:pPr>
                    <w:pStyle w:val="32"/>
                    <w:keepNext w:val="0"/>
                    <w:keepLines w:val="0"/>
                    <w:pageBreakBefore w:val="0"/>
                    <w:kinsoku/>
                    <w:wordWrap/>
                    <w:overflowPunct/>
                    <w:topLinePunct w:val="0"/>
                    <w:autoSpaceDE/>
                    <w:autoSpaceDN/>
                    <w:bidi w:val="0"/>
                    <w:spacing w:line="360" w:lineRule="exact"/>
                    <w:textAlignment w:val="auto"/>
                    <w:rPr>
                      <w:rFonts w:hint="eastAsia" w:ascii="Times New Roman" w:hAnsi="Times New Roman" w:eastAsia="宋体"/>
                      <w:b/>
                      <w:bCs/>
                      <w:sz w:val="21"/>
                      <w:szCs w:val="21"/>
                      <w:lang w:eastAsia="zh-CN"/>
                    </w:rPr>
                  </w:pPr>
                  <w:r>
                    <w:rPr>
                      <w:rFonts w:hint="eastAsia" w:ascii="Times New Roman" w:hAnsi="Times New Roman" w:eastAsia="宋体"/>
                      <w:b/>
                      <w:bCs/>
                      <w:sz w:val="21"/>
                      <w:szCs w:val="21"/>
                    </w:rPr>
                    <w:t>排放</w:t>
                  </w:r>
                  <w:r>
                    <w:rPr>
                      <w:rFonts w:hint="eastAsia" w:ascii="Times New Roman" w:hAnsi="Times New Roman" w:eastAsia="宋体"/>
                      <w:b/>
                      <w:bCs/>
                      <w:sz w:val="21"/>
                      <w:szCs w:val="21"/>
                      <w:lang w:val="en-US" w:eastAsia="zh-CN"/>
                    </w:rPr>
                    <w:t>去向</w:t>
                  </w:r>
                </w:p>
              </w:tc>
              <w:tc>
                <w:tcPr>
                  <w:tcW w:w="1781" w:type="dxa"/>
                  <w:vAlign w:val="center"/>
                </w:tcPr>
                <w:p w14:paraId="0B07153D">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可行性技术</w:t>
                  </w:r>
                </w:p>
              </w:tc>
              <w:tc>
                <w:tcPr>
                  <w:tcW w:w="1061" w:type="dxa"/>
                  <w:vAlign w:val="center"/>
                </w:tcPr>
                <w:p w14:paraId="733E3E32">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项目技术</w:t>
                  </w:r>
                </w:p>
              </w:tc>
              <w:tc>
                <w:tcPr>
                  <w:tcW w:w="702" w:type="dxa"/>
                  <w:vAlign w:val="center"/>
                </w:tcPr>
                <w:p w14:paraId="0FDA4072">
                  <w:pPr>
                    <w:pStyle w:val="32"/>
                    <w:keepNext w:val="0"/>
                    <w:keepLines w:val="0"/>
                    <w:pageBreakBefore w:val="0"/>
                    <w:kinsoku/>
                    <w:wordWrap/>
                    <w:overflowPunct/>
                    <w:topLinePunct w:val="0"/>
                    <w:autoSpaceDE/>
                    <w:autoSpaceDN/>
                    <w:bidi w:val="0"/>
                    <w:spacing w:line="360" w:lineRule="exact"/>
                    <w:textAlignment w:val="auto"/>
                    <w:rPr>
                      <w:rFonts w:ascii="Times New Roman" w:hAnsi="Times New Roman" w:eastAsia="宋体"/>
                      <w:b/>
                      <w:bCs/>
                      <w:sz w:val="21"/>
                      <w:szCs w:val="21"/>
                    </w:rPr>
                  </w:pPr>
                  <w:r>
                    <w:rPr>
                      <w:rFonts w:hint="eastAsia" w:ascii="Times New Roman" w:hAnsi="Times New Roman" w:eastAsia="宋体"/>
                      <w:b/>
                      <w:bCs/>
                      <w:sz w:val="21"/>
                      <w:szCs w:val="21"/>
                    </w:rPr>
                    <w:t>是否可行</w:t>
                  </w:r>
                </w:p>
              </w:tc>
            </w:tr>
            <w:tr w14:paraId="20C0C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344" w:type="dxa"/>
                  <w:shd w:val="clear" w:color="auto" w:fill="auto"/>
                  <w:vAlign w:val="center"/>
                </w:tcPr>
                <w:p w14:paraId="256261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eastAsia"/>
                      <w:color w:val="auto"/>
                      <w:sz w:val="21"/>
                      <w:szCs w:val="21"/>
                      <w:lang w:val="en-US" w:eastAsia="zh-CN"/>
                    </w:rPr>
                    <w:t>办公废水</w:t>
                  </w:r>
                </w:p>
              </w:tc>
              <w:tc>
                <w:tcPr>
                  <w:tcW w:w="1420" w:type="dxa"/>
                  <w:shd w:val="clear" w:color="auto" w:fill="auto"/>
                  <w:vAlign w:val="center"/>
                </w:tcPr>
                <w:p w14:paraId="169D96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COD、SS、NH</w:t>
                  </w:r>
                  <w:r>
                    <w:rPr>
                      <w:rFonts w:hint="eastAsia"/>
                      <w:color w:val="auto"/>
                      <w:sz w:val="21"/>
                      <w:szCs w:val="21"/>
                      <w:vertAlign w:val="subscript"/>
                      <w:lang w:val="en-US" w:eastAsia="zh-CN"/>
                    </w:rPr>
                    <w:t>3</w:t>
                  </w:r>
                  <w:r>
                    <w:rPr>
                      <w:rFonts w:hint="eastAsia"/>
                      <w:color w:val="auto"/>
                      <w:sz w:val="21"/>
                      <w:szCs w:val="21"/>
                      <w:lang w:val="en-US" w:eastAsia="zh-CN"/>
                    </w:rPr>
                    <w:t>-N、TP、BOD</w:t>
                  </w:r>
                  <w:r>
                    <w:rPr>
                      <w:rFonts w:hint="eastAsia"/>
                      <w:color w:val="auto"/>
                      <w:sz w:val="21"/>
                      <w:szCs w:val="21"/>
                      <w:vertAlign w:val="subscript"/>
                      <w:lang w:val="en-US" w:eastAsia="zh-CN"/>
                    </w:rPr>
                    <w:t>5</w:t>
                  </w:r>
                  <w:r>
                    <w:rPr>
                      <w:rFonts w:hint="eastAsia"/>
                      <w:color w:val="auto"/>
                      <w:sz w:val="21"/>
                      <w:szCs w:val="21"/>
                      <w:vertAlign w:val="baseline"/>
                      <w:lang w:val="en-US" w:eastAsia="zh-CN"/>
                    </w:rPr>
                    <w:t>等</w:t>
                  </w:r>
                </w:p>
              </w:tc>
              <w:tc>
                <w:tcPr>
                  <w:tcW w:w="1069" w:type="dxa"/>
                  <w:shd w:val="clear" w:color="auto" w:fill="auto"/>
                  <w:vAlign w:val="center"/>
                </w:tcPr>
                <w:p w14:paraId="020C7FFE">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全部回用</w:t>
                  </w:r>
                </w:p>
              </w:tc>
              <w:tc>
                <w:tcPr>
                  <w:tcW w:w="1781" w:type="dxa"/>
                  <w:shd w:val="clear" w:color="auto" w:fill="auto"/>
                  <w:vAlign w:val="center"/>
                </w:tcPr>
                <w:p w14:paraId="15373969">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ascii="宋体" w:hAnsi="宋体" w:eastAsia="宋体" w:cs="宋体"/>
                      <w:color w:val="auto"/>
                      <w:sz w:val="21"/>
                      <w:szCs w:val="21"/>
                    </w:rPr>
                    <w:t>生活污水处理站：</w:t>
                  </w:r>
                  <w:r>
                    <w:rPr>
                      <w:rFonts w:hint="eastAsia" w:ascii="宋体" w:hAnsi="宋体" w:cs="宋体"/>
                      <w:color w:val="auto"/>
                      <w:sz w:val="21"/>
                      <w:szCs w:val="21"/>
                      <w:lang w:val="en-US" w:eastAsia="zh-CN"/>
                    </w:rPr>
                    <w:t>化粪池、</w:t>
                  </w:r>
                  <w:r>
                    <w:rPr>
                      <w:rFonts w:ascii="宋体" w:hAnsi="宋体" w:eastAsia="宋体" w:cs="宋体"/>
                      <w:color w:val="auto"/>
                      <w:sz w:val="21"/>
                      <w:szCs w:val="21"/>
                    </w:rPr>
                    <w:t>生化法、其他</w:t>
                  </w:r>
                </w:p>
              </w:tc>
              <w:tc>
                <w:tcPr>
                  <w:tcW w:w="1061" w:type="dxa"/>
                  <w:shd w:val="clear" w:color="auto" w:fill="auto"/>
                  <w:vAlign w:val="center"/>
                </w:tcPr>
                <w:p w14:paraId="495E2166">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宋体" w:hAnsi="宋体" w:cs="宋体"/>
                      <w:color w:val="auto"/>
                      <w:sz w:val="21"/>
                      <w:szCs w:val="21"/>
                      <w:lang w:val="en-US" w:eastAsia="zh-CN"/>
                    </w:rPr>
                    <w:t>化粪池</w:t>
                  </w:r>
                </w:p>
              </w:tc>
              <w:tc>
                <w:tcPr>
                  <w:tcW w:w="702" w:type="dxa"/>
                  <w:shd w:val="clear" w:color="auto" w:fill="auto"/>
                  <w:vAlign w:val="center"/>
                </w:tcPr>
                <w:p w14:paraId="6ED7C5FA">
                  <w:pPr>
                    <w:pStyle w:val="5"/>
                    <w:keepNext w:val="0"/>
                    <w:keepLines w:val="0"/>
                    <w:pageBreakBefore w:val="0"/>
                    <w:kinsoku/>
                    <w:wordWrap/>
                    <w:overflowPunct/>
                    <w:topLinePunct w:val="0"/>
                    <w:autoSpaceDE/>
                    <w:autoSpaceDN/>
                    <w:bidi w:val="0"/>
                    <w:spacing w:line="360" w:lineRule="exact"/>
                    <w:ind w:firstLine="0" w:firstLineChars="0"/>
                    <w:jc w:val="center"/>
                    <w:textAlignment w:val="auto"/>
                    <w:rPr>
                      <w:rFonts w:hint="eastAsia" w:ascii="Times New Roman" w:hAnsi="Times New Roman" w:eastAsia="宋体" w:cs="Times New Roman"/>
                      <w:kern w:val="0"/>
                      <w:sz w:val="21"/>
                      <w:szCs w:val="21"/>
                      <w:lang w:val="en-US" w:eastAsia="zh-CN" w:bidi="ar-SA"/>
                    </w:rPr>
                  </w:pPr>
                  <w:r>
                    <w:rPr>
                      <w:rFonts w:hint="eastAsia"/>
                      <w:sz w:val="21"/>
                      <w:szCs w:val="21"/>
                    </w:rPr>
                    <w:t>是</w:t>
                  </w:r>
                </w:p>
              </w:tc>
            </w:tr>
            <w:tr w14:paraId="1261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44" w:type="dxa"/>
                  <w:vAlign w:val="center"/>
                </w:tcPr>
                <w:p w14:paraId="6A07E5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sz w:val="21"/>
                      <w:szCs w:val="21"/>
                      <w:lang w:val="en-US" w:eastAsia="zh-CN"/>
                    </w:rPr>
                  </w:pPr>
                  <w:r>
                    <w:rPr>
                      <w:rFonts w:hint="eastAsia"/>
                      <w:color w:val="auto"/>
                      <w:sz w:val="21"/>
                      <w:szCs w:val="21"/>
                      <w:lang w:val="en-US" w:eastAsia="zh-CN"/>
                    </w:rPr>
                    <w:t>运输车辆清洗废水</w:t>
                  </w:r>
                </w:p>
              </w:tc>
              <w:tc>
                <w:tcPr>
                  <w:tcW w:w="1420" w:type="dxa"/>
                  <w:vAlign w:val="center"/>
                </w:tcPr>
                <w:p w14:paraId="5D7A5A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auto"/>
                      <w:sz w:val="21"/>
                      <w:szCs w:val="21"/>
                      <w:lang w:val="en-US" w:eastAsia="zh-CN"/>
                    </w:rPr>
                  </w:pPr>
                  <w:r>
                    <w:rPr>
                      <w:rFonts w:hint="eastAsia"/>
                      <w:color w:val="auto"/>
                      <w:sz w:val="21"/>
                      <w:szCs w:val="24"/>
                      <w:lang w:val="en-US" w:eastAsia="zh-CN"/>
                    </w:rPr>
                    <w:t>SS</w:t>
                  </w:r>
                </w:p>
              </w:tc>
              <w:tc>
                <w:tcPr>
                  <w:tcW w:w="1069" w:type="dxa"/>
                  <w:vAlign w:val="center"/>
                </w:tcPr>
                <w:p w14:paraId="41983FBE">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s="Times New Roman"/>
                      <w:color w:val="auto"/>
                      <w:kern w:val="0"/>
                      <w:sz w:val="21"/>
                      <w:szCs w:val="21"/>
                      <w:lang w:val="en-US" w:eastAsia="zh-CN" w:bidi="ar-SA"/>
                    </w:rPr>
                    <w:t>全部回用</w:t>
                  </w:r>
                </w:p>
              </w:tc>
              <w:tc>
                <w:tcPr>
                  <w:tcW w:w="1781" w:type="dxa"/>
                  <w:vAlign w:val="center"/>
                </w:tcPr>
                <w:p w14:paraId="2DDA6A8A">
                  <w:pPr>
                    <w:pStyle w:val="5"/>
                    <w:keepNext w:val="0"/>
                    <w:keepLines w:val="0"/>
                    <w:pageBreakBefore w:val="0"/>
                    <w:kinsoku/>
                    <w:wordWrap/>
                    <w:overflowPunct/>
                    <w:topLinePunct w:val="0"/>
                    <w:autoSpaceDE/>
                    <w:autoSpaceDN/>
                    <w:bidi w:val="0"/>
                    <w:spacing w:line="360" w:lineRule="exact"/>
                    <w:jc w:val="center"/>
                    <w:textAlignment w:val="auto"/>
                    <w:rPr>
                      <w:rFonts w:hint="eastAsia" w:eastAsia="宋体"/>
                      <w:color w:val="auto"/>
                      <w:sz w:val="21"/>
                      <w:szCs w:val="21"/>
                      <w:lang w:val="en-US" w:eastAsia="zh-CN"/>
                    </w:rPr>
                  </w:pPr>
                  <w:r>
                    <w:rPr>
                      <w:rFonts w:ascii="宋体" w:hAnsi="宋体" w:eastAsia="宋体" w:cs="宋体"/>
                      <w:color w:val="auto"/>
                      <w:sz w:val="21"/>
                      <w:szCs w:val="21"/>
                    </w:rPr>
                    <w:t>隔油、沉淀</w:t>
                  </w:r>
                </w:p>
              </w:tc>
              <w:tc>
                <w:tcPr>
                  <w:tcW w:w="1061" w:type="dxa"/>
                  <w:vAlign w:val="center"/>
                </w:tcPr>
                <w:p w14:paraId="09A8403B">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ascii="宋体" w:hAnsi="宋体" w:eastAsia="宋体" w:cs="宋体"/>
                      <w:color w:val="auto"/>
                      <w:sz w:val="21"/>
                      <w:szCs w:val="21"/>
                    </w:rPr>
                    <w:t>沉淀</w:t>
                  </w:r>
                </w:p>
              </w:tc>
              <w:tc>
                <w:tcPr>
                  <w:tcW w:w="702" w:type="dxa"/>
                  <w:vAlign w:val="center"/>
                </w:tcPr>
                <w:p w14:paraId="42CE56ED">
                  <w:pPr>
                    <w:pStyle w:val="5"/>
                    <w:keepNext w:val="0"/>
                    <w:keepLines w:val="0"/>
                    <w:pageBreakBefore w:val="0"/>
                    <w:kinsoku/>
                    <w:wordWrap/>
                    <w:overflowPunct/>
                    <w:topLinePunct w:val="0"/>
                    <w:autoSpaceDE/>
                    <w:autoSpaceDN/>
                    <w:bidi w:val="0"/>
                    <w:spacing w:line="360" w:lineRule="exact"/>
                    <w:jc w:val="center"/>
                    <w:textAlignment w:val="auto"/>
                    <w:rPr>
                      <w:sz w:val="21"/>
                      <w:szCs w:val="21"/>
                    </w:rPr>
                  </w:pPr>
                  <w:r>
                    <w:rPr>
                      <w:rFonts w:hint="eastAsia"/>
                      <w:sz w:val="21"/>
                      <w:szCs w:val="21"/>
                    </w:rPr>
                    <w:t>是</w:t>
                  </w:r>
                </w:p>
              </w:tc>
            </w:tr>
            <w:tr w14:paraId="5DD9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344" w:type="dxa"/>
                  <w:vAlign w:val="center"/>
                </w:tcPr>
                <w:p w14:paraId="32D97E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color w:val="0000FF"/>
                      <w:sz w:val="21"/>
                      <w:szCs w:val="21"/>
                      <w:lang w:val="en-US" w:eastAsia="zh-CN"/>
                    </w:rPr>
                  </w:pPr>
                  <w:r>
                    <w:rPr>
                      <w:rFonts w:hint="eastAsia"/>
                      <w:color w:val="auto"/>
                      <w:sz w:val="21"/>
                      <w:szCs w:val="21"/>
                    </w:rPr>
                    <w:t>初期雨水</w:t>
                  </w:r>
                </w:p>
              </w:tc>
              <w:tc>
                <w:tcPr>
                  <w:tcW w:w="1420" w:type="dxa"/>
                  <w:vAlign w:val="center"/>
                </w:tcPr>
                <w:p w14:paraId="7BA6BB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color w:val="auto"/>
                      <w:sz w:val="21"/>
                      <w:szCs w:val="24"/>
                      <w:lang w:val="en-US" w:eastAsia="zh-CN"/>
                    </w:rPr>
                    <w:t>SS、油类</w:t>
                  </w:r>
                </w:p>
              </w:tc>
              <w:tc>
                <w:tcPr>
                  <w:tcW w:w="1069" w:type="dxa"/>
                  <w:vAlign w:val="center"/>
                </w:tcPr>
                <w:p w14:paraId="30D11392">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hint="eastAsia" w:cs="Times New Roman"/>
                      <w:color w:val="auto"/>
                      <w:kern w:val="0"/>
                      <w:sz w:val="21"/>
                      <w:szCs w:val="21"/>
                      <w:lang w:val="en-US" w:eastAsia="zh-CN" w:bidi="ar-SA"/>
                    </w:rPr>
                    <w:t>全部回用</w:t>
                  </w:r>
                </w:p>
              </w:tc>
              <w:tc>
                <w:tcPr>
                  <w:tcW w:w="1781" w:type="dxa"/>
                  <w:vAlign w:val="center"/>
                </w:tcPr>
                <w:p w14:paraId="16D8DE6A">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ascii="宋体" w:hAnsi="宋体" w:eastAsia="宋体" w:cs="宋体"/>
                      <w:color w:val="auto"/>
                      <w:sz w:val="21"/>
                      <w:szCs w:val="21"/>
                    </w:rPr>
                    <w:t>隔油、沉淀</w:t>
                  </w:r>
                </w:p>
              </w:tc>
              <w:tc>
                <w:tcPr>
                  <w:tcW w:w="1061" w:type="dxa"/>
                  <w:vAlign w:val="center"/>
                </w:tcPr>
                <w:p w14:paraId="2AC809D4">
                  <w:pPr>
                    <w:pStyle w:val="5"/>
                    <w:keepNext w:val="0"/>
                    <w:keepLines w:val="0"/>
                    <w:pageBreakBefore w:val="0"/>
                    <w:kinsoku/>
                    <w:wordWrap/>
                    <w:overflowPunct/>
                    <w:topLinePunct w:val="0"/>
                    <w:autoSpaceDE/>
                    <w:autoSpaceDN/>
                    <w:bidi w:val="0"/>
                    <w:spacing w:line="360" w:lineRule="exact"/>
                    <w:jc w:val="center"/>
                    <w:textAlignment w:val="auto"/>
                    <w:rPr>
                      <w:color w:val="auto"/>
                      <w:sz w:val="21"/>
                      <w:szCs w:val="21"/>
                    </w:rPr>
                  </w:pPr>
                  <w:r>
                    <w:rPr>
                      <w:rFonts w:ascii="宋体" w:hAnsi="宋体" w:eastAsia="宋体" w:cs="宋体"/>
                      <w:color w:val="auto"/>
                      <w:sz w:val="21"/>
                      <w:szCs w:val="21"/>
                    </w:rPr>
                    <w:t>隔油、沉淀</w:t>
                  </w:r>
                </w:p>
              </w:tc>
              <w:tc>
                <w:tcPr>
                  <w:tcW w:w="702" w:type="dxa"/>
                  <w:vAlign w:val="center"/>
                </w:tcPr>
                <w:p w14:paraId="7263E833">
                  <w:pPr>
                    <w:pStyle w:val="5"/>
                    <w:keepNext w:val="0"/>
                    <w:keepLines w:val="0"/>
                    <w:pageBreakBefore w:val="0"/>
                    <w:kinsoku/>
                    <w:wordWrap/>
                    <w:overflowPunct/>
                    <w:topLinePunct w:val="0"/>
                    <w:autoSpaceDE/>
                    <w:autoSpaceDN/>
                    <w:bidi w:val="0"/>
                    <w:spacing w:line="360" w:lineRule="exact"/>
                    <w:jc w:val="center"/>
                    <w:textAlignment w:val="auto"/>
                    <w:rPr>
                      <w:rFonts w:hint="eastAsia" w:eastAsia="宋体"/>
                      <w:color w:val="0000FF"/>
                      <w:sz w:val="21"/>
                      <w:szCs w:val="21"/>
                      <w:lang w:eastAsia="zh-CN"/>
                    </w:rPr>
                  </w:pPr>
                  <w:r>
                    <w:rPr>
                      <w:rFonts w:hint="eastAsia"/>
                      <w:sz w:val="21"/>
                      <w:szCs w:val="21"/>
                      <w:lang w:val="en-US" w:eastAsia="zh-CN"/>
                    </w:rPr>
                    <w:t>是</w:t>
                  </w:r>
                </w:p>
              </w:tc>
            </w:tr>
          </w:tbl>
          <w:p w14:paraId="20BDC0A0">
            <w:pPr>
              <w:autoSpaceDE w:val="0"/>
              <w:autoSpaceDN w:val="0"/>
              <w:spacing w:before="156" w:beforeLines="50"/>
              <w:ind w:firstLine="480"/>
              <w:rPr>
                <w:color w:val="auto"/>
                <w:szCs w:val="24"/>
              </w:rPr>
            </w:pPr>
            <w:r>
              <w:rPr>
                <w:rFonts w:hint="eastAsia"/>
                <w:color w:val="auto"/>
                <w:szCs w:val="24"/>
              </w:rPr>
              <w:t>经上文分析，本项目针对</w:t>
            </w:r>
            <w:r>
              <w:rPr>
                <w:rFonts w:hint="eastAsia"/>
                <w:color w:val="auto"/>
                <w:szCs w:val="24"/>
                <w:lang w:val="en-US" w:eastAsia="zh-CN"/>
              </w:rPr>
              <w:t>废水</w:t>
            </w:r>
            <w:r>
              <w:rPr>
                <w:rFonts w:hint="eastAsia"/>
                <w:color w:val="auto"/>
                <w:szCs w:val="24"/>
              </w:rPr>
              <w:t>处理采取的</w:t>
            </w:r>
            <w:r>
              <w:rPr>
                <w:rFonts w:hint="eastAsia"/>
                <w:color w:val="auto"/>
                <w:szCs w:val="24"/>
                <w:lang w:val="en-US" w:eastAsia="zh-CN"/>
              </w:rPr>
              <w:t>防治措施</w:t>
            </w:r>
            <w:r>
              <w:rPr>
                <w:rFonts w:hint="eastAsia"/>
                <w:color w:val="auto"/>
                <w:szCs w:val="24"/>
              </w:rPr>
              <w:t>是可行的。</w:t>
            </w:r>
          </w:p>
          <w:p w14:paraId="05AAA079">
            <w:pPr>
              <w:ind w:firstLine="422"/>
              <w:jc w:val="both"/>
              <w:rPr>
                <w:rFonts w:hint="default" w:ascii="宋体" w:cs="宋体"/>
                <w:b/>
                <w:bCs/>
                <w:kern w:val="0"/>
                <w:sz w:val="21"/>
                <w:szCs w:val="21"/>
                <w:lang w:val="en-US"/>
              </w:rPr>
            </w:pPr>
            <w:r>
              <w:rPr>
                <w:rFonts w:hint="eastAsia" w:cs="Times New Roman"/>
                <w:b/>
                <w:bCs/>
                <w:color w:val="000000" w:themeColor="text1"/>
                <w:szCs w:val="21"/>
                <w:lang w:val="en-US" w:eastAsia="zh-CN"/>
                <w14:textFill>
                  <w14:solidFill>
                    <w14:schemeClr w14:val="tx1"/>
                  </w14:solidFill>
                </w14:textFill>
              </w:rPr>
              <w:t>（三）</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废</w:t>
            </w:r>
            <w:r>
              <w:rPr>
                <w:rFonts w:hint="eastAsia" w:cs="Times New Roman"/>
                <w:b/>
                <w:bCs/>
                <w:color w:val="000000" w:themeColor="text1"/>
                <w:szCs w:val="21"/>
                <w:lang w:val="en-US" w:eastAsia="zh-CN"/>
                <w14:textFill>
                  <w14:solidFill>
                    <w14:schemeClr w14:val="tx1"/>
                  </w14:solidFill>
                </w14:textFill>
              </w:rPr>
              <w:t>水不外排可行性分析</w:t>
            </w:r>
          </w:p>
          <w:p w14:paraId="24ED96A7">
            <w:pPr>
              <w:adjustRightInd w:val="0"/>
              <w:spacing w:line="360" w:lineRule="auto"/>
              <w:ind w:firstLine="440" w:firstLineChars="200"/>
              <w:rPr>
                <w:rFonts w:hint="eastAsia"/>
                <w:bCs/>
                <w:color w:val="auto"/>
                <w:spacing w:val="-10"/>
                <w:szCs w:val="24"/>
                <w:lang w:val="en-US" w:eastAsia="zh-CN"/>
              </w:rPr>
            </w:pPr>
            <w:r>
              <w:rPr>
                <w:rFonts w:hint="eastAsia"/>
                <w:bCs/>
                <w:color w:val="auto"/>
                <w:spacing w:val="-10"/>
                <w:szCs w:val="24"/>
                <w:lang w:val="en-US" w:eastAsia="zh-CN"/>
              </w:rPr>
              <w:t>项目产生废水均回用于厂区洒水降尘，不外排。</w:t>
            </w:r>
          </w:p>
          <w:p w14:paraId="0A19FE74">
            <w:pPr>
              <w:adjustRightInd w:val="0"/>
              <w:spacing w:line="360" w:lineRule="auto"/>
              <w:ind w:firstLine="440" w:firstLineChars="200"/>
              <w:rPr>
                <w:rFonts w:hint="default"/>
                <w:bCs/>
                <w:color w:val="auto"/>
                <w:spacing w:val="-10"/>
                <w:szCs w:val="24"/>
                <w:lang w:val="en-US" w:eastAsia="zh-CN"/>
              </w:rPr>
            </w:pPr>
            <w:r>
              <w:rPr>
                <w:rFonts w:hint="eastAsia"/>
                <w:bCs/>
                <w:color w:val="auto"/>
                <w:spacing w:val="-10"/>
                <w:szCs w:val="24"/>
                <w:lang w:val="en-US" w:eastAsia="zh-CN"/>
              </w:rPr>
              <w:t>1、水质角度</w:t>
            </w:r>
          </w:p>
          <w:p w14:paraId="189E12ED">
            <w:pPr>
              <w:pStyle w:val="33"/>
              <w:keepNext/>
              <w:keepLines w:val="0"/>
              <w:pageBreakBefore w:val="0"/>
              <w:widowControl w:val="0"/>
              <w:numPr>
                <w:ilvl w:val="0"/>
                <w:numId w:val="0"/>
              </w:numPr>
              <w:kinsoku/>
              <w:wordWrap/>
              <w:overflowPunct w:val="0"/>
              <w:topLinePunct w:val="0"/>
              <w:autoSpaceDE/>
              <w:autoSpaceDN/>
              <w:bidi w:val="0"/>
              <w:adjustRightInd/>
              <w:snapToGrid w:val="0"/>
              <w:ind w:firstLine="480" w:firstLineChars="200"/>
              <w:textAlignment w:val="auto"/>
              <w:rPr>
                <w:rFonts w:hint="default"/>
                <w:color w:val="auto"/>
                <w:lang w:val="en-US" w:eastAsia="zh-CN"/>
              </w:rPr>
            </w:pPr>
            <w:r>
              <w:rPr>
                <w:rFonts w:hint="eastAsia"/>
                <w:color w:val="auto"/>
                <w:lang w:val="en-US" w:eastAsia="zh-CN"/>
              </w:rPr>
              <w:t>（1）办公废水</w:t>
            </w:r>
          </w:p>
          <w:p w14:paraId="390F2469">
            <w:pPr>
              <w:pStyle w:val="33"/>
              <w:keepNext/>
              <w:keepLines w:val="0"/>
              <w:pageBreakBefore w:val="0"/>
              <w:widowControl w:val="0"/>
              <w:numPr>
                <w:ilvl w:val="0"/>
                <w:numId w:val="0"/>
              </w:numPr>
              <w:kinsoku/>
              <w:wordWrap/>
              <w:overflowPunct w:val="0"/>
              <w:topLinePunct w:val="0"/>
              <w:autoSpaceDE/>
              <w:autoSpaceDN/>
              <w:bidi w:val="0"/>
              <w:adjustRightInd/>
              <w:snapToGrid w:val="0"/>
              <w:ind w:firstLine="480" w:firstLineChars="200"/>
              <w:textAlignment w:val="auto"/>
              <w:rPr>
                <w:rFonts w:hint="default" w:eastAsia="宋体"/>
                <w:color w:val="auto"/>
                <w:lang w:val="en-US" w:eastAsia="zh-CN"/>
              </w:rPr>
            </w:pPr>
            <w:r>
              <w:rPr>
                <w:rFonts w:hint="eastAsia"/>
                <w:color w:val="auto"/>
                <w:lang w:val="en-US" w:eastAsia="zh-CN"/>
              </w:rPr>
              <w:t>根据建设单位提供资料，项目劳动定员4人，不在厂区内食宿，产生办公废水主要成分为</w:t>
            </w:r>
            <w:r>
              <w:rPr>
                <w:rFonts w:hint="eastAsia"/>
                <w:color w:val="auto"/>
                <w:sz w:val="24"/>
                <w:szCs w:val="24"/>
                <w:lang w:val="en-US" w:eastAsia="zh-CN"/>
              </w:rPr>
              <w:t>COD、SS、NH</w:t>
            </w:r>
            <w:r>
              <w:rPr>
                <w:rFonts w:hint="eastAsia"/>
                <w:color w:val="auto"/>
                <w:sz w:val="24"/>
                <w:szCs w:val="24"/>
                <w:vertAlign w:val="subscript"/>
                <w:lang w:val="en-US" w:eastAsia="zh-CN"/>
              </w:rPr>
              <w:t>3</w:t>
            </w:r>
            <w:r>
              <w:rPr>
                <w:rFonts w:hint="eastAsia"/>
                <w:color w:val="auto"/>
                <w:sz w:val="24"/>
                <w:szCs w:val="24"/>
                <w:lang w:val="en-US" w:eastAsia="zh-CN"/>
              </w:rPr>
              <w:t>-N、TP、BOD</w:t>
            </w:r>
            <w:r>
              <w:rPr>
                <w:rFonts w:hint="eastAsia"/>
                <w:color w:val="auto"/>
                <w:sz w:val="24"/>
                <w:szCs w:val="24"/>
                <w:vertAlign w:val="subscript"/>
                <w:lang w:val="en-US" w:eastAsia="zh-CN"/>
              </w:rPr>
              <w:t>5</w:t>
            </w:r>
            <w:r>
              <w:rPr>
                <w:rFonts w:hint="eastAsia"/>
                <w:color w:val="auto"/>
                <w:sz w:val="24"/>
                <w:szCs w:val="24"/>
                <w:vertAlign w:val="baseline"/>
                <w:lang w:val="en-US" w:eastAsia="zh-CN"/>
              </w:rPr>
              <w:t>等</w:t>
            </w:r>
            <w:r>
              <w:rPr>
                <w:rFonts w:hint="eastAsia"/>
                <w:color w:val="auto"/>
                <w:sz w:val="24"/>
                <w:szCs w:val="24"/>
                <w:lang w:val="en-US" w:eastAsia="zh-CN"/>
              </w:rPr>
              <w:t>，依</w:t>
            </w:r>
            <w:r>
              <w:rPr>
                <w:rFonts w:hint="eastAsia"/>
                <w:color w:val="auto"/>
                <w:lang w:val="en-US" w:eastAsia="zh-CN"/>
              </w:rPr>
              <w:t>托云南龙泉矿业开发有限公司办公生活区化粪池处理后定期清掏用作周围农作物施肥</w:t>
            </w:r>
            <w:r>
              <w:rPr>
                <w:rFonts w:hint="eastAsia" w:cs="Times New Roman"/>
                <w:b w:val="0"/>
                <w:bCs/>
                <w:color w:val="auto"/>
                <w:kern w:val="44"/>
                <w:sz w:val="24"/>
                <w:szCs w:val="30"/>
                <w:lang w:val="en-US" w:eastAsia="zh-CN" w:bidi="ar-SA"/>
              </w:rPr>
              <w:t>，处理措施是</w:t>
            </w:r>
            <w:r>
              <w:rPr>
                <w:rFonts w:hint="eastAsia"/>
                <w:color w:val="auto"/>
                <w:lang w:val="en-US" w:eastAsia="zh-CN"/>
              </w:rPr>
              <w:t>可行的。</w:t>
            </w:r>
          </w:p>
          <w:p w14:paraId="7376F6AD">
            <w:pPr>
              <w:adjustRightInd w:val="0"/>
              <w:spacing w:line="360" w:lineRule="auto"/>
              <w:ind w:firstLine="440" w:firstLineChars="200"/>
              <w:rPr>
                <w:rFonts w:hint="eastAsia" w:eastAsia="宋体"/>
                <w:bCs/>
                <w:color w:val="auto"/>
                <w:spacing w:val="-10"/>
                <w:szCs w:val="24"/>
                <w:lang w:eastAsia="zh-CN"/>
              </w:rPr>
            </w:pPr>
            <w:r>
              <w:rPr>
                <w:rFonts w:hint="eastAsia"/>
                <w:bCs/>
                <w:color w:val="auto"/>
                <w:spacing w:val="-10"/>
                <w:szCs w:val="24"/>
                <w:lang w:eastAsia="zh-CN"/>
              </w:rPr>
              <w:t>（</w:t>
            </w:r>
            <w:r>
              <w:rPr>
                <w:rFonts w:hint="eastAsia"/>
                <w:bCs/>
                <w:color w:val="auto"/>
                <w:spacing w:val="-10"/>
                <w:szCs w:val="24"/>
                <w:lang w:val="en-US" w:eastAsia="zh-CN"/>
              </w:rPr>
              <w:t>2</w:t>
            </w:r>
            <w:r>
              <w:rPr>
                <w:rFonts w:hint="eastAsia"/>
                <w:bCs/>
                <w:color w:val="auto"/>
                <w:spacing w:val="-10"/>
                <w:szCs w:val="24"/>
                <w:lang w:eastAsia="zh-CN"/>
              </w:rPr>
              <w:t>）</w:t>
            </w:r>
            <w:r>
              <w:rPr>
                <w:rFonts w:hint="eastAsia" w:ascii="Times New Roman" w:hAnsi="Times New Roman" w:eastAsia="宋体" w:cs="Times New Roman"/>
                <w:b w:val="0"/>
                <w:bCs/>
                <w:color w:val="auto"/>
                <w:kern w:val="44"/>
                <w:sz w:val="24"/>
                <w:szCs w:val="30"/>
                <w:lang w:val="en-US" w:eastAsia="zh-CN" w:bidi="ar-SA"/>
              </w:rPr>
              <w:t>运输车辆清洗废水</w:t>
            </w:r>
          </w:p>
          <w:p w14:paraId="02F6B120">
            <w:pPr>
              <w:pStyle w:val="33"/>
              <w:keepNext/>
              <w:keepLines w:val="0"/>
              <w:pageBreakBefore w:val="0"/>
              <w:widowControl w:val="0"/>
              <w:numPr>
                <w:ilvl w:val="0"/>
                <w:numId w:val="0"/>
              </w:numPr>
              <w:kinsoku/>
              <w:wordWrap/>
              <w:overflowPunct w:val="0"/>
              <w:topLinePunct w:val="0"/>
              <w:autoSpaceDE/>
              <w:autoSpaceDN/>
              <w:bidi w:val="0"/>
              <w:adjustRightInd/>
              <w:snapToGrid w:val="0"/>
              <w:ind w:firstLine="440" w:firstLineChars="200"/>
              <w:textAlignment w:val="auto"/>
              <w:rPr>
                <w:rFonts w:hint="default" w:eastAsia="宋体"/>
                <w:color w:val="0000FF"/>
                <w:lang w:val="en-US" w:eastAsia="zh-CN"/>
              </w:rPr>
            </w:pPr>
            <w:r>
              <w:rPr>
                <w:rFonts w:hint="eastAsia"/>
                <w:bCs/>
                <w:color w:val="auto"/>
                <w:spacing w:val="-10"/>
                <w:szCs w:val="24"/>
                <w:lang w:val="en-US" w:eastAsia="zh-CN"/>
              </w:rPr>
              <w:t>产生</w:t>
            </w:r>
            <w:r>
              <w:rPr>
                <w:rFonts w:hint="eastAsia" w:ascii="Times New Roman" w:hAnsi="Times New Roman" w:eastAsia="宋体" w:cs="Times New Roman"/>
                <w:b w:val="0"/>
                <w:bCs/>
                <w:color w:val="auto"/>
                <w:kern w:val="44"/>
                <w:sz w:val="24"/>
                <w:szCs w:val="30"/>
                <w:lang w:val="en-US" w:eastAsia="zh-CN" w:bidi="ar-SA"/>
              </w:rPr>
              <w:t>运输车辆清洗废水</w:t>
            </w:r>
            <w:r>
              <w:rPr>
                <w:rFonts w:hint="eastAsia" w:cs="Times New Roman"/>
                <w:b w:val="0"/>
                <w:bCs/>
                <w:color w:val="auto"/>
                <w:kern w:val="44"/>
                <w:sz w:val="24"/>
                <w:szCs w:val="30"/>
                <w:lang w:val="en-US" w:eastAsia="zh-CN" w:bidi="ar-SA"/>
              </w:rPr>
              <w:t>来自运输车辆车轮泥沙清洗，污染物主要为</w:t>
            </w:r>
            <w:r>
              <w:rPr>
                <w:rFonts w:hint="eastAsia"/>
                <w:color w:val="auto"/>
                <w:lang w:val="en-US" w:eastAsia="zh-CN"/>
              </w:rPr>
              <w:t>SS，水质较为简单，经洗车池简单的沉淀</w:t>
            </w:r>
            <w:r>
              <w:rPr>
                <w:rFonts w:hint="eastAsia" w:cs="Times New Roman"/>
                <w:b w:val="0"/>
                <w:bCs/>
                <w:color w:val="auto"/>
                <w:kern w:val="44"/>
                <w:sz w:val="24"/>
                <w:szCs w:val="30"/>
                <w:lang w:val="en-US" w:eastAsia="zh-CN" w:bidi="ar-SA"/>
              </w:rPr>
              <w:t>处理</w:t>
            </w:r>
            <w:r>
              <w:rPr>
                <w:rFonts w:hint="eastAsia"/>
                <w:color w:val="auto"/>
                <w:lang w:val="en-US" w:eastAsia="zh-CN"/>
              </w:rPr>
              <w:t>后</w:t>
            </w:r>
            <w:r>
              <w:rPr>
                <w:rFonts w:hint="eastAsia" w:cs="Times New Roman"/>
                <w:b w:val="0"/>
                <w:bCs/>
                <w:color w:val="auto"/>
                <w:kern w:val="44"/>
                <w:sz w:val="24"/>
                <w:szCs w:val="30"/>
                <w:lang w:val="en-US" w:eastAsia="zh-CN" w:bidi="ar-SA"/>
              </w:rPr>
              <w:t>循环使用，当不能满足洗车条件后用于厂区洒水降尘，不外排，处理措施是</w:t>
            </w:r>
            <w:r>
              <w:rPr>
                <w:rFonts w:hint="eastAsia"/>
                <w:color w:val="auto"/>
                <w:lang w:val="en-US" w:eastAsia="zh-CN"/>
              </w:rPr>
              <w:t>可行的。</w:t>
            </w:r>
          </w:p>
          <w:p w14:paraId="3586005E">
            <w:pPr>
              <w:adjustRightInd w:val="0"/>
              <w:spacing w:line="360" w:lineRule="auto"/>
              <w:ind w:firstLine="440" w:firstLineChars="200"/>
              <w:rPr>
                <w:rFonts w:hint="default" w:eastAsia="宋体"/>
                <w:bCs/>
                <w:color w:val="auto"/>
                <w:spacing w:val="-10"/>
                <w:szCs w:val="24"/>
                <w:lang w:val="en-US" w:eastAsia="zh-CN"/>
              </w:rPr>
            </w:pPr>
            <w:r>
              <w:rPr>
                <w:rFonts w:hint="eastAsia"/>
                <w:bCs/>
                <w:color w:val="auto"/>
                <w:spacing w:val="-10"/>
                <w:szCs w:val="24"/>
                <w:lang w:val="en-US" w:eastAsia="zh-CN"/>
              </w:rPr>
              <w:t>（3）初期雨水</w:t>
            </w:r>
          </w:p>
          <w:p w14:paraId="5E6DCED0">
            <w:pPr>
              <w:pStyle w:val="33"/>
              <w:ind w:firstLine="480"/>
              <w:rPr>
                <w:rFonts w:hint="eastAsia"/>
                <w:color w:val="auto"/>
                <w:lang w:val="en-US" w:eastAsia="zh-CN"/>
              </w:rPr>
            </w:pPr>
            <w:r>
              <w:rPr>
                <w:rFonts w:hint="eastAsia"/>
                <w:color w:val="auto"/>
                <w:lang w:val="en-US" w:eastAsia="zh-CN"/>
              </w:rPr>
              <w:t>项目区初期雨水是下雨天雨水冲刷地面产生，项目属于沥青混凝土生产项目，沥青物料密闭暂存、密闭输送，项目区地表主要是沉积的粉尘、滴漏油污等，因此，项目区初期雨水主要污染物为SS、油类，新建1个</w:t>
            </w:r>
            <w:r>
              <w:rPr>
                <w:rFonts w:hint="default"/>
                <w:color w:val="auto"/>
                <w:lang w:val="en-US" w:eastAsia="zh-CN"/>
              </w:rPr>
              <w:t>容积为</w:t>
            </w:r>
            <w:r>
              <w:rPr>
                <w:rFonts w:hint="eastAsia"/>
                <w:color w:val="auto"/>
                <w:lang w:val="en-US" w:eastAsia="zh-CN"/>
              </w:rPr>
              <w:t>2</w:t>
            </w:r>
            <w:r>
              <w:rPr>
                <w:rFonts w:hint="default"/>
                <w:color w:val="auto"/>
                <w:lang w:val="en-US" w:eastAsia="zh-CN"/>
              </w:rPr>
              <w:t>0m</w:t>
            </w:r>
            <w:r>
              <w:rPr>
                <w:rFonts w:hint="default"/>
                <w:color w:val="auto"/>
                <w:vertAlign w:val="superscript"/>
                <w:lang w:val="en-US" w:eastAsia="zh-CN"/>
              </w:rPr>
              <w:t>3</w:t>
            </w:r>
            <w:r>
              <w:rPr>
                <w:rFonts w:hint="default"/>
                <w:color w:val="auto"/>
                <w:lang w:val="en-US" w:eastAsia="zh-CN"/>
              </w:rPr>
              <w:t>的</w:t>
            </w:r>
            <w:r>
              <w:rPr>
                <w:rFonts w:hint="eastAsia"/>
                <w:color w:val="auto"/>
                <w:lang w:val="en-US" w:eastAsia="zh-CN"/>
              </w:rPr>
              <w:t>初期雨水隔油沉淀池，经隔油、</w:t>
            </w:r>
            <w:r>
              <w:rPr>
                <w:rFonts w:hint="default"/>
                <w:color w:val="auto"/>
                <w:lang w:val="en-US" w:eastAsia="zh-CN"/>
              </w:rPr>
              <w:t>沉淀</w:t>
            </w:r>
            <w:r>
              <w:rPr>
                <w:rFonts w:hint="eastAsia"/>
                <w:color w:val="auto"/>
                <w:lang w:val="en-US" w:eastAsia="zh-CN"/>
              </w:rPr>
              <w:t>处理</w:t>
            </w:r>
            <w:r>
              <w:rPr>
                <w:rFonts w:hint="default"/>
                <w:color w:val="auto"/>
                <w:lang w:val="en-US" w:eastAsia="zh-CN"/>
              </w:rPr>
              <w:t>后用于厂区洒水降尘</w:t>
            </w:r>
            <w:r>
              <w:rPr>
                <w:rFonts w:hint="eastAsia" w:cs="Times New Roman"/>
                <w:b w:val="0"/>
                <w:bCs/>
                <w:color w:val="auto"/>
                <w:kern w:val="44"/>
                <w:sz w:val="24"/>
                <w:szCs w:val="30"/>
                <w:lang w:val="en-US" w:eastAsia="zh-CN" w:bidi="ar-SA"/>
              </w:rPr>
              <w:t>，处理措施是</w:t>
            </w:r>
            <w:r>
              <w:rPr>
                <w:rFonts w:hint="eastAsia"/>
                <w:color w:val="auto"/>
                <w:lang w:val="en-US" w:eastAsia="zh-CN"/>
              </w:rPr>
              <w:t>可行</w:t>
            </w:r>
            <w:r>
              <w:rPr>
                <w:rFonts w:hint="eastAsia"/>
                <w:color w:val="auto"/>
                <w:highlight w:val="none"/>
                <w:lang w:val="en-US" w:eastAsia="zh-CN"/>
              </w:rPr>
              <w:t>的。</w:t>
            </w:r>
          </w:p>
          <w:p w14:paraId="7B1BFAE7">
            <w:pPr>
              <w:pStyle w:val="33"/>
              <w:ind w:firstLine="480"/>
              <w:rPr>
                <w:rFonts w:hint="default"/>
                <w:color w:val="auto"/>
                <w:lang w:val="en-US" w:eastAsia="zh-CN"/>
              </w:rPr>
            </w:pPr>
            <w:r>
              <w:rPr>
                <w:rFonts w:hint="eastAsia"/>
                <w:color w:val="auto"/>
                <w:lang w:val="en-US" w:eastAsia="zh-CN"/>
              </w:rPr>
              <w:t>2、水量角度</w:t>
            </w:r>
          </w:p>
          <w:p w14:paraId="74802064">
            <w:pPr>
              <w:pStyle w:val="33"/>
              <w:keepNext/>
              <w:keepLines w:val="0"/>
              <w:pageBreakBefore w:val="0"/>
              <w:widowControl w:val="0"/>
              <w:numPr>
                <w:ilvl w:val="0"/>
                <w:numId w:val="0"/>
              </w:numPr>
              <w:kinsoku/>
              <w:wordWrap/>
              <w:overflowPunct w:val="0"/>
              <w:topLinePunct w:val="0"/>
              <w:autoSpaceDE/>
              <w:autoSpaceDN/>
              <w:bidi w:val="0"/>
              <w:adjustRightInd/>
              <w:snapToGrid w:val="0"/>
              <w:ind w:firstLine="480" w:firstLineChars="200"/>
              <w:textAlignment w:val="auto"/>
              <w:rPr>
                <w:rFonts w:hint="default"/>
                <w:color w:val="auto"/>
                <w:lang w:val="en-US" w:eastAsia="zh-CN"/>
              </w:rPr>
            </w:pPr>
            <w:r>
              <w:rPr>
                <w:rFonts w:hint="eastAsia"/>
                <w:color w:val="auto"/>
                <w:lang w:val="en-US" w:eastAsia="zh-CN"/>
              </w:rPr>
              <w:t>（1）办公废水</w:t>
            </w:r>
          </w:p>
          <w:p w14:paraId="543411FB">
            <w:pPr>
              <w:pStyle w:val="10"/>
              <w:keepNext w:val="0"/>
              <w:keepLines w:val="0"/>
              <w:pageBreakBefore w:val="0"/>
              <w:widowControl w:val="0"/>
              <w:kinsoku/>
              <w:wordWrap/>
              <w:overflowPunct/>
              <w:topLinePunct w:val="0"/>
              <w:autoSpaceDE/>
              <w:autoSpaceDN/>
              <w:bidi w:val="0"/>
              <w:adjustRightInd/>
              <w:spacing w:line="360" w:lineRule="auto"/>
              <w:ind w:firstLine="480"/>
              <w:jc w:val="left"/>
              <w:textAlignment w:val="auto"/>
              <w:rPr>
                <w:rFonts w:hint="eastAsia"/>
                <w:bCs/>
                <w:color w:val="0000FF"/>
              </w:rPr>
            </w:pPr>
            <w:r>
              <w:rPr>
                <w:rFonts w:hint="eastAsia"/>
                <w:color w:val="auto"/>
                <w:lang w:val="en-US" w:eastAsia="zh-CN"/>
              </w:rPr>
              <w:t>项目办公生活废水产生量</w:t>
            </w:r>
            <w:r>
              <w:rPr>
                <w:rFonts w:hint="eastAsia" w:ascii="Times New Roman" w:hAnsi="Times New Roman" w:eastAsia="宋体" w:cs="Times New Roman"/>
                <w:color w:val="auto"/>
                <w:spacing w:val="0"/>
                <w:kern w:val="2"/>
                <w:sz w:val="24"/>
                <w:szCs w:val="22"/>
                <w:lang w:val="en-US" w:eastAsia="zh-CN" w:bidi="ar-SA"/>
              </w:rPr>
              <w:t>0.128</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/d</w:t>
            </w:r>
            <w:r>
              <w:rPr>
                <w:rFonts w:hint="eastAsia" w:cs="Times New Roman"/>
                <w:color w:val="auto"/>
                <w:spacing w:val="0"/>
                <w:kern w:val="2"/>
                <w:sz w:val="24"/>
                <w:szCs w:val="22"/>
                <w:lang w:val="en-US" w:eastAsia="zh-CN" w:bidi="ar-SA"/>
              </w:rPr>
              <w:t>，23.04</w:t>
            </w:r>
            <w:r>
              <w:rPr>
                <w:rFonts w:hint="default" w:ascii="Times New Roman" w:hAnsi="Times New Roman" w:eastAsia="宋体" w:cs="Times New Roman"/>
                <w:color w:val="auto"/>
                <w:spacing w:val="0"/>
                <w:kern w:val="2"/>
                <w:sz w:val="24"/>
                <w:szCs w:val="22"/>
                <w:lang w:val="en-US" w:eastAsia="zh-CN" w:bidi="ar-SA"/>
              </w:rPr>
              <w:t>m</w:t>
            </w:r>
            <w:r>
              <w:rPr>
                <w:rFonts w:hint="default" w:ascii="Times New Roman" w:hAnsi="Times New Roman" w:eastAsia="宋体" w:cs="Times New Roman"/>
                <w:color w:val="auto"/>
                <w:spacing w:val="0"/>
                <w:kern w:val="2"/>
                <w:sz w:val="24"/>
                <w:szCs w:val="22"/>
                <w:vertAlign w:val="superscript"/>
                <w:lang w:val="en-US" w:eastAsia="zh-CN" w:bidi="ar-SA"/>
              </w:rPr>
              <w:t>3</w:t>
            </w:r>
            <w:r>
              <w:rPr>
                <w:rFonts w:hint="default" w:ascii="Times New Roman" w:hAnsi="Times New Roman" w:eastAsia="宋体" w:cs="Times New Roman"/>
                <w:color w:val="auto"/>
                <w:spacing w:val="0"/>
                <w:kern w:val="2"/>
                <w:sz w:val="24"/>
                <w:szCs w:val="22"/>
                <w:lang w:val="en-US" w:eastAsia="zh-CN" w:bidi="ar-SA"/>
              </w:rPr>
              <w:t>/a</w:t>
            </w:r>
            <w:r>
              <w:rPr>
                <w:rFonts w:hint="eastAsia" w:ascii="Times New Roman" w:hAnsi="Times New Roman" w:eastAsia="宋体" w:cs="Times New Roman"/>
                <w:color w:val="auto"/>
                <w:spacing w:val="0"/>
                <w:kern w:val="2"/>
                <w:sz w:val="24"/>
                <w:szCs w:val="22"/>
                <w:lang w:val="en-US" w:eastAsia="zh-CN" w:bidi="ar-SA"/>
              </w:rPr>
              <w:t>。依托云南龙泉矿业开发有限公司</w:t>
            </w:r>
            <w:r>
              <w:rPr>
                <w:rFonts w:hint="eastAsia" w:cs="Times New Roman"/>
                <w:color w:val="auto"/>
                <w:spacing w:val="0"/>
                <w:kern w:val="2"/>
                <w:sz w:val="24"/>
                <w:szCs w:val="22"/>
                <w:lang w:val="en-US" w:eastAsia="zh-CN" w:bidi="ar-SA"/>
              </w:rPr>
              <w:t>西南侧</w:t>
            </w:r>
            <w:r>
              <w:rPr>
                <w:rFonts w:hint="eastAsia" w:ascii="Times New Roman" w:hAnsi="Times New Roman" w:eastAsia="宋体" w:cs="Times New Roman"/>
                <w:color w:val="auto"/>
                <w:spacing w:val="0"/>
                <w:kern w:val="2"/>
                <w:sz w:val="24"/>
                <w:szCs w:val="22"/>
                <w:lang w:val="en-US" w:eastAsia="zh-CN" w:bidi="ar-SA"/>
              </w:rPr>
              <w:t>办公区1个</w:t>
            </w:r>
            <w:r>
              <w:rPr>
                <w:rFonts w:hint="eastAsia" w:cs="Times New Roman"/>
                <w:color w:val="auto"/>
                <w:spacing w:val="0"/>
                <w:kern w:val="2"/>
                <w:sz w:val="24"/>
                <w:szCs w:val="22"/>
                <w:lang w:val="en-US" w:eastAsia="zh-CN" w:bidi="ar-SA"/>
              </w:rPr>
              <w:t>2</w:t>
            </w:r>
            <w:r>
              <w:rPr>
                <w:rFonts w:hint="eastAsia" w:ascii="Times New Roman" w:hAnsi="Times New Roman" w:eastAsia="宋体" w:cs="Times New Roman"/>
                <w:color w:val="auto"/>
                <w:spacing w:val="0"/>
                <w:kern w:val="2"/>
                <w:sz w:val="24"/>
                <w:szCs w:val="22"/>
                <w:lang w:val="en-US" w:eastAsia="zh-CN" w:bidi="ar-SA"/>
              </w:rPr>
              <w:t>m</w:t>
            </w:r>
            <w:r>
              <w:rPr>
                <w:rFonts w:hint="eastAsia" w:ascii="Times New Roman" w:hAnsi="Times New Roman" w:eastAsia="宋体" w:cs="Times New Roman"/>
                <w:color w:val="auto"/>
                <w:spacing w:val="0"/>
                <w:kern w:val="2"/>
                <w:sz w:val="24"/>
                <w:szCs w:val="22"/>
                <w:vertAlign w:val="superscript"/>
                <w:lang w:val="en-US" w:eastAsia="zh-CN" w:bidi="ar-SA"/>
              </w:rPr>
              <w:t>3</w:t>
            </w:r>
            <w:r>
              <w:rPr>
                <w:rFonts w:hint="eastAsia" w:cs="Times New Roman"/>
                <w:color w:val="auto"/>
                <w:spacing w:val="0"/>
                <w:kern w:val="2"/>
                <w:sz w:val="24"/>
                <w:szCs w:val="22"/>
                <w:lang w:val="en-US" w:eastAsia="zh-CN" w:bidi="ar-SA"/>
              </w:rPr>
              <w:t>化粪</w:t>
            </w:r>
            <w:r>
              <w:rPr>
                <w:rFonts w:hint="eastAsia" w:ascii="Times New Roman" w:hAnsi="Times New Roman" w:eastAsia="宋体" w:cs="Times New Roman"/>
                <w:color w:val="auto"/>
                <w:spacing w:val="0"/>
                <w:kern w:val="2"/>
                <w:sz w:val="24"/>
                <w:szCs w:val="22"/>
                <w:lang w:val="en-US" w:eastAsia="zh-CN" w:bidi="ar-SA"/>
              </w:rPr>
              <w:t>池，办公废水经</w:t>
            </w:r>
            <w:r>
              <w:rPr>
                <w:rFonts w:hint="eastAsia" w:cs="Times New Roman"/>
                <w:color w:val="auto"/>
                <w:spacing w:val="0"/>
                <w:kern w:val="2"/>
                <w:sz w:val="24"/>
                <w:szCs w:val="22"/>
                <w:lang w:val="en-US" w:eastAsia="zh-CN" w:bidi="ar-SA"/>
              </w:rPr>
              <w:t>收集</w:t>
            </w:r>
            <w:r>
              <w:rPr>
                <w:rFonts w:hint="eastAsia" w:ascii="Times New Roman" w:hAnsi="Times New Roman" w:eastAsia="宋体" w:cs="Times New Roman"/>
                <w:color w:val="auto"/>
                <w:spacing w:val="0"/>
                <w:kern w:val="2"/>
                <w:sz w:val="24"/>
                <w:szCs w:val="22"/>
                <w:lang w:val="en-US" w:eastAsia="zh-CN" w:bidi="ar-SA"/>
              </w:rPr>
              <w:t>处理</w:t>
            </w:r>
            <w:r>
              <w:rPr>
                <w:rFonts w:hint="eastAsia" w:cs="Times New Roman"/>
                <w:color w:val="auto"/>
                <w:spacing w:val="0"/>
                <w:kern w:val="2"/>
                <w:sz w:val="24"/>
                <w:szCs w:val="22"/>
                <w:lang w:val="en-US" w:eastAsia="zh-CN" w:bidi="ar-SA"/>
              </w:rPr>
              <w:t>可行。根据建设单位提供资料，</w:t>
            </w:r>
            <w:r>
              <w:rPr>
                <w:rFonts w:hint="eastAsia" w:cs="Times New Roman"/>
                <w:b w:val="0"/>
                <w:bCs w:val="0"/>
                <w:color w:val="auto"/>
                <w:sz w:val="24"/>
                <w:szCs w:val="24"/>
                <w:lang w:val="en-US" w:eastAsia="zh-CN"/>
              </w:rPr>
              <w:t>云南龙泉矿业开发有限公司“45万吨/年普通建筑材料用石灰岩露天开采技术改造项目”运营期生活</w:t>
            </w:r>
            <w:r>
              <w:rPr>
                <w:rFonts w:hint="eastAsia"/>
                <w:color w:val="auto"/>
              </w:rPr>
              <w:t>废水产生量为</w:t>
            </w:r>
            <w:r>
              <w:rPr>
                <w:color w:val="auto"/>
              </w:rPr>
              <w:t>1.02m</w:t>
            </w:r>
            <w:r>
              <w:rPr>
                <w:color w:val="auto"/>
                <w:vertAlign w:val="superscript"/>
              </w:rPr>
              <w:t>3</w:t>
            </w:r>
            <w:r>
              <w:rPr>
                <w:color w:val="auto"/>
              </w:rPr>
              <w:t>/d</w:t>
            </w:r>
            <w:r>
              <w:rPr>
                <w:rFonts w:hint="eastAsia"/>
                <w:color w:val="auto"/>
                <w:lang w:eastAsia="zh-CN"/>
              </w:rPr>
              <w:t>，</w:t>
            </w:r>
            <w:r>
              <w:rPr>
                <w:rFonts w:hint="eastAsia"/>
                <w:color w:val="auto"/>
                <w:lang w:val="en-US" w:eastAsia="zh-CN"/>
              </w:rPr>
              <w:t>且有两个生活办公区，经调查，</w:t>
            </w:r>
            <w:r>
              <w:rPr>
                <w:rFonts w:hint="eastAsia" w:cs="Times New Roman"/>
                <w:b w:val="0"/>
                <w:bCs w:val="0"/>
                <w:color w:val="auto"/>
                <w:sz w:val="24"/>
                <w:szCs w:val="24"/>
                <w:lang w:val="en-US" w:eastAsia="zh-CN"/>
              </w:rPr>
              <w:t>云南龙泉矿业开发有限公司约一半的人在西南侧办公生活区办公生活</w:t>
            </w:r>
            <w:r>
              <w:rPr>
                <w:rFonts w:hint="eastAsia"/>
                <w:color w:val="auto"/>
                <w:lang w:eastAsia="zh-CN"/>
              </w:rPr>
              <w:t>，</w:t>
            </w:r>
            <w:r>
              <w:rPr>
                <w:rFonts w:hint="eastAsia" w:cs="Times New Roman"/>
                <w:b w:val="0"/>
                <w:bCs w:val="0"/>
                <w:color w:val="auto"/>
                <w:sz w:val="24"/>
                <w:szCs w:val="24"/>
                <w:lang w:val="en-US" w:eastAsia="zh-CN"/>
              </w:rPr>
              <w:t>生活</w:t>
            </w:r>
            <w:r>
              <w:rPr>
                <w:rFonts w:hint="eastAsia"/>
                <w:color w:val="auto"/>
              </w:rPr>
              <w:t>废水产生量为</w:t>
            </w:r>
            <w:r>
              <w:rPr>
                <w:rFonts w:hint="eastAsia"/>
                <w:color w:val="auto"/>
                <w:lang w:val="en-US" w:eastAsia="zh-CN"/>
              </w:rPr>
              <w:t>0.51</w:t>
            </w:r>
            <w:r>
              <w:rPr>
                <w:color w:val="auto"/>
              </w:rPr>
              <w:t>m</w:t>
            </w:r>
            <w:r>
              <w:rPr>
                <w:color w:val="auto"/>
                <w:vertAlign w:val="superscript"/>
              </w:rPr>
              <w:t>3</w:t>
            </w:r>
            <w:r>
              <w:rPr>
                <w:color w:val="auto"/>
              </w:rPr>
              <w:t>/d</w:t>
            </w:r>
            <w:r>
              <w:rPr>
                <w:rFonts w:hint="eastAsia"/>
                <w:color w:val="auto"/>
                <w:lang w:eastAsia="zh-CN"/>
              </w:rPr>
              <w:t>，</w:t>
            </w:r>
            <w:r>
              <w:rPr>
                <w:rFonts w:hint="eastAsia"/>
                <w:color w:val="auto"/>
                <w:lang w:val="en-US" w:eastAsia="zh-CN"/>
              </w:rPr>
              <w:t>则两个项目产生办公生活废水合计0.638</w:t>
            </w:r>
            <w:r>
              <w:rPr>
                <w:color w:val="auto"/>
              </w:rPr>
              <w:t>m</w:t>
            </w:r>
            <w:r>
              <w:rPr>
                <w:color w:val="auto"/>
                <w:vertAlign w:val="superscript"/>
              </w:rPr>
              <w:t>3</w:t>
            </w:r>
            <w:r>
              <w:rPr>
                <w:color w:val="auto"/>
              </w:rPr>
              <w:t>/d</w:t>
            </w:r>
            <w:r>
              <w:rPr>
                <w:rFonts w:hint="eastAsia"/>
                <w:color w:val="auto"/>
                <w:lang w:val="en-US" w:eastAsia="zh-CN"/>
              </w:rPr>
              <w:t>，</w:t>
            </w:r>
            <w:r>
              <w:rPr>
                <w:rFonts w:hint="eastAsia" w:cs="Times New Roman"/>
                <w:color w:val="auto"/>
                <w:spacing w:val="0"/>
                <w:kern w:val="2"/>
                <w:sz w:val="24"/>
                <w:szCs w:val="22"/>
                <w:lang w:val="en-US" w:eastAsia="zh-CN" w:bidi="ar-SA"/>
              </w:rPr>
              <w:t>2</w:t>
            </w:r>
            <w:r>
              <w:rPr>
                <w:rFonts w:hint="eastAsia" w:ascii="Times New Roman" w:hAnsi="Times New Roman" w:eastAsia="宋体" w:cs="Times New Roman"/>
                <w:color w:val="auto"/>
                <w:spacing w:val="0"/>
                <w:kern w:val="2"/>
                <w:sz w:val="24"/>
                <w:szCs w:val="22"/>
                <w:lang w:val="en-US" w:eastAsia="zh-CN" w:bidi="ar-SA"/>
              </w:rPr>
              <w:t>m</w:t>
            </w:r>
            <w:r>
              <w:rPr>
                <w:rFonts w:hint="eastAsia" w:ascii="Times New Roman" w:hAnsi="Times New Roman" w:eastAsia="宋体" w:cs="Times New Roman"/>
                <w:color w:val="auto"/>
                <w:spacing w:val="0"/>
                <w:kern w:val="2"/>
                <w:sz w:val="24"/>
                <w:szCs w:val="22"/>
                <w:vertAlign w:val="superscript"/>
                <w:lang w:val="en-US" w:eastAsia="zh-CN" w:bidi="ar-SA"/>
              </w:rPr>
              <w:t>3</w:t>
            </w:r>
            <w:r>
              <w:rPr>
                <w:rFonts w:hint="eastAsia" w:cs="Times New Roman"/>
                <w:color w:val="auto"/>
                <w:spacing w:val="0"/>
                <w:kern w:val="2"/>
                <w:sz w:val="24"/>
                <w:szCs w:val="22"/>
                <w:lang w:val="en-US" w:eastAsia="zh-CN" w:bidi="ar-SA"/>
              </w:rPr>
              <w:t>化粪</w:t>
            </w:r>
            <w:r>
              <w:rPr>
                <w:rFonts w:hint="eastAsia" w:ascii="Times New Roman" w:hAnsi="Times New Roman" w:eastAsia="宋体" w:cs="Times New Roman"/>
                <w:color w:val="auto"/>
                <w:spacing w:val="0"/>
                <w:kern w:val="2"/>
                <w:sz w:val="24"/>
                <w:szCs w:val="22"/>
                <w:lang w:val="en-US" w:eastAsia="zh-CN" w:bidi="ar-SA"/>
              </w:rPr>
              <w:t>池</w:t>
            </w:r>
            <w:r>
              <w:rPr>
                <w:rFonts w:hint="eastAsia" w:cs="Times New Roman"/>
                <w:color w:val="auto"/>
                <w:spacing w:val="0"/>
                <w:kern w:val="2"/>
                <w:sz w:val="24"/>
                <w:szCs w:val="22"/>
                <w:lang w:val="en-US" w:eastAsia="zh-CN" w:bidi="ar-SA"/>
              </w:rPr>
              <w:t>对办公废水收集处理有保障</w:t>
            </w:r>
            <w:r>
              <w:rPr>
                <w:rFonts w:hint="eastAsia"/>
                <w:bCs/>
                <w:color w:val="auto"/>
              </w:rPr>
              <w:t>。</w:t>
            </w:r>
          </w:p>
          <w:p w14:paraId="3C9F7214">
            <w:pPr>
              <w:adjustRightInd w:val="0"/>
              <w:spacing w:line="360" w:lineRule="auto"/>
              <w:ind w:firstLine="480" w:firstLineChars="200"/>
              <w:rPr>
                <w:rFonts w:hint="eastAsia" w:ascii="Times New Roman" w:hAnsi="Times New Roman" w:eastAsia="宋体" w:cs="Times New Roman"/>
                <w:b w:val="0"/>
                <w:bCs/>
                <w:color w:val="auto"/>
                <w:kern w:val="44"/>
                <w:sz w:val="24"/>
                <w:szCs w:val="30"/>
                <w:lang w:val="en-US" w:eastAsia="zh-CN" w:bidi="ar-SA"/>
              </w:rPr>
            </w:pPr>
            <w:r>
              <w:rPr>
                <w:rFonts w:hint="eastAsia" w:ascii="Times New Roman" w:hAnsi="Times New Roman" w:eastAsia="宋体" w:cs="Times New Roman"/>
                <w:b w:val="0"/>
                <w:bCs/>
                <w:color w:val="auto"/>
                <w:kern w:val="44"/>
                <w:sz w:val="24"/>
                <w:szCs w:val="30"/>
                <w:lang w:val="en-US" w:eastAsia="zh-CN" w:bidi="ar-SA"/>
              </w:rPr>
              <w:t>（2）运输车辆清洗废水</w:t>
            </w:r>
          </w:p>
          <w:p w14:paraId="281744E8">
            <w:pPr>
              <w:pStyle w:val="10"/>
              <w:keepNext w:val="0"/>
              <w:keepLines w:val="0"/>
              <w:pageBreakBefore w:val="0"/>
              <w:widowControl w:val="0"/>
              <w:kinsoku/>
              <w:wordWrap/>
              <w:overflowPunct/>
              <w:topLinePunct w:val="0"/>
              <w:autoSpaceDE/>
              <w:autoSpaceDN/>
              <w:bidi w:val="0"/>
              <w:adjustRightInd/>
              <w:spacing w:line="360" w:lineRule="auto"/>
              <w:ind w:firstLine="480"/>
              <w:jc w:val="left"/>
              <w:textAlignment w:val="auto"/>
              <w:rPr>
                <w:rFonts w:hint="default"/>
                <w:bCs/>
                <w:color w:val="auto"/>
                <w:lang w:val="en-US" w:eastAsia="zh-CN"/>
              </w:rPr>
            </w:pPr>
            <w:r>
              <w:rPr>
                <w:rFonts w:hint="eastAsia"/>
                <w:color w:val="auto"/>
                <w:lang w:val="en-US" w:eastAsia="zh-CN"/>
              </w:rPr>
              <w:t>项目</w:t>
            </w:r>
            <w:r>
              <w:rPr>
                <w:rFonts w:hint="eastAsia" w:ascii="Times New Roman" w:hAnsi="Times New Roman" w:eastAsia="宋体" w:cs="Times New Roman"/>
                <w:b w:val="0"/>
                <w:bCs/>
                <w:color w:val="auto"/>
                <w:kern w:val="44"/>
                <w:sz w:val="24"/>
                <w:szCs w:val="30"/>
                <w:lang w:val="en-US" w:eastAsia="zh-CN" w:bidi="ar-SA"/>
              </w:rPr>
              <w:t>运输车辆清洗废水</w:t>
            </w:r>
            <w:r>
              <w:rPr>
                <w:rFonts w:hint="eastAsia"/>
                <w:color w:val="auto"/>
                <w:lang w:val="en-US" w:eastAsia="zh-CN"/>
              </w:rPr>
              <w:t>产生量为</w:t>
            </w:r>
            <w:r>
              <w:rPr>
                <w:rFonts w:hint="eastAsia" w:ascii="Times New Roman" w:hAnsi="Times New Roman" w:eastAsia="宋体" w:cs="Times New Roman"/>
                <w:color w:val="auto"/>
                <w:sz w:val="24"/>
                <w:lang w:val="en-US" w:eastAsia="zh-CN"/>
              </w:rPr>
              <w:t>0.</w:t>
            </w:r>
            <w:r>
              <w:rPr>
                <w:rFonts w:hint="eastAsia" w:cs="Times New Roman"/>
                <w:color w:val="auto"/>
                <w:sz w:val="24"/>
                <w:lang w:val="en-US" w:eastAsia="zh-CN"/>
              </w:rPr>
              <w:t>534</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/d</w:t>
            </w:r>
            <w:r>
              <w:rPr>
                <w:rFonts w:hint="eastAsia" w:cs="Times New Roman"/>
                <w:color w:val="auto"/>
                <w:sz w:val="24"/>
                <w:lang w:eastAsia="zh-CN"/>
              </w:rPr>
              <w:t>，</w:t>
            </w:r>
            <w:r>
              <w:rPr>
                <w:rFonts w:hint="eastAsia" w:cs="Times New Roman"/>
                <w:color w:val="auto"/>
                <w:sz w:val="24"/>
                <w:lang w:val="en-US" w:eastAsia="zh-CN"/>
              </w:rPr>
              <w:t>96.12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/a，在</w:t>
            </w:r>
            <w:r>
              <w:rPr>
                <w:rFonts w:hint="eastAsia" w:cs="Times New Roman"/>
                <w:color w:val="auto"/>
                <w:sz w:val="24"/>
                <w:lang w:val="en-US" w:eastAsia="zh-CN"/>
              </w:rPr>
              <w:t>项目</w:t>
            </w:r>
            <w:r>
              <w:rPr>
                <w:rFonts w:ascii="Times New Roman" w:hAnsi="Times New Roman" w:eastAsia="宋体" w:cs="Times New Roman"/>
                <w:color w:val="auto"/>
                <w:sz w:val="24"/>
              </w:rPr>
              <w:t>进出口处设置1个容积为</w:t>
            </w:r>
            <w:r>
              <w:rPr>
                <w:rFonts w:hint="eastAsia" w:cs="Times New Roman"/>
                <w:color w:val="auto"/>
                <w:sz w:val="24"/>
                <w:lang w:val="en-US" w:eastAsia="zh-CN"/>
              </w:rPr>
              <w:t>5</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洗车池</w:t>
            </w:r>
            <w:r>
              <w:rPr>
                <w:rFonts w:hint="eastAsia" w:cs="Times New Roman"/>
                <w:color w:val="auto"/>
                <w:sz w:val="24"/>
                <w:lang w:val="en-US" w:eastAsia="zh-CN"/>
              </w:rPr>
              <w:t>收集</w:t>
            </w:r>
            <w:r>
              <w:rPr>
                <w:rFonts w:hint="eastAsia" w:cs="Times New Roman"/>
                <w:color w:val="auto"/>
                <w:spacing w:val="0"/>
                <w:kern w:val="2"/>
                <w:sz w:val="24"/>
                <w:szCs w:val="22"/>
                <w:lang w:val="en-US" w:eastAsia="zh-CN" w:bidi="ar-SA"/>
              </w:rPr>
              <w:t>处理有保障</w:t>
            </w:r>
            <w:r>
              <w:rPr>
                <w:rFonts w:hint="eastAsia"/>
                <w:bCs/>
                <w:color w:val="auto"/>
              </w:rPr>
              <w:t>。</w:t>
            </w:r>
          </w:p>
          <w:p w14:paraId="1F7F1ACE">
            <w:pPr>
              <w:numPr>
                <w:ilvl w:val="0"/>
                <w:numId w:val="3"/>
              </w:numPr>
              <w:adjustRightInd w:val="0"/>
              <w:spacing w:line="360" w:lineRule="auto"/>
              <w:ind w:firstLine="440" w:firstLineChars="200"/>
              <w:rPr>
                <w:rFonts w:hint="eastAsia"/>
                <w:bCs/>
                <w:color w:val="auto"/>
                <w:spacing w:val="-10"/>
                <w:szCs w:val="24"/>
                <w:lang w:val="en-US" w:eastAsia="zh-CN"/>
              </w:rPr>
            </w:pPr>
            <w:r>
              <w:rPr>
                <w:rFonts w:hint="eastAsia"/>
                <w:bCs/>
                <w:color w:val="auto"/>
                <w:spacing w:val="-10"/>
                <w:szCs w:val="24"/>
                <w:lang w:val="en-US" w:eastAsia="zh-CN"/>
              </w:rPr>
              <w:t>初期雨水</w:t>
            </w:r>
          </w:p>
          <w:p w14:paraId="35C05B7C">
            <w:pPr>
              <w:pStyle w:val="10"/>
              <w:keepNext w:val="0"/>
              <w:keepLines w:val="0"/>
              <w:pageBreakBefore w:val="0"/>
              <w:widowControl w:val="0"/>
              <w:kinsoku/>
              <w:wordWrap/>
              <w:overflowPunct/>
              <w:topLinePunct w:val="0"/>
              <w:autoSpaceDE/>
              <w:autoSpaceDN/>
              <w:bidi w:val="0"/>
              <w:adjustRightInd/>
              <w:spacing w:line="360" w:lineRule="auto"/>
              <w:ind w:firstLine="480"/>
              <w:jc w:val="left"/>
              <w:textAlignment w:val="auto"/>
              <w:rPr>
                <w:rFonts w:hint="eastAsia" w:ascii="Times New Roman" w:hAnsi="Times New Roman" w:eastAsia="宋体" w:cs="Times New Roman"/>
                <w:b w:val="0"/>
                <w:bCs/>
                <w:color w:val="auto"/>
                <w:kern w:val="44"/>
                <w:sz w:val="24"/>
                <w:szCs w:val="30"/>
                <w:lang w:val="en-US" w:eastAsia="zh-CN" w:bidi="ar-SA"/>
              </w:rPr>
            </w:pPr>
            <w:r>
              <w:rPr>
                <w:rFonts w:hint="eastAsia" w:ascii="Times New Roman" w:hAnsi="Times New Roman" w:eastAsia="宋体" w:cs="Times New Roman"/>
                <w:kern w:val="2"/>
                <w:sz w:val="24"/>
                <w:szCs w:val="22"/>
                <w:lang w:val="en-US" w:eastAsia="zh-CN" w:bidi="ar-SA"/>
              </w:rPr>
              <w:t>项目初期雨水仅收</w:t>
            </w:r>
            <w:r>
              <w:rPr>
                <w:rFonts w:hint="eastAsia" w:ascii="Times New Roman" w:hAnsi="Times New Roman" w:eastAsia="宋体" w:cs="Times New Roman"/>
                <w:color w:val="auto"/>
                <w:kern w:val="2"/>
                <w:sz w:val="24"/>
                <w:szCs w:val="22"/>
                <w:lang w:val="en-US" w:eastAsia="zh-CN" w:bidi="ar-SA"/>
              </w:rPr>
              <w:t>集前15min的雨水量，为</w:t>
            </w:r>
            <w:r>
              <w:rPr>
                <w:rFonts w:hint="eastAsia" w:cs="Times New Roman"/>
                <w:color w:val="auto"/>
                <w:kern w:val="2"/>
                <w:sz w:val="24"/>
                <w:szCs w:val="22"/>
                <w:lang w:val="en-US" w:eastAsia="zh-CN" w:bidi="ar-SA"/>
              </w:rPr>
              <w:t>5.986</w:t>
            </w:r>
            <w:r>
              <w:rPr>
                <w:rFonts w:hint="eastAsia" w:ascii="Times New Roman" w:hAnsi="Times New Roman" w:eastAsia="宋体" w:cs="Times New Roman"/>
                <w:color w:val="auto"/>
                <w:kern w:val="2"/>
                <w:sz w:val="24"/>
                <w:szCs w:val="22"/>
                <w:lang w:val="en-US" w:eastAsia="zh-CN" w:bidi="ar-SA"/>
              </w:rPr>
              <w:t>m</w:t>
            </w:r>
            <w:r>
              <w:rPr>
                <w:rFonts w:hint="eastAsia" w:ascii="Times New Roman" w:hAnsi="Times New Roman" w:eastAsia="宋体" w:cs="Times New Roman"/>
                <w:color w:val="auto"/>
                <w:kern w:val="2"/>
                <w:sz w:val="24"/>
                <w:szCs w:val="22"/>
                <w:vertAlign w:val="superscript"/>
                <w:lang w:val="en-US" w:eastAsia="zh-CN" w:bidi="ar-SA"/>
              </w:rPr>
              <w:t>3</w:t>
            </w:r>
            <w:r>
              <w:rPr>
                <w:rFonts w:hint="eastAsia" w:ascii="Times New Roman" w:hAnsi="Times New Roman" w:eastAsia="宋体" w:cs="Times New Roman"/>
                <w:color w:val="auto"/>
                <w:kern w:val="2"/>
                <w:sz w:val="24"/>
                <w:szCs w:val="22"/>
                <w:lang w:val="en-US" w:eastAsia="zh-CN" w:bidi="ar-SA"/>
              </w:rPr>
              <w:t>/次，降雨天约</w:t>
            </w:r>
            <w:r>
              <w:rPr>
                <w:rFonts w:hint="eastAsia" w:cs="Times New Roman"/>
                <w:color w:val="auto"/>
                <w:kern w:val="2"/>
                <w:sz w:val="24"/>
                <w:szCs w:val="22"/>
                <w:lang w:val="en-US" w:eastAsia="zh-CN" w:bidi="ar-SA"/>
              </w:rPr>
              <w:t>90</w:t>
            </w:r>
            <w:r>
              <w:rPr>
                <w:rFonts w:hint="eastAsia" w:ascii="Times New Roman" w:hAnsi="Times New Roman" w:eastAsia="宋体" w:cs="Times New Roman"/>
                <w:color w:val="auto"/>
                <w:kern w:val="2"/>
                <w:sz w:val="24"/>
                <w:szCs w:val="22"/>
                <w:lang w:val="en-US" w:eastAsia="zh-CN" w:bidi="ar-SA"/>
              </w:rPr>
              <w:t>天</w:t>
            </w:r>
            <w:r>
              <w:rPr>
                <w:rFonts w:hint="eastAsia" w:cs="Times New Roman"/>
                <w:color w:val="auto"/>
                <w:kern w:val="2"/>
                <w:sz w:val="24"/>
                <w:szCs w:val="22"/>
                <w:lang w:val="en-US" w:eastAsia="zh-CN" w:bidi="ar-SA"/>
              </w:rPr>
              <w:t>（538.74</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，新建1个容积为20m</w:t>
            </w:r>
            <w:r>
              <w:rPr>
                <w:rFonts w:hint="eastAsia" w:ascii="Times New Roman" w:hAnsi="Times New Roman" w:eastAsia="宋体" w:cs="Times New Roman"/>
                <w:color w:val="auto"/>
                <w:kern w:val="2"/>
                <w:sz w:val="24"/>
                <w:szCs w:val="22"/>
                <w:vertAlign w:val="superscript"/>
                <w:lang w:val="en-US" w:eastAsia="zh-CN" w:bidi="ar-SA"/>
              </w:rPr>
              <w:t>3</w:t>
            </w:r>
            <w:r>
              <w:rPr>
                <w:rFonts w:hint="eastAsia" w:ascii="Times New Roman" w:hAnsi="Times New Roman" w:eastAsia="宋体" w:cs="Times New Roman"/>
                <w:color w:val="auto"/>
                <w:kern w:val="2"/>
                <w:sz w:val="24"/>
                <w:szCs w:val="22"/>
                <w:lang w:val="en-US" w:eastAsia="zh-CN" w:bidi="ar-SA"/>
              </w:rPr>
              <w:t>的初期雨水</w:t>
            </w:r>
            <w:r>
              <w:rPr>
                <w:rFonts w:hint="eastAsia" w:cs="Times New Roman"/>
                <w:color w:val="auto"/>
                <w:kern w:val="2"/>
                <w:sz w:val="24"/>
                <w:szCs w:val="22"/>
                <w:lang w:val="en-US" w:eastAsia="zh-CN" w:bidi="ar-SA"/>
              </w:rPr>
              <w:t>隔油沉淀</w:t>
            </w:r>
            <w:r>
              <w:rPr>
                <w:rFonts w:hint="eastAsia" w:ascii="Times New Roman" w:hAnsi="Times New Roman" w:eastAsia="宋体" w:cs="Times New Roman"/>
                <w:color w:val="auto"/>
                <w:kern w:val="2"/>
                <w:sz w:val="24"/>
                <w:szCs w:val="22"/>
                <w:lang w:val="en-US" w:eastAsia="zh-CN" w:bidi="ar-SA"/>
              </w:rPr>
              <w:t>池，收集处理</w:t>
            </w:r>
            <w:r>
              <w:rPr>
                <w:rFonts w:hint="eastAsia" w:cs="Times New Roman"/>
                <w:color w:val="auto"/>
                <w:kern w:val="2"/>
                <w:sz w:val="24"/>
                <w:szCs w:val="22"/>
                <w:lang w:val="en-US" w:eastAsia="zh-CN" w:bidi="ar-SA"/>
              </w:rPr>
              <w:t>是可行的</w:t>
            </w:r>
            <w:r>
              <w:rPr>
                <w:rFonts w:hint="eastAsia" w:ascii="Times New Roman" w:hAnsi="Times New Roman" w:eastAsia="宋体" w:cs="Times New Roman"/>
                <w:color w:val="auto"/>
                <w:kern w:val="2"/>
                <w:sz w:val="24"/>
                <w:szCs w:val="22"/>
                <w:lang w:val="en-US" w:eastAsia="zh-CN" w:bidi="ar-SA"/>
              </w:rPr>
              <w:t>。初期雨水</w:t>
            </w:r>
            <w:r>
              <w:rPr>
                <w:rFonts w:hint="eastAsia" w:cs="Times New Roman"/>
                <w:color w:val="auto"/>
                <w:kern w:val="2"/>
                <w:sz w:val="24"/>
                <w:szCs w:val="22"/>
                <w:lang w:val="en-US" w:eastAsia="zh-CN" w:bidi="ar-SA"/>
              </w:rPr>
              <w:t>隔油沉淀</w:t>
            </w:r>
            <w:r>
              <w:rPr>
                <w:rFonts w:hint="eastAsia" w:ascii="Times New Roman" w:hAnsi="Times New Roman" w:eastAsia="宋体" w:cs="Times New Roman"/>
                <w:color w:val="auto"/>
                <w:kern w:val="2"/>
                <w:sz w:val="24"/>
                <w:szCs w:val="22"/>
                <w:lang w:val="en-US" w:eastAsia="zh-CN" w:bidi="ar-SA"/>
              </w:rPr>
              <w:t>池</w:t>
            </w:r>
            <w:r>
              <w:rPr>
                <w:rFonts w:hint="eastAsia"/>
                <w:color w:val="auto"/>
              </w:rPr>
              <w:t>容积按照正常降雨连续</w:t>
            </w:r>
            <w:r>
              <w:rPr>
                <w:rFonts w:hint="eastAsia"/>
                <w:color w:val="auto"/>
                <w:lang w:val="en-US" w:eastAsia="zh-CN"/>
              </w:rPr>
              <w:t>3</w:t>
            </w:r>
            <w:r>
              <w:rPr>
                <w:rFonts w:hint="eastAsia"/>
                <w:color w:val="auto"/>
              </w:rPr>
              <w:t>天的降水量核算</w:t>
            </w:r>
            <w:r>
              <w:rPr>
                <w:rFonts w:hint="eastAsia"/>
                <w:color w:val="auto"/>
                <w:lang w:eastAsia="zh-CN"/>
              </w:rPr>
              <w:t>，</w:t>
            </w:r>
            <w:r>
              <w:rPr>
                <w:rFonts w:hint="eastAsia" w:ascii="Times New Roman" w:hAnsi="Times New Roman" w:eastAsia="宋体" w:cs="Times New Roman"/>
                <w:color w:val="auto"/>
                <w:kern w:val="2"/>
                <w:sz w:val="24"/>
                <w:szCs w:val="22"/>
                <w:lang w:val="en-US" w:eastAsia="zh-CN" w:bidi="ar-SA"/>
              </w:rPr>
              <w:t>20m</w:t>
            </w:r>
            <w:r>
              <w:rPr>
                <w:rFonts w:hint="eastAsia" w:ascii="Times New Roman" w:hAnsi="Times New Roman" w:eastAsia="宋体" w:cs="Times New Roman"/>
                <w:color w:val="auto"/>
                <w:kern w:val="2"/>
                <w:sz w:val="24"/>
                <w:szCs w:val="22"/>
                <w:vertAlign w:val="superscript"/>
                <w:lang w:val="en-US" w:eastAsia="zh-CN" w:bidi="ar-SA"/>
              </w:rPr>
              <w:t>3</w:t>
            </w:r>
            <w:r>
              <w:rPr>
                <w:rFonts w:hint="eastAsia" w:ascii="Times New Roman" w:hAnsi="Times New Roman" w:eastAsia="宋体" w:cs="Times New Roman"/>
                <w:color w:val="auto"/>
                <w:kern w:val="2"/>
                <w:sz w:val="24"/>
                <w:szCs w:val="22"/>
                <w:lang w:val="en-US" w:eastAsia="zh-CN" w:bidi="ar-SA"/>
              </w:rPr>
              <w:t>初期雨水</w:t>
            </w:r>
            <w:r>
              <w:rPr>
                <w:rFonts w:hint="eastAsia"/>
                <w:color w:val="auto"/>
                <w:lang w:val="en-US" w:eastAsia="zh-CN"/>
              </w:rPr>
              <w:t>隔油沉淀</w:t>
            </w:r>
            <w:r>
              <w:rPr>
                <w:rFonts w:hint="eastAsia" w:ascii="Times New Roman" w:hAnsi="Times New Roman" w:eastAsia="宋体" w:cs="Times New Roman"/>
                <w:color w:val="auto"/>
                <w:kern w:val="2"/>
                <w:sz w:val="24"/>
                <w:szCs w:val="22"/>
                <w:lang w:val="en-US" w:eastAsia="zh-CN" w:bidi="ar-SA"/>
              </w:rPr>
              <w:t>池</w:t>
            </w:r>
            <w:r>
              <w:rPr>
                <w:rFonts w:hint="eastAsia" w:ascii="Times New Roman" w:hAnsi="Times New Roman" w:eastAsia="宋体" w:cs="Times New Roman"/>
                <w:b w:val="0"/>
                <w:bCs/>
                <w:color w:val="auto"/>
                <w:kern w:val="44"/>
                <w:sz w:val="24"/>
                <w:szCs w:val="30"/>
                <w:lang w:val="en-US" w:eastAsia="zh-CN" w:bidi="ar-SA"/>
              </w:rPr>
              <w:t>对初期雨水收集处理保障。</w:t>
            </w:r>
          </w:p>
          <w:p w14:paraId="1CCB6D78">
            <w:pPr>
              <w:pStyle w:val="10"/>
              <w:keepNext w:val="0"/>
              <w:keepLines w:val="0"/>
              <w:pageBreakBefore w:val="0"/>
              <w:widowControl w:val="0"/>
              <w:kinsoku/>
              <w:wordWrap/>
              <w:overflowPunct/>
              <w:topLinePunct w:val="0"/>
              <w:autoSpaceDE/>
              <w:autoSpaceDN/>
              <w:bidi w:val="0"/>
              <w:adjustRightInd/>
              <w:snapToGrid w:val="0"/>
              <w:spacing w:line="360" w:lineRule="auto"/>
              <w:ind w:left="0" w:leftChars="0" w:firstLine="512" w:firstLineChars="200"/>
              <w:jc w:val="left"/>
              <w:textAlignment w:val="auto"/>
              <w:rPr>
                <w:rFonts w:hint="default" w:ascii="Times New Roman" w:hAnsi="Times New Roman" w:eastAsia="宋体" w:cs="Times New Roman"/>
                <w:b w:val="0"/>
                <w:bCs/>
                <w:color w:val="auto"/>
                <w:kern w:val="44"/>
                <w:sz w:val="24"/>
                <w:szCs w:val="30"/>
                <w:lang w:val="en-US" w:eastAsia="zh-CN" w:bidi="ar-SA"/>
              </w:rPr>
            </w:pPr>
            <w:r>
              <w:rPr>
                <w:rFonts w:hint="eastAsia" w:cs="Times New Roman"/>
                <w:color w:val="auto"/>
                <w:sz w:val="24"/>
                <w:lang w:val="en-US" w:eastAsia="zh-CN"/>
              </w:rPr>
              <w:t>本项目全年可用于洒水降尘废水总量为634.86</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/a，洒水降尘用水量为</w:t>
            </w:r>
            <w:r>
              <w:rPr>
                <w:rFonts w:hint="eastAsia" w:cs="Times New Roman"/>
                <w:color w:val="auto"/>
                <w:sz w:val="24"/>
                <w:lang w:val="en-US" w:eastAsia="zh-CN"/>
              </w:rPr>
              <w:t>18</w:t>
            </w:r>
            <w:r>
              <w:rPr>
                <w:rFonts w:hint="eastAsia" w:ascii="Times New Roman" w:hAnsi="Times New Roman" w:eastAsia="宋体" w:cs="Times New Roman"/>
                <w:color w:val="auto"/>
                <w:sz w:val="24"/>
                <w:lang w:val="en-US" w:eastAsia="zh-CN"/>
              </w:rPr>
              <w:t>0</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cs="Times New Roman"/>
                <w:color w:val="auto"/>
                <w:sz w:val="24"/>
                <w:lang w:eastAsia="zh-CN"/>
              </w:rPr>
              <w:t>，</w:t>
            </w:r>
            <w:r>
              <w:rPr>
                <w:rFonts w:hint="eastAsia" w:cs="Times New Roman"/>
                <w:color w:val="auto"/>
                <w:sz w:val="24"/>
                <w:lang w:val="en-US" w:eastAsia="zh-CN"/>
              </w:rPr>
              <w:t>剩余废水量454.86</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cs="Times New Roman"/>
                <w:color w:val="auto"/>
                <w:sz w:val="24"/>
                <w:lang w:eastAsia="zh-CN"/>
              </w:rPr>
              <w:t>。</w:t>
            </w:r>
            <w:r>
              <w:rPr>
                <w:rFonts w:hint="eastAsia" w:cs="Times New Roman"/>
                <w:color w:val="auto"/>
                <w:sz w:val="24"/>
                <w:lang w:val="en-US" w:eastAsia="zh-CN"/>
              </w:rPr>
              <w:t>根据采石场《45万吨/年普通建筑材料用石灰岩露天开采技术改造项目》中“</w:t>
            </w:r>
            <w:r>
              <w:rPr>
                <w:rFonts w:hint="eastAsia" w:cs="Times New Roman"/>
                <w:color w:val="auto"/>
                <w:sz w:val="24"/>
                <w:lang w:eastAsia="zh-CN"/>
              </w:rPr>
              <w:t>项目用水量及废水产生量情况</w:t>
            </w:r>
            <w:r>
              <w:rPr>
                <w:rFonts w:hint="eastAsia" w:cs="Times New Roman"/>
                <w:color w:val="auto"/>
                <w:sz w:val="24"/>
                <w:lang w:val="en-US" w:eastAsia="zh-CN"/>
              </w:rPr>
              <w:t>”，采石场抑尘用水量需</w:t>
            </w:r>
            <w:r>
              <w:rPr>
                <w:color w:val="auto"/>
                <w:sz w:val="24"/>
                <w:szCs w:val="24"/>
              </w:rPr>
              <w:t>101235.42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cs="Times New Roman"/>
                <w:color w:val="auto"/>
                <w:sz w:val="24"/>
                <w:lang w:eastAsia="zh-CN"/>
              </w:rPr>
              <w:t>，</w:t>
            </w:r>
            <w:r>
              <w:rPr>
                <w:rFonts w:hint="eastAsia" w:cs="Times New Roman"/>
                <w:color w:val="auto"/>
                <w:sz w:val="24"/>
                <w:lang w:val="en-US" w:eastAsia="zh-CN"/>
              </w:rPr>
              <w:t>可用于洒水降尘废水量</w:t>
            </w:r>
            <w:r>
              <w:rPr>
                <w:rFonts w:hint="eastAsia"/>
                <w:color w:val="auto"/>
                <w:sz w:val="24"/>
                <w:szCs w:val="24"/>
                <w:lang w:val="en-US" w:eastAsia="zh-CN"/>
              </w:rPr>
              <w:t>为</w:t>
            </w:r>
            <w:r>
              <w:rPr>
                <w:color w:val="auto"/>
                <w:sz w:val="24"/>
                <w:szCs w:val="24"/>
              </w:rPr>
              <w:t>18019.48</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cs="Times New Roman"/>
                <w:color w:val="auto"/>
                <w:sz w:val="24"/>
                <w:lang w:eastAsia="zh-CN"/>
              </w:rPr>
              <w:t>，</w:t>
            </w:r>
            <w:r>
              <w:rPr>
                <w:rFonts w:hint="eastAsia" w:cs="Times New Roman"/>
                <w:color w:val="auto"/>
                <w:sz w:val="24"/>
                <w:lang w:val="en-US" w:eastAsia="zh-CN"/>
              </w:rPr>
              <w:t>需补充抑尘用水量为83215.94</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3</w:t>
            </w:r>
            <w:r>
              <w:rPr>
                <w:rFonts w:ascii="Times New Roman" w:hAnsi="Times New Roman" w:eastAsia="宋体" w:cs="Times New Roman"/>
                <w:color w:val="auto"/>
                <w:sz w:val="24"/>
              </w:rPr>
              <w:t>/a</w:t>
            </w:r>
            <w:r>
              <w:rPr>
                <w:rFonts w:hint="eastAsia" w:cs="Times New Roman"/>
                <w:color w:val="auto"/>
                <w:sz w:val="24"/>
                <w:lang w:eastAsia="zh-CN"/>
              </w:rPr>
              <w:t>。</w:t>
            </w:r>
            <w:r>
              <w:rPr>
                <w:rFonts w:hint="eastAsia" w:cs="Times New Roman"/>
                <w:color w:val="auto"/>
                <w:sz w:val="24"/>
                <w:lang w:val="en-US" w:eastAsia="zh-CN"/>
              </w:rPr>
              <w:t>可知，本项目剩余废水量用于采石场洒水降尘可完全被消纳</w:t>
            </w:r>
            <w:r>
              <w:rPr>
                <w:rFonts w:hint="eastAsia"/>
                <w:bCs/>
                <w:color w:val="auto"/>
                <w:szCs w:val="24"/>
                <w:lang w:val="en-US" w:eastAsia="zh-CN"/>
              </w:rPr>
              <w:t>。</w:t>
            </w:r>
          </w:p>
          <w:p w14:paraId="04CFBE13">
            <w:pPr>
              <w:pStyle w:val="33"/>
              <w:ind w:firstLine="480"/>
              <w:rPr>
                <w:rFonts w:hint="default"/>
                <w:color w:val="auto"/>
                <w:lang w:val="en-US" w:eastAsia="zh-CN"/>
              </w:rPr>
            </w:pPr>
            <w:r>
              <w:rPr>
                <w:rFonts w:hint="eastAsia"/>
                <w:color w:val="auto"/>
                <w:lang w:val="en-US" w:eastAsia="zh-CN"/>
              </w:rPr>
              <w:t>综上分析，从水质、水量角度看，项目污水收集处理设施对运营期产生废水需求有一定的保障，且项目产生的废水能够完全用于洒水降尘，项目废水不外排是可行的。</w:t>
            </w:r>
          </w:p>
          <w:p w14:paraId="16382307">
            <w:pPr>
              <w:ind w:firstLine="422"/>
              <w:jc w:val="both"/>
              <w:rPr>
                <w:rFonts w:hint="default" w:ascii="宋体" w:cs="宋体"/>
                <w:b/>
                <w:bCs/>
                <w:kern w:val="0"/>
                <w:sz w:val="21"/>
                <w:szCs w:val="21"/>
                <w:lang w:val="en-US"/>
              </w:rPr>
            </w:pPr>
            <w:r>
              <w:rPr>
                <w:rFonts w:hint="eastAsia" w:cs="Times New Roman"/>
                <w:b/>
                <w:bCs/>
                <w:color w:val="000000" w:themeColor="text1"/>
                <w:szCs w:val="21"/>
                <w:lang w:val="en-US" w:eastAsia="zh-CN"/>
                <w14:textFill>
                  <w14:solidFill>
                    <w14:schemeClr w14:val="tx1"/>
                  </w14:solidFill>
                </w14:textFill>
              </w:rPr>
              <w:t>（四）</w:t>
            </w:r>
            <w:r>
              <w:rPr>
                <w:rFonts w:hint="eastAsia" w:ascii="Times New Roman" w:hAnsi="Times New Roman" w:eastAsia="宋体" w:cs="Times New Roman"/>
                <w:b/>
                <w:bCs/>
                <w:color w:val="000000" w:themeColor="text1"/>
                <w:szCs w:val="21"/>
                <w:lang w:val="en-US" w:eastAsia="zh-CN"/>
                <w14:textFill>
                  <w14:solidFill>
                    <w14:schemeClr w14:val="tx1"/>
                  </w14:solidFill>
                </w14:textFill>
              </w:rPr>
              <w:t>废</w:t>
            </w:r>
            <w:r>
              <w:rPr>
                <w:rFonts w:hint="eastAsia" w:cs="Times New Roman"/>
                <w:b/>
                <w:bCs/>
                <w:color w:val="000000" w:themeColor="text1"/>
                <w:szCs w:val="21"/>
                <w:lang w:val="en-US" w:eastAsia="zh-CN"/>
                <w14:textFill>
                  <w14:solidFill>
                    <w14:schemeClr w14:val="tx1"/>
                  </w14:solidFill>
                </w14:textFill>
              </w:rPr>
              <w:t>水影响分析</w:t>
            </w:r>
          </w:p>
          <w:p w14:paraId="148C9EE6">
            <w:pPr>
              <w:ind w:firstLine="480"/>
              <w:rPr>
                <w:rFonts w:hint="default" w:ascii="Times New Roman" w:hAnsi="Times New Roman" w:eastAsia="宋体" w:cs="Times New Roman"/>
                <w:color w:val="auto"/>
                <w:sz w:val="24"/>
                <w:lang w:val="zh-CN" w:bidi="ar"/>
              </w:rPr>
            </w:pPr>
            <w:r>
              <w:rPr>
                <w:rFonts w:hint="default" w:ascii="Times New Roman" w:hAnsi="Times New Roman" w:eastAsia="宋体" w:cs="Times New Roman"/>
                <w:color w:val="auto"/>
                <w:sz w:val="24"/>
                <w:lang w:bidi="ar"/>
              </w:rPr>
              <w:t>项目位于水环境质量达标区，</w:t>
            </w:r>
            <w:r>
              <w:rPr>
                <w:rFonts w:hint="eastAsia"/>
                <w:color w:val="auto"/>
                <w:kern w:val="0"/>
                <w:lang w:val="en-US" w:eastAsia="zh-CN"/>
              </w:rPr>
              <w:t>项目运营期产生废水经上文废水不外排可行性分析，</w:t>
            </w:r>
            <w:r>
              <w:rPr>
                <w:rFonts w:hint="eastAsia"/>
                <w:bCs/>
                <w:color w:val="auto"/>
                <w:szCs w:val="24"/>
                <w:lang w:val="en-US" w:eastAsia="zh-CN"/>
              </w:rPr>
              <w:t>可</w:t>
            </w:r>
            <w:r>
              <w:rPr>
                <w:rFonts w:hint="eastAsia" w:cs="Times New Roman"/>
                <w:color w:val="auto"/>
                <w:sz w:val="24"/>
                <w:lang w:val="en-US" w:eastAsia="zh-CN"/>
              </w:rPr>
              <w:t>完全</w:t>
            </w:r>
            <w:r>
              <w:rPr>
                <w:rFonts w:hint="eastAsia"/>
                <w:bCs/>
                <w:color w:val="auto"/>
                <w:szCs w:val="24"/>
                <w:lang w:val="en-US" w:eastAsia="zh-CN"/>
              </w:rPr>
              <w:t>被洒水降尘消纳，</w:t>
            </w:r>
            <w:r>
              <w:rPr>
                <w:rFonts w:hint="eastAsia"/>
                <w:color w:val="auto"/>
                <w:kern w:val="0"/>
                <w:lang w:val="en-US" w:eastAsia="zh-CN"/>
              </w:rPr>
              <w:t>不外排，项目废水对周围地表水环境影</w:t>
            </w:r>
            <w:r>
              <w:rPr>
                <w:rFonts w:hint="eastAsia" w:ascii="Times New Roman" w:hAnsi="Times New Roman" w:eastAsia="宋体" w:cs="Times New Roman"/>
                <w:color w:val="auto"/>
                <w:sz w:val="24"/>
                <w:lang w:val="en-US" w:eastAsia="zh-CN" w:bidi="ar"/>
              </w:rPr>
              <w:t>响不大。</w:t>
            </w:r>
          </w:p>
          <w:p w14:paraId="58D7C022">
            <w:pPr>
              <w:adjustRightInd w:val="0"/>
              <w:spacing w:line="360" w:lineRule="auto"/>
              <w:ind w:firstLine="482" w:firstLineChars="200"/>
              <w:rPr>
                <w:rFonts w:hint="default"/>
                <w:bCs/>
                <w:color w:val="0000FF"/>
                <w:spacing w:val="-10"/>
                <w:szCs w:val="24"/>
                <w:lang w:val="en-US"/>
              </w:rPr>
            </w:pPr>
            <w:r>
              <w:rPr>
                <w:rFonts w:hint="eastAsia" w:cs="Times New Roman"/>
                <w:b/>
                <w:bCs/>
                <w:color w:val="000000" w:themeColor="text1"/>
                <w:kern w:val="2"/>
                <w:sz w:val="24"/>
                <w:szCs w:val="21"/>
                <w:lang w:val="en-US" w:eastAsia="zh-CN" w:bidi="ar-SA"/>
                <w14:textFill>
                  <w14:solidFill>
                    <w14:schemeClr w14:val="tx1"/>
                  </w14:solidFill>
                </w14:textFill>
              </w:rPr>
              <w:t>（五）自行监测计划</w:t>
            </w:r>
          </w:p>
          <w:p w14:paraId="35CCCC00">
            <w:pPr>
              <w:widowControl/>
              <w:ind w:firstLine="480"/>
              <w:jc w:val="left"/>
              <w:rPr>
                <w:kern w:val="0"/>
              </w:rPr>
            </w:pPr>
            <w:r>
              <w:rPr>
                <w:rFonts w:hint="eastAsia"/>
                <w:kern w:val="0"/>
              </w:rPr>
              <w:t>根据《排污许可证申请与核发技术规范</w:t>
            </w:r>
            <w:r>
              <w:rPr>
                <w:rFonts w:hint="eastAsia"/>
                <w:kern w:val="0"/>
                <w:lang w:val="en-US" w:eastAsia="zh-CN"/>
              </w:rPr>
              <w:t xml:space="preserve"> </w:t>
            </w:r>
            <w:r>
              <w:rPr>
                <w:rFonts w:hint="eastAsia"/>
                <w:kern w:val="0"/>
              </w:rPr>
              <w:t>总则》（HJ942-2018），《排污单位自行监测技术指南 总则》（</w:t>
            </w:r>
            <w:r>
              <w:t>HJ819-2017</w:t>
            </w:r>
            <w:r>
              <w:rPr>
                <w:rFonts w:hint="eastAsia"/>
                <w:kern w:val="0"/>
              </w:rPr>
              <w:t>），</w:t>
            </w:r>
            <w:r>
              <w:rPr>
                <w:rFonts w:hint="eastAsia"/>
                <w:kern w:val="0"/>
                <w:lang w:bidi="ar"/>
              </w:rPr>
              <w:t>《排污许可证申请与核发技术规范</w:t>
            </w:r>
            <w:r>
              <w:rPr>
                <w:rFonts w:hint="eastAsia"/>
                <w:kern w:val="0"/>
                <w:lang w:val="en-US" w:eastAsia="zh-CN" w:bidi="ar"/>
              </w:rPr>
              <w:t xml:space="preserve"> </w:t>
            </w:r>
            <w:r>
              <w:rPr>
                <w:rFonts w:hint="eastAsia"/>
                <w:kern w:val="0"/>
                <w:lang w:bidi="ar"/>
              </w:rPr>
              <w:t>石墨及其他非金属矿物制品制造》（HJ1119-2020）中的废水自行监测要求，</w:t>
            </w:r>
            <w:r>
              <w:rPr>
                <w:rFonts w:hint="eastAsia"/>
                <w:kern w:val="0"/>
              </w:rPr>
              <w:t>本项目废水不外排</w:t>
            </w:r>
            <w:r>
              <w:rPr>
                <w:rFonts w:hint="eastAsia"/>
                <w:kern w:val="0"/>
                <w:lang w:eastAsia="zh-CN"/>
              </w:rPr>
              <w:t>，</w:t>
            </w:r>
            <w:r>
              <w:rPr>
                <w:rFonts w:hint="eastAsia"/>
                <w:kern w:val="0"/>
              </w:rPr>
              <w:t>不设自行监测计划，雨水应设置监测点，雨水监测计划</w:t>
            </w:r>
            <w:r>
              <w:rPr>
                <w:rFonts w:hint="eastAsia"/>
                <w:kern w:val="0"/>
                <w:lang w:val="en-US" w:eastAsia="zh-CN"/>
              </w:rPr>
              <w:t>详见</w:t>
            </w:r>
            <w:r>
              <w:rPr>
                <w:rFonts w:hint="eastAsia"/>
                <w:kern w:val="0"/>
              </w:rPr>
              <w:t>下表</w:t>
            </w:r>
            <w:r>
              <w:rPr>
                <w:rFonts w:hint="eastAsia"/>
                <w:kern w:val="0"/>
                <w:lang w:val="en-US" w:eastAsia="zh-CN"/>
              </w:rPr>
              <w:t>4-14</w:t>
            </w:r>
            <w:r>
              <w:rPr>
                <w:rFonts w:hint="eastAsia"/>
                <w:kern w:val="0"/>
              </w:rPr>
              <w:t>。</w:t>
            </w:r>
          </w:p>
          <w:p w14:paraId="21EAABF5">
            <w:pPr>
              <w:ind w:left="0" w:leftChars="0"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表4-1</w:t>
            </w:r>
            <w:r>
              <w:rPr>
                <w:rFonts w:hint="eastAsia" w:cs="Times New Roman"/>
                <w:b/>
                <w:bCs/>
                <w:kern w:val="0"/>
                <w:sz w:val="21"/>
                <w:szCs w:val="21"/>
                <w:lang w:val="en-US" w:eastAsia="zh-CN"/>
              </w:rPr>
              <w:t>4</w:t>
            </w:r>
            <w:r>
              <w:rPr>
                <w:rFonts w:hint="default" w:ascii="Times New Roman" w:hAnsi="Times New Roman" w:cs="Times New Roman"/>
                <w:b/>
                <w:bCs/>
                <w:kern w:val="0"/>
                <w:sz w:val="21"/>
                <w:szCs w:val="21"/>
                <w:lang w:val="en-US" w:eastAsia="zh-CN"/>
              </w:rPr>
              <w:t xml:space="preserve"> </w:t>
            </w:r>
            <w:r>
              <w:rPr>
                <w:rFonts w:hint="default" w:ascii="Times New Roman" w:hAnsi="Times New Roman" w:cs="Times New Roman"/>
                <w:b/>
                <w:bCs/>
                <w:kern w:val="0"/>
                <w:sz w:val="21"/>
                <w:szCs w:val="21"/>
              </w:rPr>
              <w:t xml:space="preserve">  环境监测计划一览表</w:t>
            </w:r>
          </w:p>
          <w:tbl>
            <w:tblPr>
              <w:tblStyle w:val="15"/>
              <w:tblW w:w="7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2553"/>
              <w:gridCol w:w="2299"/>
            </w:tblGrid>
            <w:tr w14:paraId="2B49B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466" w:type="dxa"/>
                  <w:shd w:val="clear" w:color="auto" w:fill="auto"/>
                </w:tcPr>
                <w:p w14:paraId="45D202B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b/>
                      <w:bCs/>
                      <w:sz w:val="21"/>
                      <w:szCs w:val="21"/>
                    </w:rPr>
                    <w:t>监测点位</w:t>
                  </w:r>
                </w:p>
              </w:tc>
              <w:tc>
                <w:tcPr>
                  <w:tcW w:w="2553" w:type="dxa"/>
                  <w:shd w:val="clear" w:color="auto" w:fill="auto"/>
                </w:tcPr>
                <w:p w14:paraId="3A2D7C1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b/>
                      <w:bCs/>
                      <w:sz w:val="21"/>
                      <w:szCs w:val="21"/>
                    </w:rPr>
                    <w:t>主要监测指标</w:t>
                  </w:r>
                </w:p>
              </w:tc>
              <w:tc>
                <w:tcPr>
                  <w:tcW w:w="2299" w:type="dxa"/>
                  <w:shd w:val="clear" w:color="auto" w:fill="auto"/>
                </w:tcPr>
                <w:p w14:paraId="6E4535E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b/>
                      <w:bCs/>
                      <w:sz w:val="21"/>
                      <w:szCs w:val="21"/>
                    </w:rPr>
                  </w:pPr>
                  <w:r>
                    <w:rPr>
                      <w:b/>
                      <w:bCs/>
                      <w:sz w:val="21"/>
                      <w:szCs w:val="21"/>
                    </w:rPr>
                    <w:t>监测频次</w:t>
                  </w:r>
                </w:p>
              </w:tc>
            </w:tr>
            <w:tr w14:paraId="31E6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466" w:type="dxa"/>
                  <w:shd w:val="clear" w:color="auto" w:fill="auto"/>
                </w:tcPr>
                <w:p w14:paraId="67BB1FD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sz w:val="21"/>
                      <w:szCs w:val="21"/>
                    </w:rPr>
                  </w:pPr>
                  <w:r>
                    <w:rPr>
                      <w:sz w:val="21"/>
                      <w:szCs w:val="21"/>
                    </w:rPr>
                    <w:t>雨水排放口</w:t>
                  </w:r>
                </w:p>
              </w:tc>
              <w:tc>
                <w:tcPr>
                  <w:tcW w:w="2553" w:type="dxa"/>
                  <w:shd w:val="clear" w:color="auto" w:fill="auto"/>
                </w:tcPr>
                <w:p w14:paraId="56E8CEB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sz w:val="21"/>
                      <w:szCs w:val="21"/>
                    </w:rPr>
                  </w:pPr>
                  <w:r>
                    <w:rPr>
                      <w:sz w:val="21"/>
                      <w:szCs w:val="21"/>
                    </w:rPr>
                    <w:t>化学需氧量、氨氮</w:t>
                  </w:r>
                </w:p>
              </w:tc>
              <w:tc>
                <w:tcPr>
                  <w:tcW w:w="2299" w:type="dxa"/>
                  <w:shd w:val="clear" w:color="auto" w:fill="auto"/>
                </w:tcPr>
                <w:p w14:paraId="787BE1E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sz w:val="21"/>
                      <w:szCs w:val="21"/>
                    </w:rPr>
                  </w:pPr>
                  <w:r>
                    <w:rPr>
                      <w:sz w:val="21"/>
                      <w:szCs w:val="21"/>
                    </w:rPr>
                    <w:t>1 次/日a</w:t>
                  </w:r>
                </w:p>
              </w:tc>
            </w:tr>
            <w:tr w14:paraId="7142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318" w:type="dxa"/>
                  <w:gridSpan w:val="3"/>
                  <w:shd w:val="clear" w:color="auto" w:fill="auto"/>
                </w:tcPr>
                <w:p w14:paraId="084B97CD">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sz w:val="21"/>
                      <w:szCs w:val="21"/>
                    </w:rPr>
                  </w:pPr>
                  <w:r>
                    <w:rPr>
                      <w:sz w:val="21"/>
                      <w:szCs w:val="21"/>
                    </w:rPr>
                    <w:t>a雨水排放口有流动水排放时开展监测，排放期间按日监测，如监测一年无异常情况，每季度第一次有流动水排放时按日开展监测。</w:t>
                  </w:r>
                </w:p>
              </w:tc>
            </w:tr>
          </w:tbl>
          <w:p w14:paraId="39320651">
            <w:pPr>
              <w:keepNext w:val="0"/>
              <w:keepLines w:val="0"/>
              <w:pageBreakBefore w:val="0"/>
              <w:widowControl/>
              <w:kinsoku/>
              <w:wordWrap/>
              <w:overflowPunct/>
              <w:topLinePunct w:val="0"/>
              <w:autoSpaceDE/>
              <w:autoSpaceDN/>
              <w:bidi w:val="0"/>
              <w:adjustRightInd/>
              <w:snapToGrid/>
              <w:spacing w:before="157" w:beforeLines="50"/>
              <w:ind w:firstLine="482"/>
              <w:jc w:val="left"/>
              <w:textAlignment w:val="auto"/>
              <w:rPr>
                <w:b/>
                <w:bCs/>
              </w:rPr>
            </w:pPr>
            <w:r>
              <w:rPr>
                <w:rFonts w:hint="eastAsia"/>
                <w:b/>
                <w:bCs/>
                <w:kern w:val="0"/>
                <w:lang w:val="zh-CN"/>
              </w:rPr>
              <w:t>三、噪声环境影响及防治措施</w:t>
            </w:r>
          </w:p>
          <w:p w14:paraId="1B22461D">
            <w:pPr>
              <w:ind w:firstLine="422"/>
              <w:jc w:val="both"/>
              <w:rPr>
                <w:rFonts w:hint="default" w:cs="Times New Roman"/>
                <w:b/>
                <w:bCs/>
                <w:color w:val="000000" w:themeColor="text1"/>
                <w:szCs w:val="21"/>
                <w:lang w:val="en-US" w:eastAsia="zh-CN"/>
                <w14:textFill>
                  <w14:solidFill>
                    <w14:schemeClr w14:val="tx1"/>
                  </w14:solidFill>
                </w14:textFill>
              </w:rPr>
            </w:pPr>
            <w:r>
              <w:rPr>
                <w:rFonts w:hint="eastAsia" w:cs="Times New Roman"/>
                <w:b/>
                <w:bCs/>
                <w:color w:val="000000" w:themeColor="text1"/>
                <w:szCs w:val="21"/>
                <w:lang w:val="en-US" w:eastAsia="zh-CN"/>
                <w14:textFill>
                  <w14:solidFill>
                    <w14:schemeClr w14:val="tx1"/>
                  </w14:solidFill>
                </w14:textFill>
              </w:rPr>
              <w:t>（一）噪声源强核算</w:t>
            </w:r>
          </w:p>
          <w:p w14:paraId="579254F1">
            <w:pPr>
              <w:widowControl/>
              <w:ind w:firstLine="480"/>
              <w:jc w:val="left"/>
              <w:rPr>
                <w:rFonts w:hint="eastAsia" w:eastAsia="宋体"/>
                <w:color w:val="auto"/>
                <w:lang w:eastAsia="zh-CN"/>
              </w:rPr>
            </w:pPr>
            <w:r>
              <w:rPr>
                <w:rFonts w:hint="eastAsia" w:hAnsi="宋体"/>
              </w:rPr>
              <w:t>运营期间主要噪声源有</w:t>
            </w:r>
            <w:r>
              <w:rPr>
                <w:rFonts w:hint="eastAsia" w:hAnsi="宋体"/>
                <w:lang w:val="en-US" w:eastAsia="zh-CN"/>
              </w:rPr>
              <w:t>皮带输送机、烘干滚筒、提升机、筛分机、搅拌器</w:t>
            </w:r>
            <w:r>
              <w:rPr>
                <w:rFonts w:hint="eastAsia" w:hAnsi="宋体"/>
              </w:rPr>
              <w:t>等生产设备。</w:t>
            </w:r>
            <w:r>
              <w:rPr>
                <w:rFonts w:hint="eastAsia" w:hAnsi="宋体"/>
                <w:lang w:val="en-US" w:eastAsia="zh-CN"/>
              </w:rPr>
              <w:t>本项目</w:t>
            </w:r>
            <w:r>
              <w:rPr>
                <w:rFonts w:hint="eastAsia"/>
                <w:color w:val="auto"/>
                <w:kern w:val="0"/>
                <w:lang w:val="en-US" w:eastAsia="zh-CN"/>
              </w:rPr>
              <w:t>原点坐标（0，0）的经纬度为东经11</w:t>
            </w:r>
            <w:r>
              <w:rPr>
                <w:rFonts w:hint="default" w:ascii="Times New Roman" w:hAnsi="Times New Roman" w:eastAsia="宋体" w:cs="Times New Roman"/>
                <w:color w:val="auto"/>
                <w:kern w:val="0"/>
                <w:lang w:val="en-US" w:eastAsia="zh-CN"/>
              </w:rPr>
              <w:t>6°19′58.800″，北纬39°55′58.800″，高程为2</w:t>
            </w:r>
            <w:r>
              <w:rPr>
                <w:rFonts w:hint="eastAsia"/>
                <w:color w:val="auto"/>
                <w:kern w:val="0"/>
                <w:lang w:val="en-US" w:eastAsia="zh-CN"/>
              </w:rPr>
              <w:t>026m，</w:t>
            </w:r>
            <w:r>
              <w:rPr>
                <w:color w:val="auto"/>
                <w:lang w:val="zh-CN" w:bidi="ar"/>
              </w:rPr>
              <w:t>以原点以东方向为X轴正方向，原点以北方向为Y轴正方向</w:t>
            </w:r>
            <w:r>
              <w:rPr>
                <w:color w:val="auto"/>
              </w:rPr>
              <w:t>建立坐标系，对项目噪声源进行调查并进行预测分析</w:t>
            </w:r>
            <w:r>
              <w:rPr>
                <w:rFonts w:hint="eastAsia"/>
                <w:color w:val="auto"/>
                <w:lang w:eastAsia="zh-CN"/>
              </w:rPr>
              <w:t>。</w:t>
            </w:r>
          </w:p>
          <w:p w14:paraId="1B42A959">
            <w:pPr>
              <w:ind w:firstLine="480"/>
              <w:rPr>
                <w:kern w:val="0"/>
                <w:lang w:bidi="ar"/>
              </w:rPr>
            </w:pPr>
            <w:r>
              <w:rPr>
                <w:kern w:val="0"/>
                <w:lang w:bidi="ar"/>
              </w:rPr>
              <w:t>经调查该项目建成投产后</w:t>
            </w:r>
            <w:r>
              <w:rPr>
                <w:rFonts w:hint="eastAsia"/>
              </w:rPr>
              <w:t>噪声特征以连续性噪声为主，间歇性噪声为辅。各类设备运行噪声级范围在</w:t>
            </w:r>
            <w:r>
              <w:rPr>
                <w:rFonts w:hint="eastAsia"/>
                <w:highlight w:val="none"/>
                <w:lang w:val="en-US" w:eastAsia="zh-CN"/>
              </w:rPr>
              <w:t>60</w:t>
            </w:r>
            <w:r>
              <w:rPr>
                <w:rFonts w:hint="eastAsia"/>
                <w:highlight w:val="none"/>
              </w:rPr>
              <w:t>~</w:t>
            </w:r>
            <w:r>
              <w:rPr>
                <w:rFonts w:hint="eastAsia"/>
                <w:highlight w:val="none"/>
                <w:lang w:val="en-US" w:eastAsia="zh-CN"/>
              </w:rPr>
              <w:t>80</w:t>
            </w:r>
            <w:r>
              <w:rPr>
                <w:rFonts w:hint="eastAsia"/>
                <w:highlight w:val="none"/>
              </w:rPr>
              <w:t>dB(A)</w:t>
            </w:r>
            <w:r>
              <w:rPr>
                <w:rFonts w:hint="eastAsia"/>
              </w:rPr>
              <w:t>之间</w:t>
            </w:r>
            <w:r>
              <w:rPr>
                <w:rFonts w:hint="eastAsia"/>
                <w:lang w:eastAsia="zh-CN"/>
              </w:rPr>
              <w:t>，</w:t>
            </w:r>
            <w:r>
              <w:rPr>
                <w:kern w:val="0"/>
                <w:lang w:bidi="ar"/>
              </w:rPr>
              <w:t>噪声设备源强</w:t>
            </w:r>
            <w:r>
              <w:rPr>
                <w:rFonts w:hint="eastAsia"/>
                <w:kern w:val="0"/>
                <w:lang w:val="en-US" w:eastAsia="zh-CN" w:bidi="ar"/>
              </w:rPr>
              <w:t>调查清单详见下</w:t>
            </w:r>
            <w:r>
              <w:rPr>
                <w:kern w:val="0"/>
                <w:lang w:bidi="ar"/>
              </w:rPr>
              <w:t>表4-1</w:t>
            </w:r>
            <w:r>
              <w:rPr>
                <w:rFonts w:hint="eastAsia"/>
                <w:kern w:val="0"/>
                <w:lang w:val="en-US" w:eastAsia="zh-CN" w:bidi="ar"/>
              </w:rPr>
              <w:t>5、4-16</w:t>
            </w:r>
            <w:r>
              <w:rPr>
                <w:kern w:val="0"/>
                <w:lang w:bidi="ar"/>
              </w:rPr>
              <w:t>。</w:t>
            </w:r>
          </w:p>
          <w:p w14:paraId="17CFADCC">
            <w:pPr>
              <w:widowControl/>
              <w:ind w:firstLine="0" w:firstLineChars="0"/>
              <w:jc w:val="center"/>
              <w:rPr>
                <w:b/>
                <w:bCs/>
                <w:kern w:val="0"/>
                <w:sz w:val="21"/>
                <w:szCs w:val="21"/>
                <w:lang w:bidi="ar"/>
              </w:rPr>
            </w:pPr>
            <w:r>
              <w:rPr>
                <w:b/>
                <w:bCs/>
                <w:kern w:val="0"/>
                <w:sz w:val="21"/>
                <w:szCs w:val="21"/>
                <w:lang w:bidi="ar"/>
              </w:rPr>
              <w:t>表4-1</w:t>
            </w:r>
            <w:r>
              <w:rPr>
                <w:rFonts w:hint="eastAsia"/>
                <w:b/>
                <w:bCs/>
                <w:kern w:val="0"/>
                <w:sz w:val="21"/>
                <w:szCs w:val="21"/>
                <w:lang w:val="en-US" w:eastAsia="zh-CN" w:bidi="ar"/>
              </w:rPr>
              <w:t xml:space="preserve">5 </w:t>
            </w:r>
            <w:r>
              <w:rPr>
                <w:rFonts w:hint="eastAsia"/>
                <w:b/>
                <w:bCs/>
                <w:kern w:val="0"/>
                <w:sz w:val="21"/>
                <w:szCs w:val="21"/>
                <w:lang w:bidi="ar"/>
              </w:rPr>
              <w:t xml:space="preserve"> </w:t>
            </w:r>
            <w:r>
              <w:rPr>
                <w:b/>
                <w:bCs/>
                <w:kern w:val="0"/>
                <w:sz w:val="21"/>
                <w:szCs w:val="21"/>
                <w:lang w:bidi="ar"/>
              </w:rPr>
              <w:t>项目工业企业噪声源强调查清单（室内声源）</w:t>
            </w:r>
          </w:p>
          <w:tbl>
            <w:tblPr>
              <w:tblStyle w:val="15"/>
              <w:tblW w:w="7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065"/>
              <w:gridCol w:w="483"/>
              <w:gridCol w:w="333"/>
              <w:gridCol w:w="523"/>
              <w:gridCol w:w="498"/>
              <w:gridCol w:w="499"/>
              <w:gridCol w:w="660"/>
              <w:gridCol w:w="538"/>
              <w:gridCol w:w="374"/>
              <w:gridCol w:w="714"/>
              <w:gridCol w:w="565"/>
              <w:gridCol w:w="593"/>
            </w:tblGrid>
            <w:tr w14:paraId="36D9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0" w:type="dxa"/>
                  <w:vMerge w:val="restart"/>
                  <w:tcBorders>
                    <w:tl2br w:val="nil"/>
                    <w:tr2bl w:val="nil"/>
                  </w:tcBorders>
                  <w:shd w:val="clear" w:color="auto" w:fill="auto"/>
                  <w:noWrap/>
                  <w:vAlign w:val="center"/>
                </w:tcPr>
                <w:p w14:paraId="61B75620">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 xml:space="preserve">序号 </w:t>
                  </w:r>
                </w:p>
              </w:tc>
              <w:tc>
                <w:tcPr>
                  <w:tcW w:w="1065" w:type="dxa"/>
                  <w:vMerge w:val="restart"/>
                  <w:tcBorders>
                    <w:tl2br w:val="nil"/>
                    <w:tr2bl w:val="nil"/>
                  </w:tcBorders>
                  <w:shd w:val="clear" w:color="auto" w:fill="auto"/>
                  <w:noWrap/>
                  <w:vAlign w:val="center"/>
                </w:tcPr>
                <w:p w14:paraId="58E7F2FE">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 xml:space="preserve">声源名称 </w:t>
                  </w:r>
                </w:p>
              </w:tc>
              <w:tc>
                <w:tcPr>
                  <w:tcW w:w="483" w:type="dxa"/>
                  <w:vMerge w:val="restart"/>
                  <w:tcBorders>
                    <w:tl2br w:val="nil"/>
                    <w:tr2bl w:val="nil"/>
                  </w:tcBorders>
                  <w:shd w:val="clear" w:color="auto" w:fill="auto"/>
                  <w:vAlign w:val="center"/>
                </w:tcPr>
                <w:p w14:paraId="2BB1E67F">
                  <w:pPr>
                    <w:widowControl/>
                    <w:spacing w:line="360" w:lineRule="exact"/>
                    <w:ind w:firstLine="0" w:firstLineChars="0"/>
                    <w:jc w:val="center"/>
                    <w:textAlignment w:val="center"/>
                    <w:rPr>
                      <w:b/>
                      <w:bCs/>
                      <w:color w:val="auto"/>
                      <w:sz w:val="21"/>
                      <w:szCs w:val="21"/>
                    </w:rPr>
                  </w:pPr>
                  <w:r>
                    <w:rPr>
                      <w:b/>
                      <w:bCs/>
                      <w:color w:val="auto"/>
                      <w:kern w:val="0"/>
                      <w:sz w:val="21"/>
                      <w:szCs w:val="21"/>
                      <w:lang w:bidi="ar"/>
                    </w:rPr>
                    <w:t>声功率级</w:t>
                  </w:r>
                  <w:r>
                    <w:rPr>
                      <w:rStyle w:val="30"/>
                      <w:b/>
                      <w:bCs/>
                      <w:color w:val="auto"/>
                      <w:sz w:val="21"/>
                      <w:szCs w:val="21"/>
                      <w:lang w:bidi="ar"/>
                    </w:rPr>
                    <w:t>/dB(A)</w:t>
                  </w:r>
                </w:p>
              </w:tc>
              <w:tc>
                <w:tcPr>
                  <w:tcW w:w="333" w:type="dxa"/>
                  <w:vMerge w:val="restart"/>
                  <w:tcBorders>
                    <w:tl2br w:val="nil"/>
                    <w:tr2bl w:val="nil"/>
                  </w:tcBorders>
                  <w:shd w:val="clear" w:color="auto" w:fill="auto"/>
                  <w:noWrap/>
                  <w:vAlign w:val="center"/>
                </w:tcPr>
                <w:p w14:paraId="331A6282">
                  <w:pPr>
                    <w:widowControl/>
                    <w:spacing w:line="360" w:lineRule="exact"/>
                    <w:ind w:firstLine="0" w:firstLineChars="0"/>
                    <w:jc w:val="center"/>
                    <w:textAlignment w:val="center"/>
                    <w:rPr>
                      <w:b/>
                      <w:bCs/>
                      <w:color w:val="auto"/>
                      <w:sz w:val="21"/>
                      <w:szCs w:val="21"/>
                    </w:rPr>
                  </w:pPr>
                  <w:r>
                    <w:rPr>
                      <w:b/>
                      <w:bCs/>
                      <w:color w:val="auto"/>
                      <w:kern w:val="0"/>
                      <w:sz w:val="21"/>
                      <w:szCs w:val="21"/>
                      <w:lang w:bidi="ar"/>
                    </w:rPr>
                    <w:t xml:space="preserve">声源控制措施 </w:t>
                  </w:r>
                </w:p>
              </w:tc>
              <w:tc>
                <w:tcPr>
                  <w:tcW w:w="1520" w:type="dxa"/>
                  <w:gridSpan w:val="3"/>
                  <w:tcBorders>
                    <w:tl2br w:val="nil"/>
                    <w:tr2bl w:val="nil"/>
                  </w:tcBorders>
                  <w:shd w:val="clear" w:color="auto" w:fill="auto"/>
                  <w:noWrap/>
                  <w:vAlign w:val="center"/>
                </w:tcPr>
                <w:p w14:paraId="024D14F6">
                  <w:pPr>
                    <w:widowControl/>
                    <w:spacing w:line="360" w:lineRule="exact"/>
                    <w:ind w:firstLine="0" w:firstLineChars="0"/>
                    <w:jc w:val="center"/>
                    <w:textAlignment w:val="center"/>
                    <w:rPr>
                      <w:b/>
                      <w:bCs/>
                      <w:color w:val="auto"/>
                      <w:sz w:val="21"/>
                      <w:szCs w:val="21"/>
                    </w:rPr>
                  </w:pPr>
                  <w:r>
                    <w:rPr>
                      <w:b/>
                      <w:bCs/>
                      <w:color w:val="auto"/>
                      <w:kern w:val="0"/>
                      <w:sz w:val="21"/>
                      <w:szCs w:val="21"/>
                      <w:lang w:bidi="ar"/>
                    </w:rPr>
                    <w:t>空间相对位置</w:t>
                  </w:r>
                  <w:r>
                    <w:rPr>
                      <w:rStyle w:val="30"/>
                      <w:b/>
                      <w:bCs/>
                      <w:color w:val="auto"/>
                      <w:sz w:val="21"/>
                      <w:szCs w:val="21"/>
                      <w:lang w:bidi="ar"/>
                    </w:rPr>
                    <w:t xml:space="preserve">/m </w:t>
                  </w:r>
                </w:p>
              </w:tc>
              <w:tc>
                <w:tcPr>
                  <w:tcW w:w="660" w:type="dxa"/>
                  <w:vMerge w:val="restart"/>
                  <w:tcBorders>
                    <w:tl2br w:val="nil"/>
                    <w:tr2bl w:val="nil"/>
                  </w:tcBorders>
                  <w:shd w:val="clear" w:color="auto" w:fill="auto"/>
                  <w:vAlign w:val="center"/>
                </w:tcPr>
                <w:p w14:paraId="4A6D9AB0">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距室内边</w:t>
                  </w:r>
                  <w:r>
                    <w:rPr>
                      <w:b/>
                      <w:bCs/>
                      <w:color w:val="000000"/>
                      <w:kern w:val="0"/>
                      <w:sz w:val="21"/>
                      <w:szCs w:val="21"/>
                      <w:lang w:bidi="ar"/>
                    </w:rPr>
                    <w:br w:type="textWrapping"/>
                  </w:r>
                  <w:r>
                    <w:rPr>
                      <w:b/>
                      <w:bCs/>
                      <w:color w:val="000000"/>
                      <w:kern w:val="0"/>
                      <w:sz w:val="21"/>
                      <w:szCs w:val="21"/>
                      <w:lang w:bidi="ar"/>
                    </w:rPr>
                    <w:t>界距离/m</w:t>
                  </w:r>
                </w:p>
              </w:tc>
              <w:tc>
                <w:tcPr>
                  <w:tcW w:w="538" w:type="dxa"/>
                  <w:vMerge w:val="restart"/>
                  <w:tcBorders>
                    <w:tl2br w:val="nil"/>
                    <w:tr2bl w:val="nil"/>
                  </w:tcBorders>
                  <w:shd w:val="clear" w:color="auto" w:fill="auto"/>
                  <w:vAlign w:val="center"/>
                </w:tcPr>
                <w:p w14:paraId="22C0A638">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室内边界</w:t>
                  </w:r>
                  <w:r>
                    <w:rPr>
                      <w:b/>
                      <w:bCs/>
                      <w:color w:val="000000"/>
                      <w:kern w:val="0"/>
                      <w:sz w:val="21"/>
                      <w:szCs w:val="21"/>
                      <w:lang w:bidi="ar"/>
                    </w:rPr>
                    <w:br w:type="textWrapping"/>
                  </w:r>
                  <w:r>
                    <w:rPr>
                      <w:b/>
                      <w:bCs/>
                      <w:color w:val="000000"/>
                      <w:kern w:val="0"/>
                      <w:sz w:val="21"/>
                      <w:szCs w:val="21"/>
                      <w:lang w:bidi="ar"/>
                    </w:rPr>
                    <w:t>声级</w:t>
                  </w:r>
                  <w:r>
                    <w:rPr>
                      <w:b/>
                      <w:bCs/>
                      <w:color w:val="000000"/>
                      <w:kern w:val="0"/>
                      <w:sz w:val="21"/>
                      <w:szCs w:val="21"/>
                      <w:lang w:bidi="ar"/>
                    </w:rPr>
                    <w:br w:type="textWrapping"/>
                  </w:r>
                  <w:r>
                    <w:rPr>
                      <w:b/>
                      <w:bCs/>
                      <w:color w:val="000000"/>
                      <w:kern w:val="0"/>
                      <w:sz w:val="21"/>
                      <w:szCs w:val="21"/>
                      <w:lang w:bidi="ar"/>
                    </w:rPr>
                    <w:t>/dB(A)</w:t>
                  </w:r>
                </w:p>
              </w:tc>
              <w:tc>
                <w:tcPr>
                  <w:tcW w:w="374" w:type="dxa"/>
                  <w:vMerge w:val="restart"/>
                  <w:tcBorders>
                    <w:tl2br w:val="nil"/>
                    <w:tr2bl w:val="nil"/>
                  </w:tcBorders>
                  <w:shd w:val="clear" w:color="auto" w:fill="auto"/>
                  <w:noWrap/>
                  <w:vAlign w:val="center"/>
                </w:tcPr>
                <w:p w14:paraId="44D06B73">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运行时段</w:t>
                  </w:r>
                </w:p>
              </w:tc>
              <w:tc>
                <w:tcPr>
                  <w:tcW w:w="714" w:type="dxa"/>
                  <w:vMerge w:val="restart"/>
                  <w:tcBorders>
                    <w:tl2br w:val="nil"/>
                    <w:tr2bl w:val="nil"/>
                  </w:tcBorders>
                  <w:shd w:val="clear" w:color="auto" w:fill="auto"/>
                  <w:vAlign w:val="center"/>
                </w:tcPr>
                <w:p w14:paraId="4D9CD353">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建筑物</w:t>
                  </w:r>
                  <w:r>
                    <w:rPr>
                      <w:b/>
                      <w:bCs/>
                      <w:color w:val="000000"/>
                      <w:kern w:val="0"/>
                      <w:sz w:val="21"/>
                      <w:szCs w:val="21"/>
                      <w:lang w:bidi="ar"/>
                    </w:rPr>
                    <w:br w:type="textWrapping"/>
                  </w:r>
                  <w:r>
                    <w:rPr>
                      <w:b/>
                      <w:bCs/>
                      <w:color w:val="000000"/>
                      <w:kern w:val="0"/>
                      <w:sz w:val="21"/>
                      <w:szCs w:val="21"/>
                      <w:lang w:bidi="ar"/>
                    </w:rPr>
                    <w:t>插入损</w:t>
                  </w:r>
                  <w:r>
                    <w:rPr>
                      <w:b/>
                      <w:bCs/>
                      <w:color w:val="000000"/>
                      <w:kern w:val="0"/>
                      <w:sz w:val="21"/>
                      <w:szCs w:val="21"/>
                      <w:lang w:bidi="ar"/>
                    </w:rPr>
                    <w:br w:type="textWrapping"/>
                  </w:r>
                  <w:r>
                    <w:rPr>
                      <w:b/>
                      <w:bCs/>
                      <w:color w:val="000000"/>
                      <w:kern w:val="0"/>
                      <w:sz w:val="21"/>
                      <w:szCs w:val="21"/>
                      <w:lang w:bidi="ar"/>
                    </w:rPr>
                    <w:t xml:space="preserve">失/ </w:t>
                  </w:r>
                  <w:r>
                    <w:rPr>
                      <w:b/>
                      <w:bCs/>
                      <w:color w:val="000000"/>
                      <w:kern w:val="0"/>
                      <w:sz w:val="21"/>
                      <w:szCs w:val="21"/>
                      <w:lang w:bidi="ar"/>
                    </w:rPr>
                    <w:br w:type="textWrapping"/>
                  </w:r>
                  <w:r>
                    <w:rPr>
                      <w:b/>
                      <w:bCs/>
                      <w:color w:val="000000"/>
                      <w:kern w:val="0"/>
                      <w:sz w:val="21"/>
                      <w:szCs w:val="21"/>
                      <w:lang w:bidi="ar"/>
                    </w:rPr>
                    <w:t>dB(A)</w:t>
                  </w:r>
                </w:p>
              </w:tc>
              <w:tc>
                <w:tcPr>
                  <w:tcW w:w="1158" w:type="dxa"/>
                  <w:gridSpan w:val="2"/>
                  <w:tcBorders>
                    <w:tl2br w:val="nil"/>
                    <w:tr2bl w:val="nil"/>
                  </w:tcBorders>
                  <w:shd w:val="clear" w:color="auto" w:fill="auto"/>
                  <w:noWrap/>
                  <w:vAlign w:val="center"/>
                </w:tcPr>
                <w:p w14:paraId="78E1884E">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建筑物外噪声</w:t>
                  </w:r>
                </w:p>
              </w:tc>
            </w:tr>
            <w:tr w14:paraId="43C3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420" w:type="dxa"/>
                  <w:vMerge w:val="continue"/>
                  <w:tcBorders>
                    <w:tl2br w:val="nil"/>
                    <w:tr2bl w:val="nil"/>
                  </w:tcBorders>
                  <w:shd w:val="clear" w:color="auto" w:fill="auto"/>
                  <w:noWrap/>
                  <w:vAlign w:val="center"/>
                </w:tcPr>
                <w:p w14:paraId="799C028B">
                  <w:pPr>
                    <w:widowControl/>
                    <w:spacing w:line="360" w:lineRule="exact"/>
                    <w:ind w:firstLine="0" w:firstLineChars="0"/>
                    <w:jc w:val="center"/>
                    <w:rPr>
                      <w:b/>
                      <w:bCs/>
                      <w:color w:val="000000"/>
                      <w:sz w:val="21"/>
                      <w:szCs w:val="21"/>
                    </w:rPr>
                  </w:pPr>
                </w:p>
              </w:tc>
              <w:tc>
                <w:tcPr>
                  <w:tcW w:w="1065" w:type="dxa"/>
                  <w:vMerge w:val="continue"/>
                  <w:tcBorders>
                    <w:tl2br w:val="nil"/>
                    <w:tr2bl w:val="nil"/>
                  </w:tcBorders>
                  <w:shd w:val="clear" w:color="auto" w:fill="auto"/>
                  <w:noWrap/>
                  <w:vAlign w:val="center"/>
                </w:tcPr>
                <w:p w14:paraId="6D71EECE">
                  <w:pPr>
                    <w:widowControl/>
                    <w:spacing w:line="360" w:lineRule="exact"/>
                    <w:ind w:firstLine="0" w:firstLineChars="0"/>
                    <w:jc w:val="center"/>
                    <w:rPr>
                      <w:b/>
                      <w:bCs/>
                      <w:color w:val="000000"/>
                      <w:sz w:val="21"/>
                      <w:szCs w:val="21"/>
                    </w:rPr>
                  </w:pPr>
                </w:p>
              </w:tc>
              <w:tc>
                <w:tcPr>
                  <w:tcW w:w="483" w:type="dxa"/>
                  <w:vMerge w:val="continue"/>
                  <w:tcBorders>
                    <w:tl2br w:val="nil"/>
                    <w:tr2bl w:val="nil"/>
                  </w:tcBorders>
                  <w:shd w:val="clear" w:color="auto" w:fill="auto"/>
                  <w:vAlign w:val="center"/>
                </w:tcPr>
                <w:p w14:paraId="3A818CBF">
                  <w:pPr>
                    <w:widowControl/>
                    <w:spacing w:line="360" w:lineRule="exact"/>
                    <w:ind w:firstLine="0" w:firstLineChars="0"/>
                    <w:jc w:val="center"/>
                    <w:rPr>
                      <w:b/>
                      <w:bCs/>
                      <w:color w:val="auto"/>
                      <w:sz w:val="21"/>
                      <w:szCs w:val="21"/>
                    </w:rPr>
                  </w:pPr>
                </w:p>
              </w:tc>
              <w:tc>
                <w:tcPr>
                  <w:tcW w:w="333" w:type="dxa"/>
                  <w:vMerge w:val="continue"/>
                  <w:tcBorders>
                    <w:tl2br w:val="nil"/>
                    <w:tr2bl w:val="nil"/>
                  </w:tcBorders>
                  <w:shd w:val="clear" w:color="auto" w:fill="auto"/>
                  <w:noWrap/>
                  <w:vAlign w:val="center"/>
                </w:tcPr>
                <w:p w14:paraId="0E22B070">
                  <w:pPr>
                    <w:widowControl/>
                    <w:spacing w:line="360" w:lineRule="exact"/>
                    <w:ind w:firstLine="0" w:firstLineChars="0"/>
                    <w:jc w:val="center"/>
                    <w:rPr>
                      <w:b/>
                      <w:bCs/>
                      <w:color w:val="auto"/>
                      <w:sz w:val="21"/>
                      <w:szCs w:val="21"/>
                    </w:rPr>
                  </w:pPr>
                </w:p>
              </w:tc>
              <w:tc>
                <w:tcPr>
                  <w:tcW w:w="523" w:type="dxa"/>
                  <w:tcBorders>
                    <w:tl2br w:val="nil"/>
                    <w:tr2bl w:val="nil"/>
                  </w:tcBorders>
                  <w:shd w:val="clear" w:color="auto" w:fill="auto"/>
                  <w:noWrap/>
                  <w:vAlign w:val="center"/>
                </w:tcPr>
                <w:p w14:paraId="5D9671ED">
                  <w:pPr>
                    <w:widowControl/>
                    <w:spacing w:line="360" w:lineRule="exact"/>
                    <w:ind w:firstLine="0" w:firstLineChars="0"/>
                    <w:jc w:val="center"/>
                    <w:textAlignment w:val="center"/>
                    <w:rPr>
                      <w:b/>
                      <w:bCs/>
                      <w:color w:val="auto"/>
                      <w:sz w:val="21"/>
                      <w:szCs w:val="21"/>
                    </w:rPr>
                  </w:pPr>
                  <w:r>
                    <w:rPr>
                      <w:b/>
                      <w:bCs/>
                      <w:color w:val="auto"/>
                      <w:kern w:val="0"/>
                      <w:sz w:val="21"/>
                      <w:szCs w:val="21"/>
                      <w:lang w:bidi="ar"/>
                    </w:rPr>
                    <w:t>X</w:t>
                  </w:r>
                </w:p>
              </w:tc>
              <w:tc>
                <w:tcPr>
                  <w:tcW w:w="498" w:type="dxa"/>
                  <w:tcBorders>
                    <w:tl2br w:val="nil"/>
                    <w:tr2bl w:val="nil"/>
                  </w:tcBorders>
                  <w:shd w:val="clear" w:color="auto" w:fill="auto"/>
                  <w:noWrap/>
                  <w:vAlign w:val="center"/>
                </w:tcPr>
                <w:p w14:paraId="0A3EE5F2">
                  <w:pPr>
                    <w:widowControl/>
                    <w:spacing w:line="360" w:lineRule="exact"/>
                    <w:ind w:firstLine="0" w:firstLineChars="0"/>
                    <w:jc w:val="center"/>
                    <w:textAlignment w:val="center"/>
                    <w:rPr>
                      <w:b/>
                      <w:bCs/>
                      <w:color w:val="auto"/>
                      <w:sz w:val="21"/>
                      <w:szCs w:val="21"/>
                    </w:rPr>
                  </w:pPr>
                  <w:r>
                    <w:rPr>
                      <w:b/>
                      <w:bCs/>
                      <w:color w:val="auto"/>
                      <w:kern w:val="0"/>
                      <w:sz w:val="21"/>
                      <w:szCs w:val="21"/>
                      <w:lang w:bidi="ar"/>
                    </w:rPr>
                    <w:t>Y</w:t>
                  </w:r>
                </w:p>
              </w:tc>
              <w:tc>
                <w:tcPr>
                  <w:tcW w:w="499" w:type="dxa"/>
                  <w:tcBorders>
                    <w:tl2br w:val="nil"/>
                    <w:tr2bl w:val="nil"/>
                  </w:tcBorders>
                  <w:shd w:val="clear" w:color="auto" w:fill="auto"/>
                  <w:noWrap/>
                  <w:vAlign w:val="center"/>
                </w:tcPr>
                <w:p w14:paraId="31BCAA6A">
                  <w:pPr>
                    <w:widowControl/>
                    <w:spacing w:line="360" w:lineRule="exact"/>
                    <w:ind w:firstLine="0" w:firstLineChars="0"/>
                    <w:jc w:val="center"/>
                    <w:textAlignment w:val="center"/>
                    <w:rPr>
                      <w:b/>
                      <w:bCs/>
                      <w:color w:val="auto"/>
                      <w:sz w:val="21"/>
                      <w:szCs w:val="21"/>
                    </w:rPr>
                  </w:pPr>
                  <w:r>
                    <w:rPr>
                      <w:b/>
                      <w:bCs/>
                      <w:color w:val="auto"/>
                      <w:kern w:val="0"/>
                      <w:sz w:val="21"/>
                      <w:szCs w:val="21"/>
                      <w:lang w:bidi="ar"/>
                    </w:rPr>
                    <w:t>Z</w:t>
                  </w:r>
                </w:p>
              </w:tc>
              <w:tc>
                <w:tcPr>
                  <w:tcW w:w="660" w:type="dxa"/>
                  <w:vMerge w:val="continue"/>
                  <w:tcBorders>
                    <w:tl2br w:val="nil"/>
                    <w:tr2bl w:val="nil"/>
                  </w:tcBorders>
                  <w:shd w:val="clear" w:color="auto" w:fill="auto"/>
                  <w:vAlign w:val="center"/>
                </w:tcPr>
                <w:p w14:paraId="6DD2B701">
                  <w:pPr>
                    <w:widowControl/>
                    <w:spacing w:line="360" w:lineRule="exact"/>
                    <w:ind w:firstLine="0" w:firstLineChars="0"/>
                    <w:jc w:val="center"/>
                    <w:rPr>
                      <w:b/>
                      <w:bCs/>
                      <w:color w:val="000000"/>
                      <w:sz w:val="21"/>
                      <w:szCs w:val="21"/>
                    </w:rPr>
                  </w:pPr>
                </w:p>
              </w:tc>
              <w:tc>
                <w:tcPr>
                  <w:tcW w:w="538" w:type="dxa"/>
                  <w:vMerge w:val="continue"/>
                  <w:tcBorders>
                    <w:tl2br w:val="nil"/>
                    <w:tr2bl w:val="nil"/>
                  </w:tcBorders>
                  <w:shd w:val="clear" w:color="auto" w:fill="auto"/>
                  <w:vAlign w:val="center"/>
                </w:tcPr>
                <w:p w14:paraId="41BEF879">
                  <w:pPr>
                    <w:widowControl/>
                    <w:spacing w:line="360" w:lineRule="exact"/>
                    <w:ind w:firstLine="0" w:firstLineChars="0"/>
                    <w:jc w:val="center"/>
                    <w:rPr>
                      <w:b/>
                      <w:bCs/>
                      <w:color w:val="000000"/>
                      <w:sz w:val="21"/>
                      <w:szCs w:val="21"/>
                    </w:rPr>
                  </w:pPr>
                </w:p>
              </w:tc>
              <w:tc>
                <w:tcPr>
                  <w:tcW w:w="374" w:type="dxa"/>
                  <w:vMerge w:val="continue"/>
                  <w:tcBorders>
                    <w:tl2br w:val="nil"/>
                    <w:tr2bl w:val="nil"/>
                  </w:tcBorders>
                  <w:shd w:val="clear" w:color="auto" w:fill="auto"/>
                  <w:noWrap/>
                  <w:vAlign w:val="center"/>
                </w:tcPr>
                <w:p w14:paraId="798C223B">
                  <w:pPr>
                    <w:widowControl/>
                    <w:spacing w:line="360" w:lineRule="exact"/>
                    <w:ind w:firstLine="0" w:firstLineChars="0"/>
                    <w:jc w:val="center"/>
                    <w:rPr>
                      <w:b/>
                      <w:bCs/>
                      <w:color w:val="000000"/>
                      <w:sz w:val="21"/>
                      <w:szCs w:val="21"/>
                    </w:rPr>
                  </w:pPr>
                </w:p>
              </w:tc>
              <w:tc>
                <w:tcPr>
                  <w:tcW w:w="714" w:type="dxa"/>
                  <w:vMerge w:val="continue"/>
                  <w:tcBorders>
                    <w:tl2br w:val="nil"/>
                    <w:tr2bl w:val="nil"/>
                  </w:tcBorders>
                  <w:shd w:val="clear" w:color="auto" w:fill="auto"/>
                  <w:vAlign w:val="center"/>
                </w:tcPr>
                <w:p w14:paraId="1D906F12">
                  <w:pPr>
                    <w:widowControl/>
                    <w:spacing w:line="360" w:lineRule="exact"/>
                    <w:ind w:firstLine="0" w:firstLineChars="0"/>
                    <w:jc w:val="center"/>
                    <w:rPr>
                      <w:b/>
                      <w:bCs/>
                      <w:color w:val="000000"/>
                      <w:sz w:val="21"/>
                      <w:szCs w:val="21"/>
                    </w:rPr>
                  </w:pPr>
                </w:p>
              </w:tc>
              <w:tc>
                <w:tcPr>
                  <w:tcW w:w="565" w:type="dxa"/>
                  <w:tcBorders>
                    <w:tl2br w:val="nil"/>
                    <w:tr2bl w:val="nil"/>
                  </w:tcBorders>
                  <w:shd w:val="clear" w:color="auto" w:fill="auto"/>
                  <w:vAlign w:val="center"/>
                </w:tcPr>
                <w:p w14:paraId="71290DDB">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声压级</w:t>
                  </w:r>
                  <w:r>
                    <w:rPr>
                      <w:b/>
                      <w:bCs/>
                      <w:color w:val="000000"/>
                      <w:kern w:val="0"/>
                      <w:sz w:val="21"/>
                      <w:szCs w:val="21"/>
                      <w:lang w:bidi="ar"/>
                    </w:rPr>
                    <w:br w:type="textWrapping"/>
                  </w:r>
                  <w:r>
                    <w:rPr>
                      <w:b/>
                      <w:bCs/>
                      <w:color w:val="000000"/>
                      <w:kern w:val="0"/>
                      <w:sz w:val="21"/>
                      <w:szCs w:val="21"/>
                      <w:lang w:bidi="ar"/>
                    </w:rPr>
                    <w:t>/dB(A)</w:t>
                  </w:r>
                </w:p>
              </w:tc>
              <w:tc>
                <w:tcPr>
                  <w:tcW w:w="593" w:type="dxa"/>
                  <w:tcBorders>
                    <w:tl2br w:val="nil"/>
                    <w:tr2bl w:val="nil"/>
                  </w:tcBorders>
                  <w:shd w:val="clear" w:color="auto" w:fill="auto"/>
                  <w:vAlign w:val="center"/>
                </w:tcPr>
                <w:p w14:paraId="551F417E">
                  <w:pPr>
                    <w:widowControl/>
                    <w:spacing w:line="360" w:lineRule="exact"/>
                    <w:ind w:firstLine="0" w:firstLineChars="0"/>
                    <w:jc w:val="center"/>
                    <w:textAlignment w:val="center"/>
                    <w:rPr>
                      <w:b/>
                      <w:bCs/>
                      <w:color w:val="000000"/>
                      <w:sz w:val="21"/>
                      <w:szCs w:val="21"/>
                    </w:rPr>
                  </w:pPr>
                  <w:r>
                    <w:rPr>
                      <w:b/>
                      <w:bCs/>
                      <w:color w:val="000000"/>
                      <w:kern w:val="0"/>
                      <w:sz w:val="21"/>
                      <w:szCs w:val="21"/>
                      <w:lang w:bidi="ar"/>
                    </w:rPr>
                    <w:t>建筑物</w:t>
                  </w:r>
                  <w:r>
                    <w:rPr>
                      <w:b/>
                      <w:bCs/>
                      <w:color w:val="000000"/>
                      <w:kern w:val="0"/>
                      <w:sz w:val="21"/>
                      <w:szCs w:val="21"/>
                      <w:lang w:bidi="ar"/>
                    </w:rPr>
                    <w:br w:type="textWrapping"/>
                  </w:r>
                  <w:r>
                    <w:rPr>
                      <w:b/>
                      <w:bCs/>
                      <w:color w:val="000000"/>
                      <w:kern w:val="0"/>
                      <w:sz w:val="21"/>
                      <w:szCs w:val="21"/>
                      <w:lang w:bidi="ar"/>
                    </w:rPr>
                    <w:t>外距离</w:t>
                  </w:r>
                </w:p>
              </w:tc>
            </w:tr>
            <w:tr w14:paraId="72F3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20" w:type="dxa"/>
                  <w:tcBorders>
                    <w:tl2br w:val="nil"/>
                    <w:tr2bl w:val="nil"/>
                  </w:tcBorders>
                  <w:shd w:val="clear" w:color="auto" w:fill="auto"/>
                  <w:noWrap/>
                  <w:vAlign w:val="center"/>
                </w:tcPr>
                <w:p w14:paraId="4CB40E11">
                  <w:pPr>
                    <w:widowControl/>
                    <w:spacing w:line="360" w:lineRule="exact"/>
                    <w:ind w:firstLine="0" w:firstLineChars="0"/>
                    <w:jc w:val="center"/>
                    <w:textAlignment w:val="center"/>
                    <w:rPr>
                      <w:color w:val="000000"/>
                      <w:sz w:val="21"/>
                      <w:szCs w:val="21"/>
                    </w:rPr>
                  </w:pPr>
                  <w:r>
                    <w:rPr>
                      <w:color w:val="000000"/>
                      <w:kern w:val="0"/>
                      <w:sz w:val="21"/>
                      <w:szCs w:val="21"/>
                      <w:lang w:bidi="ar"/>
                    </w:rPr>
                    <w:t>1</w:t>
                  </w:r>
                </w:p>
              </w:tc>
              <w:tc>
                <w:tcPr>
                  <w:tcW w:w="1065" w:type="dxa"/>
                  <w:tcBorders>
                    <w:tl2br w:val="nil"/>
                    <w:tr2bl w:val="nil"/>
                  </w:tcBorders>
                  <w:shd w:val="clear" w:color="auto" w:fill="auto"/>
                  <w:noWrap/>
                  <w:vAlign w:val="center"/>
                </w:tcPr>
                <w:p w14:paraId="19E63BEB">
                  <w:pPr>
                    <w:widowControl/>
                    <w:spacing w:line="360" w:lineRule="exact"/>
                    <w:ind w:firstLine="0" w:firstLineChars="0"/>
                    <w:jc w:val="center"/>
                    <w:textAlignment w:val="center"/>
                    <w:rPr>
                      <w:color w:val="auto"/>
                      <w:sz w:val="21"/>
                      <w:szCs w:val="21"/>
                    </w:rPr>
                  </w:pPr>
                  <w:r>
                    <w:rPr>
                      <w:rFonts w:hint="eastAsia"/>
                      <w:color w:val="auto"/>
                      <w:sz w:val="21"/>
                      <w:szCs w:val="21"/>
                      <w:lang w:val="en-US" w:eastAsia="zh-CN"/>
                    </w:rPr>
                    <w:t>提升机</w:t>
                  </w:r>
                </w:p>
              </w:tc>
              <w:tc>
                <w:tcPr>
                  <w:tcW w:w="483" w:type="dxa"/>
                  <w:tcBorders>
                    <w:tl2br w:val="nil"/>
                    <w:tr2bl w:val="nil"/>
                  </w:tcBorders>
                  <w:shd w:val="clear" w:color="auto" w:fill="auto"/>
                  <w:noWrap/>
                  <w:vAlign w:val="center"/>
                </w:tcPr>
                <w:p w14:paraId="78D83428">
                  <w:pPr>
                    <w:widowControl/>
                    <w:spacing w:line="360" w:lineRule="exact"/>
                    <w:ind w:firstLine="0" w:firstLineChars="0"/>
                    <w:jc w:val="center"/>
                    <w:textAlignment w:val="center"/>
                    <w:rPr>
                      <w:rFonts w:hint="eastAsia" w:eastAsia="宋体"/>
                      <w:color w:val="auto"/>
                      <w:sz w:val="21"/>
                      <w:szCs w:val="21"/>
                      <w:lang w:eastAsia="zh-CN"/>
                    </w:rPr>
                  </w:pPr>
                  <w:r>
                    <w:rPr>
                      <w:color w:val="auto"/>
                      <w:kern w:val="0"/>
                      <w:sz w:val="21"/>
                      <w:szCs w:val="21"/>
                      <w:lang w:bidi="ar"/>
                    </w:rPr>
                    <w:t>7</w:t>
                  </w:r>
                  <w:r>
                    <w:rPr>
                      <w:rFonts w:hint="eastAsia"/>
                      <w:color w:val="auto"/>
                      <w:kern w:val="0"/>
                      <w:sz w:val="21"/>
                      <w:szCs w:val="21"/>
                      <w:lang w:val="en-US" w:eastAsia="zh-CN" w:bidi="ar"/>
                    </w:rPr>
                    <w:t>0</w:t>
                  </w:r>
                </w:p>
              </w:tc>
              <w:tc>
                <w:tcPr>
                  <w:tcW w:w="333" w:type="dxa"/>
                  <w:vMerge w:val="restart"/>
                  <w:tcBorders>
                    <w:tl2br w:val="nil"/>
                    <w:tr2bl w:val="nil"/>
                  </w:tcBorders>
                  <w:shd w:val="clear" w:color="auto" w:fill="auto"/>
                  <w:noWrap/>
                  <w:vAlign w:val="center"/>
                </w:tcPr>
                <w:p w14:paraId="46C1B0F2">
                  <w:pPr>
                    <w:widowControl/>
                    <w:spacing w:line="360" w:lineRule="exact"/>
                    <w:ind w:firstLine="0" w:firstLineChars="0"/>
                    <w:jc w:val="center"/>
                    <w:textAlignment w:val="center"/>
                    <w:rPr>
                      <w:color w:val="auto"/>
                      <w:sz w:val="21"/>
                      <w:szCs w:val="21"/>
                    </w:rPr>
                  </w:pPr>
                  <w:r>
                    <w:rPr>
                      <w:color w:val="auto"/>
                      <w:kern w:val="0"/>
                      <w:sz w:val="21"/>
                      <w:szCs w:val="21"/>
                      <w:lang w:bidi="ar"/>
                    </w:rPr>
                    <w:t>基础减震</w:t>
                  </w:r>
                </w:p>
              </w:tc>
              <w:tc>
                <w:tcPr>
                  <w:tcW w:w="523" w:type="dxa"/>
                  <w:tcBorders>
                    <w:tl2br w:val="nil"/>
                    <w:tr2bl w:val="nil"/>
                  </w:tcBorders>
                  <w:shd w:val="clear" w:color="auto" w:fill="auto"/>
                  <w:noWrap/>
                  <w:vAlign w:val="center"/>
                </w:tcPr>
                <w:p w14:paraId="1087905A">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0</w:t>
                  </w:r>
                </w:p>
              </w:tc>
              <w:tc>
                <w:tcPr>
                  <w:tcW w:w="498" w:type="dxa"/>
                  <w:tcBorders>
                    <w:tl2br w:val="nil"/>
                    <w:tr2bl w:val="nil"/>
                  </w:tcBorders>
                  <w:shd w:val="clear" w:color="auto" w:fill="auto"/>
                  <w:noWrap/>
                  <w:vAlign w:val="center"/>
                </w:tcPr>
                <w:p w14:paraId="4E8D37AC">
                  <w:pPr>
                    <w:widowControl/>
                    <w:spacing w:line="360" w:lineRule="exact"/>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2</w:t>
                  </w:r>
                </w:p>
              </w:tc>
              <w:tc>
                <w:tcPr>
                  <w:tcW w:w="499" w:type="dxa"/>
                  <w:tcBorders>
                    <w:tl2br w:val="nil"/>
                    <w:tr2bl w:val="nil"/>
                  </w:tcBorders>
                  <w:shd w:val="clear" w:color="auto" w:fill="auto"/>
                  <w:noWrap/>
                  <w:vAlign w:val="center"/>
                </w:tcPr>
                <w:p w14:paraId="49ED40B9">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1.2</w:t>
                  </w:r>
                </w:p>
              </w:tc>
              <w:tc>
                <w:tcPr>
                  <w:tcW w:w="660" w:type="dxa"/>
                  <w:tcBorders>
                    <w:tl2br w:val="nil"/>
                    <w:tr2bl w:val="nil"/>
                  </w:tcBorders>
                  <w:shd w:val="clear" w:color="auto" w:fill="auto"/>
                  <w:noWrap/>
                  <w:vAlign w:val="center"/>
                </w:tcPr>
                <w:p w14:paraId="2DDE8094">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2.24</w:t>
                  </w:r>
                </w:p>
              </w:tc>
              <w:tc>
                <w:tcPr>
                  <w:tcW w:w="538" w:type="dxa"/>
                  <w:tcBorders>
                    <w:tl2br w:val="nil"/>
                    <w:tr2bl w:val="nil"/>
                  </w:tcBorders>
                  <w:shd w:val="clear" w:color="auto" w:fill="auto"/>
                  <w:noWrap/>
                  <w:vAlign w:val="center"/>
                </w:tcPr>
                <w:p w14:paraId="561A96F9">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 xml:space="preserve">47.28 </w:t>
                  </w:r>
                </w:p>
              </w:tc>
              <w:tc>
                <w:tcPr>
                  <w:tcW w:w="374" w:type="dxa"/>
                  <w:vMerge w:val="restart"/>
                  <w:tcBorders>
                    <w:tl2br w:val="nil"/>
                    <w:tr2bl w:val="nil"/>
                  </w:tcBorders>
                  <w:shd w:val="clear" w:color="auto" w:fill="auto"/>
                  <w:noWrap/>
                  <w:vAlign w:val="center"/>
                </w:tcPr>
                <w:p w14:paraId="1416B83D">
                  <w:pPr>
                    <w:widowControl/>
                    <w:spacing w:line="360" w:lineRule="exact"/>
                    <w:ind w:firstLine="0" w:firstLineChars="0"/>
                    <w:jc w:val="center"/>
                    <w:textAlignment w:val="center"/>
                    <w:rPr>
                      <w:color w:val="auto"/>
                      <w:sz w:val="21"/>
                      <w:szCs w:val="21"/>
                    </w:rPr>
                  </w:pPr>
                  <w:r>
                    <w:rPr>
                      <w:color w:val="auto"/>
                      <w:kern w:val="0"/>
                      <w:sz w:val="21"/>
                      <w:szCs w:val="21"/>
                      <w:lang w:bidi="ar"/>
                    </w:rPr>
                    <w:t>昼间</w:t>
                  </w:r>
                </w:p>
              </w:tc>
              <w:tc>
                <w:tcPr>
                  <w:tcW w:w="714" w:type="dxa"/>
                  <w:tcBorders>
                    <w:tl2br w:val="nil"/>
                    <w:tr2bl w:val="nil"/>
                  </w:tcBorders>
                  <w:shd w:val="clear" w:color="auto" w:fill="auto"/>
                  <w:noWrap/>
                  <w:vAlign w:val="center"/>
                </w:tcPr>
                <w:p w14:paraId="1C74C332">
                  <w:pPr>
                    <w:widowControl/>
                    <w:spacing w:line="360" w:lineRule="exact"/>
                    <w:ind w:firstLine="0" w:firstLineChars="0"/>
                    <w:jc w:val="center"/>
                    <w:textAlignment w:val="center"/>
                    <w:rPr>
                      <w:color w:val="auto"/>
                      <w:sz w:val="21"/>
                      <w:szCs w:val="21"/>
                    </w:rPr>
                  </w:pPr>
                  <w:r>
                    <w:rPr>
                      <w:color w:val="auto"/>
                      <w:kern w:val="0"/>
                      <w:sz w:val="21"/>
                      <w:szCs w:val="21"/>
                      <w:lang w:bidi="ar"/>
                    </w:rPr>
                    <w:t>16</w:t>
                  </w:r>
                </w:p>
              </w:tc>
              <w:tc>
                <w:tcPr>
                  <w:tcW w:w="565" w:type="dxa"/>
                  <w:tcBorders>
                    <w:tl2br w:val="nil"/>
                    <w:tr2bl w:val="nil"/>
                  </w:tcBorders>
                  <w:shd w:val="clear" w:color="auto" w:fill="auto"/>
                  <w:noWrap/>
                  <w:vAlign w:val="center"/>
                </w:tcPr>
                <w:p w14:paraId="1A654E91">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22.37</w:t>
                  </w:r>
                </w:p>
              </w:tc>
              <w:tc>
                <w:tcPr>
                  <w:tcW w:w="593" w:type="dxa"/>
                  <w:tcBorders>
                    <w:tl2br w:val="nil"/>
                    <w:tr2bl w:val="nil"/>
                  </w:tcBorders>
                  <w:shd w:val="clear" w:color="auto" w:fill="auto"/>
                  <w:noWrap/>
                  <w:vAlign w:val="center"/>
                </w:tcPr>
                <w:p w14:paraId="24450F66">
                  <w:pPr>
                    <w:widowControl/>
                    <w:spacing w:line="360" w:lineRule="exact"/>
                    <w:ind w:firstLine="0" w:firstLineChars="0"/>
                    <w:jc w:val="center"/>
                    <w:textAlignment w:val="center"/>
                    <w:rPr>
                      <w:color w:val="auto"/>
                      <w:sz w:val="21"/>
                      <w:szCs w:val="21"/>
                    </w:rPr>
                  </w:pPr>
                  <w:r>
                    <w:rPr>
                      <w:color w:val="auto"/>
                      <w:kern w:val="0"/>
                      <w:sz w:val="21"/>
                      <w:szCs w:val="21"/>
                      <w:lang w:bidi="ar"/>
                    </w:rPr>
                    <w:t>1</w:t>
                  </w:r>
                </w:p>
              </w:tc>
            </w:tr>
            <w:tr w14:paraId="6A1B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20" w:type="dxa"/>
                  <w:tcBorders>
                    <w:tl2br w:val="nil"/>
                    <w:tr2bl w:val="nil"/>
                  </w:tcBorders>
                  <w:shd w:val="clear" w:color="auto" w:fill="auto"/>
                  <w:noWrap/>
                  <w:vAlign w:val="center"/>
                </w:tcPr>
                <w:p w14:paraId="513DBE58">
                  <w:pPr>
                    <w:widowControl/>
                    <w:spacing w:line="360" w:lineRule="exact"/>
                    <w:ind w:firstLine="0" w:firstLineChars="0"/>
                    <w:jc w:val="center"/>
                    <w:textAlignment w:val="center"/>
                    <w:rPr>
                      <w:color w:val="000000"/>
                      <w:sz w:val="21"/>
                      <w:szCs w:val="21"/>
                    </w:rPr>
                  </w:pPr>
                  <w:r>
                    <w:rPr>
                      <w:color w:val="000000"/>
                      <w:kern w:val="0"/>
                      <w:sz w:val="21"/>
                      <w:szCs w:val="21"/>
                      <w:lang w:bidi="ar"/>
                    </w:rPr>
                    <w:t>2</w:t>
                  </w:r>
                </w:p>
              </w:tc>
              <w:tc>
                <w:tcPr>
                  <w:tcW w:w="1065" w:type="dxa"/>
                  <w:tcBorders>
                    <w:tl2br w:val="nil"/>
                    <w:tr2bl w:val="nil"/>
                  </w:tcBorders>
                  <w:shd w:val="clear" w:color="auto" w:fill="auto"/>
                  <w:noWrap/>
                  <w:vAlign w:val="center"/>
                </w:tcPr>
                <w:p w14:paraId="09343B04">
                  <w:pPr>
                    <w:widowControl/>
                    <w:spacing w:line="360" w:lineRule="exact"/>
                    <w:ind w:firstLine="0" w:firstLineChars="0"/>
                    <w:jc w:val="center"/>
                    <w:textAlignment w:val="center"/>
                    <w:rPr>
                      <w:color w:val="auto"/>
                      <w:sz w:val="21"/>
                      <w:szCs w:val="21"/>
                    </w:rPr>
                  </w:pPr>
                  <w:r>
                    <w:rPr>
                      <w:rFonts w:hint="eastAsia"/>
                      <w:color w:val="auto"/>
                      <w:sz w:val="21"/>
                      <w:szCs w:val="21"/>
                      <w:lang w:val="en-US" w:eastAsia="zh-CN"/>
                    </w:rPr>
                    <w:t>筛分机</w:t>
                  </w:r>
                </w:p>
              </w:tc>
              <w:tc>
                <w:tcPr>
                  <w:tcW w:w="483" w:type="dxa"/>
                  <w:tcBorders>
                    <w:tl2br w:val="nil"/>
                    <w:tr2bl w:val="nil"/>
                  </w:tcBorders>
                  <w:shd w:val="clear" w:color="auto" w:fill="auto"/>
                  <w:noWrap/>
                  <w:vAlign w:val="center"/>
                </w:tcPr>
                <w:p w14:paraId="44EA1111">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65</w:t>
                  </w:r>
                </w:p>
              </w:tc>
              <w:tc>
                <w:tcPr>
                  <w:tcW w:w="333" w:type="dxa"/>
                  <w:vMerge w:val="continue"/>
                  <w:tcBorders>
                    <w:tl2br w:val="nil"/>
                    <w:tr2bl w:val="nil"/>
                  </w:tcBorders>
                  <w:shd w:val="clear" w:color="auto" w:fill="auto"/>
                  <w:noWrap/>
                  <w:vAlign w:val="center"/>
                </w:tcPr>
                <w:p w14:paraId="0B87A01A">
                  <w:pPr>
                    <w:widowControl/>
                    <w:spacing w:line="360" w:lineRule="exact"/>
                    <w:ind w:firstLine="0" w:firstLineChars="0"/>
                    <w:jc w:val="center"/>
                    <w:rPr>
                      <w:color w:val="auto"/>
                      <w:sz w:val="21"/>
                      <w:szCs w:val="21"/>
                    </w:rPr>
                  </w:pPr>
                </w:p>
              </w:tc>
              <w:tc>
                <w:tcPr>
                  <w:tcW w:w="523" w:type="dxa"/>
                  <w:tcBorders>
                    <w:tl2br w:val="nil"/>
                    <w:tr2bl w:val="nil"/>
                  </w:tcBorders>
                  <w:shd w:val="clear" w:color="auto" w:fill="auto"/>
                  <w:noWrap/>
                  <w:vAlign w:val="center"/>
                </w:tcPr>
                <w:p w14:paraId="6C691A88">
                  <w:pPr>
                    <w:widowControl/>
                    <w:spacing w:line="360" w:lineRule="exact"/>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2</w:t>
                  </w:r>
                </w:p>
              </w:tc>
              <w:tc>
                <w:tcPr>
                  <w:tcW w:w="498" w:type="dxa"/>
                  <w:tcBorders>
                    <w:tl2br w:val="nil"/>
                    <w:tr2bl w:val="nil"/>
                  </w:tcBorders>
                  <w:shd w:val="clear" w:color="auto" w:fill="auto"/>
                  <w:noWrap/>
                  <w:vAlign w:val="center"/>
                </w:tcPr>
                <w:p w14:paraId="1AFD8B6B">
                  <w:pPr>
                    <w:widowControl/>
                    <w:spacing w:line="360" w:lineRule="exact"/>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2</w:t>
                  </w:r>
                </w:p>
              </w:tc>
              <w:tc>
                <w:tcPr>
                  <w:tcW w:w="499" w:type="dxa"/>
                  <w:tcBorders>
                    <w:tl2br w:val="nil"/>
                    <w:tr2bl w:val="nil"/>
                  </w:tcBorders>
                  <w:shd w:val="clear" w:color="auto" w:fill="auto"/>
                  <w:noWrap/>
                  <w:vAlign w:val="center"/>
                </w:tcPr>
                <w:p w14:paraId="4EF4BA58">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1.2</w:t>
                  </w:r>
                </w:p>
              </w:tc>
              <w:tc>
                <w:tcPr>
                  <w:tcW w:w="660" w:type="dxa"/>
                  <w:tcBorders>
                    <w:tl2br w:val="nil"/>
                    <w:tr2bl w:val="nil"/>
                  </w:tcBorders>
                  <w:shd w:val="clear" w:color="auto" w:fill="auto"/>
                  <w:noWrap/>
                  <w:vAlign w:val="center"/>
                </w:tcPr>
                <w:p w14:paraId="7EF699A3">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4.16</w:t>
                  </w:r>
                </w:p>
              </w:tc>
              <w:tc>
                <w:tcPr>
                  <w:tcW w:w="538" w:type="dxa"/>
                  <w:tcBorders>
                    <w:tl2br w:val="nil"/>
                    <w:tr2bl w:val="nil"/>
                  </w:tcBorders>
                  <w:shd w:val="clear" w:color="auto" w:fill="auto"/>
                  <w:noWrap/>
                  <w:vAlign w:val="center"/>
                </w:tcPr>
                <w:p w14:paraId="3EFE597B">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 xml:space="preserve">42.28 </w:t>
                  </w:r>
                </w:p>
              </w:tc>
              <w:tc>
                <w:tcPr>
                  <w:tcW w:w="374" w:type="dxa"/>
                  <w:vMerge w:val="continue"/>
                  <w:tcBorders>
                    <w:tl2br w:val="nil"/>
                    <w:tr2bl w:val="nil"/>
                  </w:tcBorders>
                  <w:shd w:val="clear" w:color="auto" w:fill="auto"/>
                  <w:noWrap/>
                  <w:vAlign w:val="center"/>
                </w:tcPr>
                <w:p w14:paraId="6B064EF3">
                  <w:pPr>
                    <w:widowControl/>
                    <w:spacing w:line="360" w:lineRule="exact"/>
                    <w:ind w:firstLine="0" w:firstLineChars="0"/>
                    <w:jc w:val="center"/>
                    <w:rPr>
                      <w:color w:val="auto"/>
                      <w:sz w:val="21"/>
                      <w:szCs w:val="21"/>
                    </w:rPr>
                  </w:pPr>
                </w:p>
              </w:tc>
              <w:tc>
                <w:tcPr>
                  <w:tcW w:w="714" w:type="dxa"/>
                  <w:tcBorders>
                    <w:tl2br w:val="nil"/>
                    <w:tr2bl w:val="nil"/>
                  </w:tcBorders>
                  <w:shd w:val="clear" w:color="auto" w:fill="auto"/>
                  <w:noWrap/>
                  <w:vAlign w:val="center"/>
                </w:tcPr>
                <w:p w14:paraId="2574A491">
                  <w:pPr>
                    <w:widowControl/>
                    <w:spacing w:line="360" w:lineRule="exact"/>
                    <w:ind w:firstLine="0" w:firstLineChars="0"/>
                    <w:jc w:val="center"/>
                    <w:textAlignment w:val="center"/>
                    <w:rPr>
                      <w:color w:val="auto"/>
                      <w:sz w:val="21"/>
                      <w:szCs w:val="21"/>
                    </w:rPr>
                  </w:pPr>
                  <w:r>
                    <w:rPr>
                      <w:color w:val="auto"/>
                      <w:kern w:val="0"/>
                      <w:sz w:val="21"/>
                      <w:szCs w:val="21"/>
                      <w:lang w:bidi="ar"/>
                    </w:rPr>
                    <w:t>16</w:t>
                  </w:r>
                </w:p>
              </w:tc>
              <w:tc>
                <w:tcPr>
                  <w:tcW w:w="565" w:type="dxa"/>
                  <w:tcBorders>
                    <w:tl2br w:val="nil"/>
                    <w:tr2bl w:val="nil"/>
                  </w:tcBorders>
                  <w:shd w:val="clear" w:color="auto" w:fill="auto"/>
                  <w:noWrap/>
                  <w:vAlign w:val="center"/>
                </w:tcPr>
                <w:p w14:paraId="7A0DEDC2">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17.37</w:t>
                  </w:r>
                </w:p>
              </w:tc>
              <w:tc>
                <w:tcPr>
                  <w:tcW w:w="593" w:type="dxa"/>
                  <w:tcBorders>
                    <w:tl2br w:val="nil"/>
                    <w:tr2bl w:val="nil"/>
                  </w:tcBorders>
                  <w:shd w:val="clear" w:color="auto" w:fill="auto"/>
                  <w:noWrap/>
                  <w:vAlign w:val="center"/>
                </w:tcPr>
                <w:p w14:paraId="5BF7EB6E">
                  <w:pPr>
                    <w:widowControl/>
                    <w:spacing w:line="360" w:lineRule="exact"/>
                    <w:ind w:firstLine="0" w:firstLineChars="0"/>
                    <w:jc w:val="center"/>
                    <w:textAlignment w:val="center"/>
                    <w:rPr>
                      <w:color w:val="auto"/>
                      <w:sz w:val="21"/>
                      <w:szCs w:val="21"/>
                    </w:rPr>
                  </w:pPr>
                  <w:r>
                    <w:rPr>
                      <w:color w:val="auto"/>
                      <w:kern w:val="0"/>
                      <w:sz w:val="21"/>
                      <w:szCs w:val="21"/>
                      <w:lang w:bidi="ar"/>
                    </w:rPr>
                    <w:t>1</w:t>
                  </w:r>
                </w:p>
              </w:tc>
            </w:tr>
            <w:tr w14:paraId="1466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20" w:type="dxa"/>
                  <w:tcBorders>
                    <w:tl2br w:val="nil"/>
                    <w:tr2bl w:val="nil"/>
                  </w:tcBorders>
                  <w:shd w:val="clear" w:color="auto" w:fill="auto"/>
                  <w:noWrap/>
                  <w:vAlign w:val="center"/>
                </w:tcPr>
                <w:p w14:paraId="5A936A5C">
                  <w:pPr>
                    <w:widowControl/>
                    <w:spacing w:line="360" w:lineRule="exact"/>
                    <w:ind w:firstLine="0" w:firstLineChars="0"/>
                    <w:jc w:val="center"/>
                    <w:textAlignment w:val="center"/>
                    <w:rPr>
                      <w:color w:val="000000"/>
                      <w:sz w:val="21"/>
                      <w:szCs w:val="21"/>
                    </w:rPr>
                  </w:pPr>
                  <w:r>
                    <w:rPr>
                      <w:color w:val="000000"/>
                      <w:kern w:val="0"/>
                      <w:sz w:val="21"/>
                      <w:szCs w:val="21"/>
                      <w:lang w:bidi="ar"/>
                    </w:rPr>
                    <w:t>3</w:t>
                  </w:r>
                </w:p>
              </w:tc>
              <w:tc>
                <w:tcPr>
                  <w:tcW w:w="1065" w:type="dxa"/>
                  <w:tcBorders>
                    <w:tl2br w:val="nil"/>
                    <w:tr2bl w:val="nil"/>
                  </w:tcBorders>
                  <w:shd w:val="clear" w:color="auto" w:fill="auto"/>
                  <w:noWrap/>
                  <w:vAlign w:val="center"/>
                </w:tcPr>
                <w:p w14:paraId="54260AFE">
                  <w:pPr>
                    <w:widowControl/>
                    <w:spacing w:line="360" w:lineRule="exact"/>
                    <w:ind w:firstLine="0" w:firstLineChars="0"/>
                    <w:jc w:val="center"/>
                    <w:textAlignment w:val="center"/>
                    <w:rPr>
                      <w:color w:val="auto"/>
                      <w:sz w:val="21"/>
                      <w:szCs w:val="21"/>
                    </w:rPr>
                  </w:pPr>
                  <w:r>
                    <w:rPr>
                      <w:rFonts w:hint="eastAsia"/>
                      <w:color w:val="auto"/>
                      <w:sz w:val="21"/>
                      <w:szCs w:val="21"/>
                      <w:lang w:val="en-US" w:eastAsia="zh-CN"/>
                    </w:rPr>
                    <w:t>搅拌器</w:t>
                  </w:r>
                </w:p>
              </w:tc>
              <w:tc>
                <w:tcPr>
                  <w:tcW w:w="483" w:type="dxa"/>
                  <w:tcBorders>
                    <w:tl2br w:val="nil"/>
                    <w:tr2bl w:val="nil"/>
                  </w:tcBorders>
                  <w:shd w:val="clear" w:color="auto" w:fill="auto"/>
                  <w:noWrap/>
                  <w:vAlign w:val="center"/>
                </w:tcPr>
                <w:p w14:paraId="49E64736">
                  <w:pPr>
                    <w:widowControl/>
                    <w:spacing w:line="360" w:lineRule="exact"/>
                    <w:ind w:firstLine="0" w:firstLineChars="0"/>
                    <w:jc w:val="center"/>
                    <w:textAlignment w:val="center"/>
                    <w:rPr>
                      <w:rFonts w:hint="eastAsia" w:eastAsia="宋体"/>
                      <w:color w:val="auto"/>
                      <w:sz w:val="21"/>
                      <w:szCs w:val="21"/>
                      <w:lang w:eastAsia="zh-CN"/>
                    </w:rPr>
                  </w:pPr>
                  <w:r>
                    <w:rPr>
                      <w:rFonts w:hint="eastAsia"/>
                      <w:color w:val="auto"/>
                      <w:kern w:val="0"/>
                      <w:sz w:val="21"/>
                      <w:szCs w:val="21"/>
                      <w:lang w:val="en-US" w:eastAsia="zh-CN" w:bidi="ar"/>
                    </w:rPr>
                    <w:t>80</w:t>
                  </w:r>
                </w:p>
              </w:tc>
              <w:tc>
                <w:tcPr>
                  <w:tcW w:w="333" w:type="dxa"/>
                  <w:vMerge w:val="continue"/>
                  <w:tcBorders>
                    <w:tl2br w:val="nil"/>
                    <w:tr2bl w:val="nil"/>
                  </w:tcBorders>
                  <w:shd w:val="clear" w:color="auto" w:fill="auto"/>
                  <w:noWrap/>
                  <w:vAlign w:val="center"/>
                </w:tcPr>
                <w:p w14:paraId="468C4183">
                  <w:pPr>
                    <w:widowControl/>
                    <w:spacing w:line="360" w:lineRule="exact"/>
                    <w:ind w:firstLine="0" w:firstLineChars="0"/>
                    <w:jc w:val="center"/>
                    <w:rPr>
                      <w:color w:val="auto"/>
                      <w:sz w:val="21"/>
                      <w:szCs w:val="21"/>
                    </w:rPr>
                  </w:pPr>
                </w:p>
              </w:tc>
              <w:tc>
                <w:tcPr>
                  <w:tcW w:w="523" w:type="dxa"/>
                  <w:tcBorders>
                    <w:tl2br w:val="nil"/>
                    <w:tr2bl w:val="nil"/>
                  </w:tcBorders>
                  <w:shd w:val="clear" w:color="auto" w:fill="auto"/>
                  <w:noWrap/>
                  <w:vAlign w:val="center"/>
                </w:tcPr>
                <w:p w14:paraId="1F2025FE">
                  <w:pPr>
                    <w:widowControl/>
                    <w:spacing w:line="360" w:lineRule="exact"/>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1</w:t>
                  </w:r>
                </w:p>
              </w:tc>
              <w:tc>
                <w:tcPr>
                  <w:tcW w:w="498" w:type="dxa"/>
                  <w:tcBorders>
                    <w:tl2br w:val="nil"/>
                    <w:tr2bl w:val="nil"/>
                  </w:tcBorders>
                  <w:shd w:val="clear" w:color="auto" w:fill="auto"/>
                  <w:noWrap/>
                  <w:vAlign w:val="center"/>
                </w:tcPr>
                <w:p w14:paraId="42046AB1">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5</w:t>
                  </w:r>
                </w:p>
              </w:tc>
              <w:tc>
                <w:tcPr>
                  <w:tcW w:w="499" w:type="dxa"/>
                  <w:tcBorders>
                    <w:tl2br w:val="nil"/>
                    <w:tr2bl w:val="nil"/>
                  </w:tcBorders>
                  <w:shd w:val="clear" w:color="auto" w:fill="auto"/>
                  <w:noWrap/>
                  <w:vAlign w:val="center"/>
                </w:tcPr>
                <w:p w14:paraId="521E7090">
                  <w:pPr>
                    <w:widowControl/>
                    <w:spacing w:line="360" w:lineRule="exact"/>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6</w:t>
                  </w:r>
                </w:p>
              </w:tc>
              <w:tc>
                <w:tcPr>
                  <w:tcW w:w="660" w:type="dxa"/>
                  <w:tcBorders>
                    <w:tl2br w:val="nil"/>
                    <w:tr2bl w:val="nil"/>
                  </w:tcBorders>
                  <w:shd w:val="clear" w:color="auto" w:fill="auto"/>
                  <w:noWrap/>
                  <w:vAlign w:val="center"/>
                </w:tcPr>
                <w:p w14:paraId="5ACF421C">
                  <w:pPr>
                    <w:widowControl/>
                    <w:spacing w:line="360" w:lineRule="exact"/>
                    <w:ind w:firstLine="0" w:firstLineChars="0"/>
                    <w:jc w:val="center"/>
                    <w:textAlignment w:val="center"/>
                    <w:rPr>
                      <w:rFonts w:hint="default"/>
                      <w:color w:val="auto"/>
                      <w:lang w:val="en-US" w:eastAsia="zh-CN"/>
                    </w:rPr>
                  </w:pPr>
                  <w:r>
                    <w:rPr>
                      <w:rFonts w:hint="eastAsia"/>
                      <w:color w:val="auto"/>
                      <w:sz w:val="21"/>
                      <w:szCs w:val="21"/>
                      <w:lang w:val="en-US" w:eastAsia="zh-CN"/>
                    </w:rPr>
                    <w:t>7.94</w:t>
                  </w:r>
                </w:p>
              </w:tc>
              <w:tc>
                <w:tcPr>
                  <w:tcW w:w="538" w:type="dxa"/>
                  <w:tcBorders>
                    <w:tl2br w:val="nil"/>
                    <w:tr2bl w:val="nil"/>
                  </w:tcBorders>
                  <w:shd w:val="clear" w:color="auto" w:fill="auto"/>
                  <w:noWrap/>
                  <w:vAlign w:val="center"/>
                </w:tcPr>
                <w:p w14:paraId="2D7F7FE2">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 xml:space="preserve">57.28 </w:t>
                  </w:r>
                </w:p>
              </w:tc>
              <w:tc>
                <w:tcPr>
                  <w:tcW w:w="374" w:type="dxa"/>
                  <w:vMerge w:val="continue"/>
                  <w:tcBorders>
                    <w:tl2br w:val="nil"/>
                    <w:tr2bl w:val="nil"/>
                  </w:tcBorders>
                  <w:shd w:val="clear" w:color="auto" w:fill="auto"/>
                  <w:noWrap/>
                  <w:vAlign w:val="center"/>
                </w:tcPr>
                <w:p w14:paraId="44389E4C">
                  <w:pPr>
                    <w:widowControl/>
                    <w:spacing w:line="360" w:lineRule="exact"/>
                    <w:ind w:firstLine="0" w:firstLineChars="0"/>
                    <w:jc w:val="center"/>
                    <w:rPr>
                      <w:color w:val="auto"/>
                      <w:sz w:val="21"/>
                      <w:szCs w:val="21"/>
                    </w:rPr>
                  </w:pPr>
                </w:p>
              </w:tc>
              <w:tc>
                <w:tcPr>
                  <w:tcW w:w="714" w:type="dxa"/>
                  <w:tcBorders>
                    <w:tl2br w:val="nil"/>
                    <w:tr2bl w:val="nil"/>
                  </w:tcBorders>
                  <w:shd w:val="clear" w:color="auto" w:fill="auto"/>
                  <w:noWrap/>
                  <w:vAlign w:val="center"/>
                </w:tcPr>
                <w:p w14:paraId="36A711C3">
                  <w:pPr>
                    <w:widowControl/>
                    <w:spacing w:line="360" w:lineRule="exact"/>
                    <w:ind w:firstLine="0" w:firstLineChars="0"/>
                    <w:jc w:val="center"/>
                    <w:textAlignment w:val="center"/>
                    <w:rPr>
                      <w:color w:val="auto"/>
                      <w:sz w:val="21"/>
                      <w:szCs w:val="21"/>
                    </w:rPr>
                  </w:pPr>
                  <w:r>
                    <w:rPr>
                      <w:color w:val="auto"/>
                      <w:kern w:val="0"/>
                      <w:sz w:val="21"/>
                      <w:szCs w:val="21"/>
                      <w:lang w:bidi="ar"/>
                    </w:rPr>
                    <w:t>16</w:t>
                  </w:r>
                </w:p>
              </w:tc>
              <w:tc>
                <w:tcPr>
                  <w:tcW w:w="565" w:type="dxa"/>
                  <w:tcBorders>
                    <w:tl2br w:val="nil"/>
                    <w:tr2bl w:val="nil"/>
                  </w:tcBorders>
                  <w:shd w:val="clear" w:color="auto" w:fill="auto"/>
                  <w:noWrap/>
                  <w:vAlign w:val="center"/>
                </w:tcPr>
                <w:p w14:paraId="49275CB3">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32.37</w:t>
                  </w:r>
                </w:p>
              </w:tc>
              <w:tc>
                <w:tcPr>
                  <w:tcW w:w="593" w:type="dxa"/>
                  <w:tcBorders>
                    <w:tl2br w:val="nil"/>
                    <w:tr2bl w:val="nil"/>
                  </w:tcBorders>
                  <w:shd w:val="clear" w:color="auto" w:fill="auto"/>
                  <w:noWrap/>
                  <w:vAlign w:val="center"/>
                </w:tcPr>
                <w:p w14:paraId="60CCC764">
                  <w:pPr>
                    <w:widowControl/>
                    <w:spacing w:line="360" w:lineRule="exact"/>
                    <w:ind w:firstLine="0" w:firstLineChars="0"/>
                    <w:jc w:val="center"/>
                    <w:textAlignment w:val="center"/>
                    <w:rPr>
                      <w:color w:val="auto"/>
                      <w:sz w:val="21"/>
                      <w:szCs w:val="21"/>
                    </w:rPr>
                  </w:pPr>
                  <w:r>
                    <w:rPr>
                      <w:color w:val="auto"/>
                      <w:kern w:val="0"/>
                      <w:sz w:val="21"/>
                      <w:szCs w:val="21"/>
                      <w:lang w:bidi="ar"/>
                    </w:rPr>
                    <w:t>1</w:t>
                  </w:r>
                </w:p>
              </w:tc>
            </w:tr>
            <w:tr w14:paraId="7CA4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420" w:type="dxa"/>
                  <w:tcBorders>
                    <w:tl2br w:val="nil"/>
                    <w:tr2bl w:val="nil"/>
                  </w:tcBorders>
                  <w:shd w:val="clear" w:color="auto" w:fill="auto"/>
                  <w:noWrap/>
                  <w:vAlign w:val="center"/>
                </w:tcPr>
                <w:p w14:paraId="7CB96AC9">
                  <w:pPr>
                    <w:widowControl/>
                    <w:spacing w:line="360" w:lineRule="exact"/>
                    <w:ind w:firstLine="0" w:firstLineChars="0"/>
                    <w:jc w:val="center"/>
                    <w:textAlignment w:val="center"/>
                    <w:rPr>
                      <w:color w:val="000000"/>
                      <w:sz w:val="21"/>
                      <w:szCs w:val="21"/>
                    </w:rPr>
                  </w:pPr>
                  <w:r>
                    <w:rPr>
                      <w:color w:val="000000"/>
                      <w:kern w:val="0"/>
                      <w:sz w:val="21"/>
                      <w:szCs w:val="21"/>
                      <w:lang w:bidi="ar"/>
                    </w:rPr>
                    <w:t>4</w:t>
                  </w:r>
                </w:p>
              </w:tc>
              <w:tc>
                <w:tcPr>
                  <w:tcW w:w="1065" w:type="dxa"/>
                  <w:tcBorders>
                    <w:tl2br w:val="nil"/>
                    <w:tr2bl w:val="nil"/>
                  </w:tcBorders>
                  <w:shd w:val="clear" w:color="auto" w:fill="auto"/>
                  <w:noWrap/>
                  <w:vAlign w:val="center"/>
                </w:tcPr>
                <w:p w14:paraId="181EF0FA">
                  <w:pPr>
                    <w:widowControl/>
                    <w:spacing w:line="360" w:lineRule="exact"/>
                    <w:ind w:firstLine="0" w:firstLineChars="0"/>
                    <w:jc w:val="center"/>
                    <w:textAlignment w:val="center"/>
                    <w:rPr>
                      <w:color w:val="auto"/>
                      <w:sz w:val="21"/>
                      <w:szCs w:val="21"/>
                    </w:rPr>
                  </w:pPr>
                  <w:r>
                    <w:rPr>
                      <w:rFonts w:hint="eastAsia"/>
                      <w:color w:val="auto"/>
                      <w:sz w:val="21"/>
                      <w:szCs w:val="21"/>
                      <w:lang w:val="en-US" w:eastAsia="zh-CN"/>
                    </w:rPr>
                    <w:t>引风机9-2（废气处理系统）</w:t>
                  </w:r>
                </w:p>
              </w:tc>
              <w:tc>
                <w:tcPr>
                  <w:tcW w:w="483" w:type="dxa"/>
                  <w:tcBorders>
                    <w:tl2br w:val="nil"/>
                    <w:tr2bl w:val="nil"/>
                  </w:tcBorders>
                  <w:shd w:val="clear" w:color="auto" w:fill="auto"/>
                  <w:noWrap/>
                  <w:vAlign w:val="center"/>
                </w:tcPr>
                <w:p w14:paraId="5D9FD499">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kern w:val="0"/>
                      <w:sz w:val="21"/>
                      <w:szCs w:val="21"/>
                      <w:lang w:val="en-US" w:eastAsia="zh-CN" w:bidi="ar"/>
                    </w:rPr>
                    <w:t>65</w:t>
                  </w:r>
                </w:p>
              </w:tc>
              <w:tc>
                <w:tcPr>
                  <w:tcW w:w="333" w:type="dxa"/>
                  <w:vMerge w:val="continue"/>
                  <w:tcBorders>
                    <w:tl2br w:val="nil"/>
                    <w:tr2bl w:val="nil"/>
                  </w:tcBorders>
                  <w:shd w:val="clear" w:color="auto" w:fill="auto"/>
                  <w:noWrap/>
                  <w:vAlign w:val="center"/>
                </w:tcPr>
                <w:p w14:paraId="53E01388">
                  <w:pPr>
                    <w:widowControl/>
                    <w:spacing w:line="360" w:lineRule="exact"/>
                    <w:ind w:firstLine="0" w:firstLineChars="0"/>
                    <w:jc w:val="center"/>
                    <w:rPr>
                      <w:color w:val="auto"/>
                      <w:sz w:val="21"/>
                      <w:szCs w:val="21"/>
                    </w:rPr>
                  </w:pPr>
                </w:p>
              </w:tc>
              <w:tc>
                <w:tcPr>
                  <w:tcW w:w="523" w:type="dxa"/>
                  <w:tcBorders>
                    <w:tl2br w:val="nil"/>
                    <w:tr2bl w:val="nil"/>
                  </w:tcBorders>
                  <w:shd w:val="clear" w:color="auto" w:fill="auto"/>
                  <w:noWrap/>
                  <w:vAlign w:val="center"/>
                </w:tcPr>
                <w:p w14:paraId="04A33A86">
                  <w:pPr>
                    <w:widowControl/>
                    <w:spacing w:line="360" w:lineRule="exact"/>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498" w:type="dxa"/>
                  <w:tcBorders>
                    <w:tl2br w:val="nil"/>
                    <w:tr2bl w:val="nil"/>
                  </w:tcBorders>
                  <w:shd w:val="clear" w:color="auto" w:fill="auto"/>
                  <w:noWrap/>
                  <w:vAlign w:val="center"/>
                </w:tcPr>
                <w:p w14:paraId="10117646">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2</w:t>
                  </w:r>
                </w:p>
              </w:tc>
              <w:tc>
                <w:tcPr>
                  <w:tcW w:w="499" w:type="dxa"/>
                  <w:tcBorders>
                    <w:tl2br w:val="nil"/>
                    <w:tr2bl w:val="nil"/>
                  </w:tcBorders>
                  <w:shd w:val="clear" w:color="auto" w:fill="auto"/>
                  <w:noWrap/>
                  <w:vAlign w:val="center"/>
                </w:tcPr>
                <w:p w14:paraId="24BC788A">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1.2</w:t>
                  </w:r>
                </w:p>
              </w:tc>
              <w:tc>
                <w:tcPr>
                  <w:tcW w:w="660" w:type="dxa"/>
                  <w:tcBorders>
                    <w:tl2br w:val="nil"/>
                    <w:tr2bl w:val="nil"/>
                  </w:tcBorders>
                  <w:shd w:val="clear" w:color="auto" w:fill="auto"/>
                  <w:noWrap/>
                  <w:vAlign w:val="center"/>
                </w:tcPr>
                <w:p w14:paraId="36EC231C">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2.63</w:t>
                  </w:r>
                </w:p>
              </w:tc>
              <w:tc>
                <w:tcPr>
                  <w:tcW w:w="538" w:type="dxa"/>
                  <w:tcBorders>
                    <w:tl2br w:val="nil"/>
                    <w:tr2bl w:val="nil"/>
                  </w:tcBorders>
                  <w:shd w:val="clear" w:color="auto" w:fill="auto"/>
                  <w:noWrap/>
                  <w:vAlign w:val="center"/>
                </w:tcPr>
                <w:p w14:paraId="0785C461">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 xml:space="preserve">42.28 </w:t>
                  </w:r>
                </w:p>
              </w:tc>
              <w:tc>
                <w:tcPr>
                  <w:tcW w:w="374" w:type="dxa"/>
                  <w:vMerge w:val="continue"/>
                  <w:tcBorders>
                    <w:tl2br w:val="nil"/>
                    <w:tr2bl w:val="nil"/>
                  </w:tcBorders>
                  <w:shd w:val="clear" w:color="auto" w:fill="auto"/>
                  <w:noWrap/>
                  <w:vAlign w:val="center"/>
                </w:tcPr>
                <w:p w14:paraId="357DC7DA">
                  <w:pPr>
                    <w:widowControl/>
                    <w:spacing w:line="360" w:lineRule="exact"/>
                    <w:ind w:firstLine="0" w:firstLineChars="0"/>
                    <w:jc w:val="center"/>
                    <w:rPr>
                      <w:color w:val="auto"/>
                      <w:sz w:val="21"/>
                      <w:szCs w:val="21"/>
                    </w:rPr>
                  </w:pPr>
                </w:p>
              </w:tc>
              <w:tc>
                <w:tcPr>
                  <w:tcW w:w="714" w:type="dxa"/>
                  <w:tcBorders>
                    <w:tl2br w:val="nil"/>
                    <w:tr2bl w:val="nil"/>
                  </w:tcBorders>
                  <w:shd w:val="clear" w:color="auto" w:fill="auto"/>
                  <w:noWrap/>
                  <w:vAlign w:val="center"/>
                </w:tcPr>
                <w:p w14:paraId="7D89E83C">
                  <w:pPr>
                    <w:widowControl/>
                    <w:spacing w:line="360" w:lineRule="exact"/>
                    <w:ind w:firstLine="0" w:firstLineChars="0"/>
                    <w:jc w:val="center"/>
                    <w:textAlignment w:val="center"/>
                    <w:rPr>
                      <w:color w:val="auto"/>
                      <w:sz w:val="21"/>
                      <w:szCs w:val="21"/>
                    </w:rPr>
                  </w:pPr>
                  <w:r>
                    <w:rPr>
                      <w:color w:val="auto"/>
                      <w:kern w:val="0"/>
                      <w:sz w:val="21"/>
                      <w:szCs w:val="21"/>
                      <w:lang w:bidi="ar"/>
                    </w:rPr>
                    <w:t>16</w:t>
                  </w:r>
                </w:p>
              </w:tc>
              <w:tc>
                <w:tcPr>
                  <w:tcW w:w="565" w:type="dxa"/>
                  <w:tcBorders>
                    <w:tl2br w:val="nil"/>
                    <w:tr2bl w:val="nil"/>
                  </w:tcBorders>
                  <w:shd w:val="clear" w:color="auto" w:fill="auto"/>
                  <w:noWrap/>
                  <w:vAlign w:val="center"/>
                </w:tcPr>
                <w:p w14:paraId="1FA42CC8">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17.37</w:t>
                  </w:r>
                </w:p>
              </w:tc>
              <w:tc>
                <w:tcPr>
                  <w:tcW w:w="593" w:type="dxa"/>
                  <w:tcBorders>
                    <w:tl2br w:val="nil"/>
                    <w:tr2bl w:val="nil"/>
                  </w:tcBorders>
                  <w:shd w:val="clear" w:color="auto" w:fill="auto"/>
                  <w:noWrap/>
                  <w:vAlign w:val="center"/>
                </w:tcPr>
                <w:p w14:paraId="2A8B5ABA">
                  <w:pPr>
                    <w:widowControl/>
                    <w:spacing w:line="360" w:lineRule="exact"/>
                    <w:ind w:firstLine="0" w:firstLineChars="0"/>
                    <w:jc w:val="center"/>
                    <w:textAlignment w:val="center"/>
                    <w:rPr>
                      <w:color w:val="auto"/>
                      <w:sz w:val="21"/>
                      <w:szCs w:val="21"/>
                    </w:rPr>
                  </w:pPr>
                  <w:r>
                    <w:rPr>
                      <w:color w:val="auto"/>
                      <w:kern w:val="0"/>
                      <w:sz w:val="21"/>
                      <w:szCs w:val="21"/>
                      <w:lang w:bidi="ar"/>
                    </w:rPr>
                    <w:t>1</w:t>
                  </w:r>
                </w:p>
              </w:tc>
            </w:tr>
            <w:tr w14:paraId="2A75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420" w:type="dxa"/>
                  <w:tcBorders>
                    <w:tl2br w:val="nil"/>
                    <w:tr2bl w:val="nil"/>
                  </w:tcBorders>
                  <w:shd w:val="clear" w:color="auto" w:fill="auto"/>
                  <w:noWrap/>
                  <w:vAlign w:val="center"/>
                </w:tcPr>
                <w:p w14:paraId="3192E1D2">
                  <w:pPr>
                    <w:widowControl/>
                    <w:spacing w:line="360" w:lineRule="exact"/>
                    <w:ind w:firstLine="0" w:firstLineChars="0"/>
                    <w:jc w:val="center"/>
                    <w:textAlignment w:val="center"/>
                    <w:rPr>
                      <w:color w:val="000000"/>
                      <w:sz w:val="21"/>
                      <w:szCs w:val="21"/>
                    </w:rPr>
                  </w:pPr>
                  <w:r>
                    <w:rPr>
                      <w:color w:val="000000"/>
                      <w:kern w:val="0"/>
                      <w:sz w:val="21"/>
                      <w:szCs w:val="21"/>
                      <w:lang w:bidi="ar"/>
                    </w:rPr>
                    <w:t>5</w:t>
                  </w:r>
                </w:p>
              </w:tc>
              <w:tc>
                <w:tcPr>
                  <w:tcW w:w="1065" w:type="dxa"/>
                  <w:tcBorders>
                    <w:tl2br w:val="nil"/>
                    <w:tr2bl w:val="nil"/>
                  </w:tcBorders>
                  <w:shd w:val="clear" w:color="auto" w:fill="auto"/>
                  <w:noWrap/>
                  <w:vAlign w:val="center"/>
                </w:tcPr>
                <w:p w14:paraId="7D0786CD">
                  <w:pPr>
                    <w:widowControl/>
                    <w:spacing w:line="360" w:lineRule="exact"/>
                    <w:ind w:firstLine="0" w:firstLineChars="0"/>
                    <w:jc w:val="center"/>
                    <w:textAlignment w:val="center"/>
                    <w:rPr>
                      <w:color w:val="auto"/>
                      <w:sz w:val="21"/>
                      <w:szCs w:val="21"/>
                    </w:rPr>
                  </w:pPr>
                  <w:r>
                    <w:rPr>
                      <w:rFonts w:hint="eastAsia"/>
                      <w:color w:val="auto"/>
                      <w:sz w:val="21"/>
                      <w:szCs w:val="21"/>
                      <w:lang w:val="en-US" w:eastAsia="zh-CN"/>
                    </w:rPr>
                    <w:t>空压机（矿粉筒仓配套）</w:t>
                  </w:r>
                </w:p>
              </w:tc>
              <w:tc>
                <w:tcPr>
                  <w:tcW w:w="483" w:type="dxa"/>
                  <w:tcBorders>
                    <w:tl2br w:val="nil"/>
                    <w:tr2bl w:val="nil"/>
                  </w:tcBorders>
                  <w:shd w:val="clear" w:color="auto" w:fill="auto"/>
                  <w:noWrap/>
                  <w:vAlign w:val="center"/>
                </w:tcPr>
                <w:p w14:paraId="12CED96D">
                  <w:pPr>
                    <w:widowControl/>
                    <w:spacing w:line="360" w:lineRule="exact"/>
                    <w:ind w:firstLine="0" w:firstLineChars="0"/>
                    <w:jc w:val="center"/>
                    <w:textAlignment w:val="center"/>
                    <w:rPr>
                      <w:color w:val="auto"/>
                      <w:sz w:val="21"/>
                      <w:szCs w:val="21"/>
                    </w:rPr>
                  </w:pPr>
                  <w:r>
                    <w:rPr>
                      <w:rFonts w:hint="eastAsia"/>
                      <w:color w:val="auto"/>
                      <w:kern w:val="0"/>
                      <w:sz w:val="21"/>
                      <w:szCs w:val="21"/>
                      <w:lang w:val="en-US" w:eastAsia="zh-CN" w:bidi="ar"/>
                    </w:rPr>
                    <w:t>6</w:t>
                  </w:r>
                  <w:r>
                    <w:rPr>
                      <w:color w:val="auto"/>
                      <w:kern w:val="0"/>
                      <w:sz w:val="21"/>
                      <w:szCs w:val="21"/>
                      <w:lang w:bidi="ar"/>
                    </w:rPr>
                    <w:t>0</w:t>
                  </w:r>
                </w:p>
              </w:tc>
              <w:tc>
                <w:tcPr>
                  <w:tcW w:w="333" w:type="dxa"/>
                  <w:vMerge w:val="continue"/>
                  <w:tcBorders>
                    <w:tl2br w:val="nil"/>
                    <w:tr2bl w:val="nil"/>
                  </w:tcBorders>
                  <w:shd w:val="clear" w:color="auto" w:fill="auto"/>
                  <w:noWrap/>
                  <w:vAlign w:val="center"/>
                </w:tcPr>
                <w:p w14:paraId="0CFF3AC9">
                  <w:pPr>
                    <w:widowControl/>
                    <w:spacing w:line="360" w:lineRule="exact"/>
                    <w:ind w:firstLine="0" w:firstLineChars="0"/>
                    <w:jc w:val="center"/>
                    <w:rPr>
                      <w:color w:val="auto"/>
                      <w:sz w:val="21"/>
                      <w:szCs w:val="21"/>
                    </w:rPr>
                  </w:pPr>
                </w:p>
              </w:tc>
              <w:tc>
                <w:tcPr>
                  <w:tcW w:w="523" w:type="dxa"/>
                  <w:tcBorders>
                    <w:tl2br w:val="nil"/>
                    <w:tr2bl w:val="nil"/>
                  </w:tcBorders>
                  <w:shd w:val="clear" w:color="auto" w:fill="auto"/>
                  <w:noWrap/>
                  <w:vAlign w:val="center"/>
                </w:tcPr>
                <w:p w14:paraId="7E70AEE6">
                  <w:pPr>
                    <w:widowControl/>
                    <w:spacing w:line="360" w:lineRule="exact"/>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2</w:t>
                  </w:r>
                </w:p>
              </w:tc>
              <w:tc>
                <w:tcPr>
                  <w:tcW w:w="498" w:type="dxa"/>
                  <w:tcBorders>
                    <w:tl2br w:val="nil"/>
                    <w:tr2bl w:val="nil"/>
                  </w:tcBorders>
                  <w:shd w:val="clear" w:color="auto" w:fill="auto"/>
                  <w:noWrap/>
                  <w:vAlign w:val="center"/>
                </w:tcPr>
                <w:p w14:paraId="429DAFD2">
                  <w:pPr>
                    <w:widowControl/>
                    <w:spacing w:line="360" w:lineRule="exact"/>
                    <w:ind w:firstLine="0" w:firstLineChars="0"/>
                    <w:jc w:val="center"/>
                    <w:textAlignment w:val="center"/>
                    <w:rPr>
                      <w:rFonts w:hint="eastAsia" w:eastAsia="宋体"/>
                      <w:color w:val="auto"/>
                      <w:sz w:val="21"/>
                      <w:szCs w:val="21"/>
                      <w:lang w:val="en-US" w:eastAsia="zh-CN"/>
                    </w:rPr>
                  </w:pPr>
                  <w:r>
                    <w:rPr>
                      <w:rFonts w:hint="eastAsia"/>
                      <w:color w:val="auto"/>
                      <w:sz w:val="21"/>
                      <w:szCs w:val="21"/>
                      <w:lang w:val="en-US" w:eastAsia="zh-CN"/>
                    </w:rPr>
                    <w:t>5</w:t>
                  </w:r>
                </w:p>
              </w:tc>
              <w:tc>
                <w:tcPr>
                  <w:tcW w:w="499" w:type="dxa"/>
                  <w:tcBorders>
                    <w:tl2br w:val="nil"/>
                    <w:tr2bl w:val="nil"/>
                  </w:tcBorders>
                  <w:shd w:val="clear" w:color="auto" w:fill="auto"/>
                  <w:noWrap/>
                  <w:vAlign w:val="center"/>
                </w:tcPr>
                <w:p w14:paraId="0F3F18D3">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10</w:t>
                  </w:r>
                </w:p>
              </w:tc>
              <w:tc>
                <w:tcPr>
                  <w:tcW w:w="660" w:type="dxa"/>
                  <w:tcBorders>
                    <w:tl2br w:val="nil"/>
                    <w:tr2bl w:val="nil"/>
                  </w:tcBorders>
                  <w:shd w:val="clear" w:color="auto" w:fill="auto"/>
                  <w:noWrap/>
                  <w:vAlign w:val="center"/>
                </w:tcPr>
                <w:p w14:paraId="3C79175E">
                  <w:pPr>
                    <w:widowControl/>
                    <w:spacing w:line="360" w:lineRule="exact"/>
                    <w:ind w:firstLine="0" w:firstLineChars="0"/>
                    <w:jc w:val="center"/>
                    <w:textAlignment w:val="center"/>
                    <w:rPr>
                      <w:rFonts w:hint="default" w:eastAsia="宋体"/>
                      <w:color w:val="auto"/>
                      <w:sz w:val="21"/>
                      <w:szCs w:val="21"/>
                      <w:lang w:val="en-US" w:eastAsia="zh-CN"/>
                    </w:rPr>
                  </w:pPr>
                  <w:r>
                    <w:rPr>
                      <w:rFonts w:hint="eastAsia"/>
                      <w:color w:val="auto"/>
                      <w:sz w:val="21"/>
                      <w:szCs w:val="21"/>
                      <w:lang w:val="en-US" w:eastAsia="zh-CN"/>
                    </w:rPr>
                    <w:t>3.87</w:t>
                  </w:r>
                </w:p>
              </w:tc>
              <w:tc>
                <w:tcPr>
                  <w:tcW w:w="538" w:type="dxa"/>
                  <w:tcBorders>
                    <w:tl2br w:val="nil"/>
                    <w:tr2bl w:val="nil"/>
                  </w:tcBorders>
                  <w:shd w:val="clear" w:color="auto" w:fill="auto"/>
                  <w:noWrap/>
                  <w:vAlign w:val="center"/>
                </w:tcPr>
                <w:p w14:paraId="5F7FE5F8">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 xml:space="preserve">37.28 </w:t>
                  </w:r>
                </w:p>
              </w:tc>
              <w:tc>
                <w:tcPr>
                  <w:tcW w:w="374" w:type="dxa"/>
                  <w:vMerge w:val="continue"/>
                  <w:tcBorders>
                    <w:tl2br w:val="nil"/>
                    <w:tr2bl w:val="nil"/>
                  </w:tcBorders>
                  <w:shd w:val="clear" w:color="auto" w:fill="auto"/>
                  <w:noWrap/>
                  <w:vAlign w:val="center"/>
                </w:tcPr>
                <w:p w14:paraId="2176A9EA">
                  <w:pPr>
                    <w:widowControl/>
                    <w:spacing w:line="360" w:lineRule="exact"/>
                    <w:ind w:firstLine="0" w:firstLineChars="0"/>
                    <w:jc w:val="center"/>
                    <w:rPr>
                      <w:color w:val="auto"/>
                      <w:sz w:val="21"/>
                      <w:szCs w:val="21"/>
                    </w:rPr>
                  </w:pPr>
                </w:p>
              </w:tc>
              <w:tc>
                <w:tcPr>
                  <w:tcW w:w="714" w:type="dxa"/>
                  <w:tcBorders>
                    <w:tl2br w:val="nil"/>
                    <w:tr2bl w:val="nil"/>
                  </w:tcBorders>
                  <w:shd w:val="clear" w:color="auto" w:fill="auto"/>
                  <w:noWrap/>
                  <w:vAlign w:val="center"/>
                </w:tcPr>
                <w:p w14:paraId="591F66F7">
                  <w:pPr>
                    <w:widowControl/>
                    <w:spacing w:line="360" w:lineRule="exact"/>
                    <w:ind w:firstLine="0" w:firstLineChars="0"/>
                    <w:jc w:val="center"/>
                    <w:textAlignment w:val="center"/>
                    <w:rPr>
                      <w:color w:val="auto"/>
                      <w:sz w:val="21"/>
                      <w:szCs w:val="21"/>
                    </w:rPr>
                  </w:pPr>
                  <w:r>
                    <w:rPr>
                      <w:color w:val="auto"/>
                      <w:kern w:val="0"/>
                      <w:sz w:val="21"/>
                      <w:szCs w:val="21"/>
                      <w:lang w:bidi="ar"/>
                    </w:rPr>
                    <w:t>16</w:t>
                  </w:r>
                </w:p>
              </w:tc>
              <w:tc>
                <w:tcPr>
                  <w:tcW w:w="565" w:type="dxa"/>
                  <w:tcBorders>
                    <w:tl2br w:val="nil"/>
                    <w:tr2bl w:val="nil"/>
                  </w:tcBorders>
                  <w:shd w:val="clear" w:color="auto" w:fill="auto"/>
                  <w:noWrap/>
                  <w:vAlign w:val="center"/>
                </w:tcPr>
                <w:p w14:paraId="25750E6B">
                  <w:pPr>
                    <w:widowControl/>
                    <w:spacing w:line="360" w:lineRule="exact"/>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12.37</w:t>
                  </w:r>
                </w:p>
              </w:tc>
              <w:tc>
                <w:tcPr>
                  <w:tcW w:w="593" w:type="dxa"/>
                  <w:tcBorders>
                    <w:tl2br w:val="nil"/>
                    <w:tr2bl w:val="nil"/>
                  </w:tcBorders>
                  <w:shd w:val="clear" w:color="auto" w:fill="auto"/>
                  <w:noWrap/>
                  <w:vAlign w:val="center"/>
                </w:tcPr>
                <w:p w14:paraId="57E7E937">
                  <w:pPr>
                    <w:widowControl/>
                    <w:spacing w:line="360" w:lineRule="exact"/>
                    <w:ind w:firstLine="0" w:firstLineChars="0"/>
                    <w:jc w:val="center"/>
                    <w:textAlignment w:val="center"/>
                    <w:rPr>
                      <w:color w:val="auto"/>
                      <w:sz w:val="21"/>
                      <w:szCs w:val="21"/>
                    </w:rPr>
                  </w:pPr>
                  <w:r>
                    <w:rPr>
                      <w:color w:val="auto"/>
                      <w:kern w:val="0"/>
                      <w:sz w:val="21"/>
                      <w:szCs w:val="21"/>
                      <w:lang w:bidi="ar"/>
                    </w:rPr>
                    <w:t>1</w:t>
                  </w:r>
                </w:p>
              </w:tc>
            </w:tr>
          </w:tbl>
          <w:p w14:paraId="09946644">
            <w:pPr>
              <w:widowControl/>
              <w:spacing w:before="156" w:beforeLines="50"/>
              <w:ind w:firstLine="0" w:firstLineChars="0"/>
              <w:jc w:val="center"/>
              <w:rPr>
                <w:b/>
                <w:bCs/>
                <w:kern w:val="0"/>
                <w:sz w:val="21"/>
                <w:szCs w:val="21"/>
                <w:lang w:bidi="ar"/>
              </w:rPr>
            </w:pPr>
            <w:r>
              <w:rPr>
                <w:b/>
                <w:bCs/>
                <w:kern w:val="0"/>
                <w:sz w:val="21"/>
                <w:szCs w:val="21"/>
                <w:lang w:bidi="ar"/>
              </w:rPr>
              <w:t>表4-1</w:t>
            </w:r>
            <w:r>
              <w:rPr>
                <w:rFonts w:hint="eastAsia"/>
                <w:b/>
                <w:bCs/>
                <w:kern w:val="0"/>
                <w:sz w:val="21"/>
                <w:szCs w:val="21"/>
                <w:lang w:val="en-US" w:eastAsia="zh-CN" w:bidi="ar"/>
              </w:rPr>
              <w:t>6</w:t>
            </w:r>
            <w:r>
              <w:rPr>
                <w:rFonts w:hint="eastAsia"/>
                <w:b/>
                <w:bCs/>
                <w:kern w:val="0"/>
                <w:sz w:val="21"/>
                <w:szCs w:val="21"/>
                <w:lang w:bidi="ar"/>
              </w:rPr>
              <w:t xml:space="preserve">  </w:t>
            </w:r>
            <w:r>
              <w:rPr>
                <w:b/>
                <w:bCs/>
                <w:kern w:val="0"/>
                <w:sz w:val="21"/>
                <w:szCs w:val="21"/>
                <w:lang w:bidi="ar"/>
              </w:rPr>
              <w:t>项目工业企业噪声源强调查清单（室</w:t>
            </w:r>
            <w:r>
              <w:rPr>
                <w:rFonts w:hint="eastAsia"/>
                <w:b/>
                <w:bCs/>
                <w:kern w:val="0"/>
                <w:sz w:val="21"/>
                <w:szCs w:val="21"/>
                <w:lang w:bidi="ar"/>
              </w:rPr>
              <w:t>外</w:t>
            </w:r>
            <w:r>
              <w:rPr>
                <w:b/>
                <w:bCs/>
                <w:kern w:val="0"/>
                <w:sz w:val="21"/>
                <w:szCs w:val="21"/>
                <w:lang w:bidi="ar"/>
              </w:rPr>
              <w:t>声源）</w:t>
            </w:r>
          </w:p>
          <w:tbl>
            <w:tblPr>
              <w:tblStyle w:val="15"/>
              <w:tblW w:w="72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446"/>
              <w:gridCol w:w="1735"/>
              <w:gridCol w:w="687"/>
              <w:gridCol w:w="690"/>
              <w:gridCol w:w="667"/>
              <w:gridCol w:w="801"/>
              <w:gridCol w:w="677"/>
              <w:gridCol w:w="707"/>
              <w:gridCol w:w="860"/>
            </w:tblGrid>
            <w:tr w14:paraId="06467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vMerge w:val="restart"/>
                  <w:tcBorders>
                    <w:tl2br w:val="nil"/>
                    <w:tr2bl w:val="nil"/>
                  </w:tcBorders>
                  <w:shd w:val="clear" w:color="auto" w:fill="auto"/>
                  <w:noWrap/>
                  <w:vAlign w:val="center"/>
                </w:tcPr>
                <w:p w14:paraId="5C229B4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序号</w:t>
                  </w:r>
                </w:p>
              </w:tc>
              <w:tc>
                <w:tcPr>
                  <w:tcW w:w="1735" w:type="dxa"/>
                  <w:vMerge w:val="restart"/>
                  <w:tcBorders>
                    <w:right w:val="single" w:color="auto" w:sz="4" w:space="0"/>
                    <w:tl2br w:val="nil"/>
                    <w:tr2bl w:val="nil"/>
                  </w:tcBorders>
                  <w:shd w:val="clear" w:color="auto" w:fill="auto"/>
                  <w:noWrap/>
                  <w:vAlign w:val="center"/>
                </w:tcPr>
                <w:p w14:paraId="343DD88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声源名称</w:t>
                  </w:r>
                </w:p>
              </w:tc>
              <w:tc>
                <w:tcPr>
                  <w:tcW w:w="687" w:type="dxa"/>
                  <w:vMerge w:val="restart"/>
                  <w:tcBorders>
                    <w:left w:val="single" w:color="auto" w:sz="4" w:space="0"/>
                    <w:tl2br w:val="nil"/>
                    <w:tr2bl w:val="nil"/>
                  </w:tcBorders>
                  <w:shd w:val="clear" w:color="auto" w:fill="auto"/>
                  <w:noWrap/>
                  <w:vAlign w:val="center"/>
                </w:tcPr>
                <w:p w14:paraId="4AA57D8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型号</w:t>
                  </w:r>
                </w:p>
              </w:tc>
              <w:tc>
                <w:tcPr>
                  <w:tcW w:w="690" w:type="dxa"/>
                  <w:vMerge w:val="restart"/>
                  <w:tcBorders>
                    <w:tl2br w:val="nil"/>
                    <w:tr2bl w:val="nil"/>
                  </w:tcBorders>
                  <w:shd w:val="clear" w:color="auto" w:fill="auto"/>
                  <w:noWrap/>
                  <w:vAlign w:val="center"/>
                </w:tcPr>
                <w:p w14:paraId="42ED661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声源控制措施</w:t>
                  </w:r>
                </w:p>
              </w:tc>
              <w:tc>
                <w:tcPr>
                  <w:tcW w:w="667" w:type="dxa"/>
                  <w:vMerge w:val="restart"/>
                  <w:tcBorders>
                    <w:tl2br w:val="nil"/>
                    <w:tr2bl w:val="nil"/>
                  </w:tcBorders>
                  <w:shd w:val="clear" w:color="auto" w:fill="auto"/>
                  <w:noWrap/>
                  <w:vAlign w:val="center"/>
                </w:tcPr>
                <w:p w14:paraId="4E979AD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运行时段</w:t>
                  </w:r>
                </w:p>
              </w:tc>
              <w:tc>
                <w:tcPr>
                  <w:tcW w:w="2185" w:type="dxa"/>
                  <w:gridSpan w:val="3"/>
                  <w:tcBorders>
                    <w:tl2br w:val="nil"/>
                    <w:tr2bl w:val="nil"/>
                  </w:tcBorders>
                  <w:shd w:val="clear" w:color="auto" w:fill="auto"/>
                  <w:noWrap/>
                  <w:vAlign w:val="center"/>
                </w:tcPr>
                <w:p w14:paraId="06DFEC8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空间相对位置/m</w:t>
                  </w:r>
                </w:p>
              </w:tc>
              <w:tc>
                <w:tcPr>
                  <w:tcW w:w="860" w:type="dxa"/>
                  <w:vMerge w:val="restart"/>
                  <w:tcBorders>
                    <w:tl2br w:val="nil"/>
                    <w:tr2bl w:val="nil"/>
                  </w:tcBorders>
                  <w:shd w:val="clear" w:color="auto" w:fill="auto"/>
                  <w:noWrap/>
                  <w:vAlign w:val="center"/>
                </w:tcPr>
                <w:p w14:paraId="14EB1D7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声功率级/dB(A)</w:t>
                  </w:r>
                </w:p>
              </w:tc>
            </w:tr>
            <w:tr w14:paraId="3E939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44" w:hRule="atLeast"/>
                <w:jc w:val="center"/>
              </w:trPr>
              <w:tc>
                <w:tcPr>
                  <w:tcW w:w="446" w:type="dxa"/>
                  <w:vMerge w:val="continue"/>
                  <w:tcBorders>
                    <w:tl2br w:val="nil"/>
                    <w:tr2bl w:val="nil"/>
                  </w:tcBorders>
                  <w:shd w:val="clear" w:color="auto" w:fill="auto"/>
                  <w:noWrap/>
                  <w:vAlign w:val="center"/>
                </w:tcPr>
                <w:p w14:paraId="3E78D80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1735" w:type="dxa"/>
                  <w:vMerge w:val="continue"/>
                  <w:tcBorders>
                    <w:right w:val="single" w:color="auto" w:sz="4" w:space="0"/>
                    <w:tl2br w:val="nil"/>
                    <w:tr2bl w:val="nil"/>
                  </w:tcBorders>
                  <w:shd w:val="clear" w:color="auto" w:fill="auto"/>
                  <w:noWrap/>
                  <w:vAlign w:val="center"/>
                </w:tcPr>
                <w:p w14:paraId="7D8E245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87" w:type="dxa"/>
                  <w:vMerge w:val="continue"/>
                  <w:tcBorders>
                    <w:left w:val="single" w:color="auto" w:sz="4" w:space="0"/>
                    <w:tl2br w:val="nil"/>
                    <w:tr2bl w:val="nil"/>
                  </w:tcBorders>
                  <w:shd w:val="clear" w:color="auto" w:fill="auto"/>
                  <w:noWrap/>
                  <w:vAlign w:val="center"/>
                </w:tcPr>
                <w:p w14:paraId="291B504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90" w:type="dxa"/>
                  <w:vMerge w:val="continue"/>
                  <w:tcBorders>
                    <w:tl2br w:val="nil"/>
                    <w:tr2bl w:val="nil"/>
                  </w:tcBorders>
                  <w:shd w:val="clear" w:color="auto" w:fill="auto"/>
                  <w:noWrap/>
                  <w:vAlign w:val="center"/>
                </w:tcPr>
                <w:p w14:paraId="7549349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415417B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7180BCA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X</w:t>
                  </w:r>
                </w:p>
              </w:tc>
              <w:tc>
                <w:tcPr>
                  <w:tcW w:w="677" w:type="dxa"/>
                  <w:tcBorders>
                    <w:tl2br w:val="nil"/>
                    <w:tr2bl w:val="nil"/>
                  </w:tcBorders>
                  <w:shd w:val="clear" w:color="auto" w:fill="auto"/>
                  <w:noWrap/>
                  <w:vAlign w:val="center"/>
                </w:tcPr>
                <w:p w14:paraId="5F5FD8B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Y</w:t>
                  </w:r>
                </w:p>
              </w:tc>
              <w:tc>
                <w:tcPr>
                  <w:tcW w:w="707" w:type="dxa"/>
                  <w:tcBorders>
                    <w:tl2br w:val="nil"/>
                    <w:tr2bl w:val="nil"/>
                  </w:tcBorders>
                  <w:shd w:val="clear" w:color="auto" w:fill="auto"/>
                  <w:noWrap/>
                  <w:vAlign w:val="center"/>
                </w:tcPr>
                <w:p w14:paraId="6839570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Z</w:t>
                  </w:r>
                </w:p>
              </w:tc>
              <w:tc>
                <w:tcPr>
                  <w:tcW w:w="860" w:type="dxa"/>
                  <w:vMerge w:val="continue"/>
                  <w:tcBorders>
                    <w:tl2br w:val="nil"/>
                    <w:tr2bl w:val="nil"/>
                  </w:tcBorders>
                  <w:shd w:val="clear" w:color="auto" w:fill="auto"/>
                  <w:noWrap/>
                  <w:vAlign w:val="center"/>
                </w:tcPr>
                <w:p w14:paraId="76FBC1B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r>
            <w:tr w14:paraId="670C9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7" w:hRule="atLeast"/>
                <w:jc w:val="center"/>
              </w:trPr>
              <w:tc>
                <w:tcPr>
                  <w:tcW w:w="446" w:type="dxa"/>
                  <w:vMerge w:val="restart"/>
                  <w:tcBorders>
                    <w:tl2br w:val="nil"/>
                    <w:tr2bl w:val="nil"/>
                  </w:tcBorders>
                  <w:shd w:val="clear" w:color="auto" w:fill="auto"/>
                  <w:noWrap/>
                  <w:vAlign w:val="center"/>
                </w:tcPr>
                <w:p w14:paraId="50E0A83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1</w:t>
                  </w:r>
                </w:p>
              </w:tc>
              <w:tc>
                <w:tcPr>
                  <w:tcW w:w="1735" w:type="dxa"/>
                  <w:tcBorders>
                    <w:right w:val="single" w:color="auto" w:sz="4" w:space="0"/>
                    <w:tl2br w:val="nil"/>
                    <w:tr2bl w:val="nil"/>
                  </w:tcBorders>
                  <w:shd w:val="clear" w:color="auto" w:fill="auto"/>
                  <w:noWrap/>
                  <w:vAlign w:val="center"/>
                </w:tcPr>
                <w:p w14:paraId="17DDACF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皮带输送机1-1</w:t>
                  </w:r>
                </w:p>
              </w:tc>
              <w:tc>
                <w:tcPr>
                  <w:tcW w:w="687" w:type="dxa"/>
                  <w:tcBorders>
                    <w:left w:val="single" w:color="auto" w:sz="4" w:space="0"/>
                    <w:tl2br w:val="nil"/>
                    <w:tr2bl w:val="nil"/>
                  </w:tcBorders>
                  <w:shd w:val="clear" w:color="auto" w:fill="auto"/>
                  <w:noWrap/>
                  <w:vAlign w:val="center"/>
                </w:tcPr>
                <w:p w14:paraId="418A6F4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点源</w:t>
                  </w:r>
                </w:p>
              </w:tc>
              <w:tc>
                <w:tcPr>
                  <w:tcW w:w="690" w:type="dxa"/>
                  <w:vMerge w:val="restart"/>
                  <w:tcBorders>
                    <w:tl2br w:val="nil"/>
                    <w:tr2bl w:val="nil"/>
                  </w:tcBorders>
                  <w:shd w:val="clear" w:color="auto" w:fill="auto"/>
                  <w:noWrap/>
                  <w:vAlign w:val="center"/>
                </w:tcPr>
                <w:p w14:paraId="4D49AA4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基础减震</w:t>
                  </w:r>
                </w:p>
              </w:tc>
              <w:tc>
                <w:tcPr>
                  <w:tcW w:w="667" w:type="dxa"/>
                  <w:vMerge w:val="restart"/>
                  <w:tcBorders>
                    <w:tl2br w:val="nil"/>
                    <w:tr2bl w:val="nil"/>
                  </w:tcBorders>
                  <w:shd w:val="clear" w:color="auto" w:fill="auto"/>
                  <w:noWrap/>
                  <w:vAlign w:val="center"/>
                </w:tcPr>
                <w:p w14:paraId="1B7FB96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bidi="ar"/>
                    </w:rPr>
                    <w:t>昼间</w:t>
                  </w:r>
                </w:p>
              </w:tc>
              <w:tc>
                <w:tcPr>
                  <w:tcW w:w="801" w:type="dxa"/>
                  <w:tcBorders>
                    <w:tl2br w:val="nil"/>
                    <w:tr2bl w:val="nil"/>
                  </w:tcBorders>
                  <w:shd w:val="clear" w:color="auto" w:fill="auto"/>
                  <w:noWrap/>
                  <w:vAlign w:val="center"/>
                </w:tcPr>
                <w:p w14:paraId="31433DE6">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677" w:type="dxa"/>
                  <w:tcBorders>
                    <w:tl2br w:val="nil"/>
                    <w:tr2bl w:val="nil"/>
                  </w:tcBorders>
                  <w:shd w:val="clear" w:color="auto" w:fill="auto"/>
                  <w:noWrap/>
                  <w:vAlign w:val="center"/>
                </w:tcPr>
                <w:p w14:paraId="31FE15A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707" w:type="dxa"/>
                  <w:tcBorders>
                    <w:tl2br w:val="nil"/>
                    <w:tr2bl w:val="nil"/>
                  </w:tcBorders>
                  <w:shd w:val="clear" w:color="auto" w:fill="auto"/>
                  <w:noWrap/>
                  <w:vAlign w:val="center"/>
                </w:tcPr>
                <w:p w14:paraId="0E5C683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0.5</w:t>
                  </w:r>
                </w:p>
              </w:tc>
              <w:tc>
                <w:tcPr>
                  <w:tcW w:w="860" w:type="dxa"/>
                  <w:tcBorders>
                    <w:tl2br w:val="nil"/>
                    <w:tr2bl w:val="nil"/>
                  </w:tcBorders>
                  <w:shd w:val="clear" w:color="auto" w:fill="auto"/>
                  <w:noWrap/>
                  <w:vAlign w:val="center"/>
                </w:tcPr>
                <w:p w14:paraId="7560611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65</w:t>
                  </w:r>
                </w:p>
              </w:tc>
            </w:tr>
            <w:tr w14:paraId="63756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vMerge w:val="continue"/>
                  <w:tcBorders>
                    <w:tl2br w:val="nil"/>
                    <w:tr2bl w:val="nil"/>
                  </w:tcBorders>
                  <w:shd w:val="clear" w:color="auto" w:fill="auto"/>
                  <w:noWrap/>
                  <w:vAlign w:val="center"/>
                </w:tcPr>
                <w:p w14:paraId="13377B5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p>
              </w:tc>
              <w:tc>
                <w:tcPr>
                  <w:tcW w:w="1735" w:type="dxa"/>
                  <w:tcBorders>
                    <w:right w:val="single" w:color="auto" w:sz="4" w:space="0"/>
                    <w:tl2br w:val="nil"/>
                    <w:tr2bl w:val="nil"/>
                  </w:tcBorders>
                  <w:shd w:val="clear" w:color="auto" w:fill="auto"/>
                  <w:noWrap/>
                  <w:vAlign w:val="center"/>
                </w:tcPr>
                <w:p w14:paraId="681CCB0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rPr>
                  </w:pPr>
                  <w:r>
                    <w:rPr>
                      <w:rFonts w:hint="default" w:ascii="Times New Roman" w:hAnsi="Times New Roman" w:cs="Times New Roman"/>
                      <w:color w:val="000000"/>
                      <w:sz w:val="21"/>
                      <w:szCs w:val="21"/>
                      <w:lang w:val="en-US" w:eastAsia="zh-CN"/>
                    </w:rPr>
                    <w:t>皮带输送机1-2</w:t>
                  </w:r>
                </w:p>
              </w:tc>
              <w:tc>
                <w:tcPr>
                  <w:tcW w:w="687" w:type="dxa"/>
                  <w:tcBorders>
                    <w:left w:val="single" w:color="auto" w:sz="4" w:space="0"/>
                    <w:tl2br w:val="nil"/>
                    <w:tr2bl w:val="nil"/>
                  </w:tcBorders>
                  <w:shd w:val="clear" w:color="auto" w:fill="auto"/>
                  <w:noWrap/>
                  <w:vAlign w:val="center"/>
                </w:tcPr>
                <w:p w14:paraId="45D758B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79A03CA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25FE762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5BD26DE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677" w:type="dxa"/>
                  <w:tcBorders>
                    <w:tl2br w:val="nil"/>
                    <w:tr2bl w:val="nil"/>
                  </w:tcBorders>
                  <w:shd w:val="clear" w:color="auto" w:fill="auto"/>
                  <w:noWrap/>
                  <w:vAlign w:val="center"/>
                </w:tcPr>
                <w:p w14:paraId="0FD8A20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707" w:type="dxa"/>
                  <w:tcBorders>
                    <w:tl2br w:val="nil"/>
                    <w:tr2bl w:val="nil"/>
                  </w:tcBorders>
                  <w:shd w:val="clear" w:color="auto" w:fill="auto"/>
                  <w:noWrap/>
                  <w:vAlign w:val="center"/>
                </w:tcPr>
                <w:p w14:paraId="5832DF8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860" w:type="dxa"/>
                  <w:tcBorders>
                    <w:tl2br w:val="nil"/>
                    <w:tr2bl w:val="nil"/>
                  </w:tcBorders>
                  <w:shd w:val="clear" w:color="auto" w:fill="auto"/>
                  <w:noWrap/>
                  <w:vAlign w:val="center"/>
                </w:tcPr>
                <w:p w14:paraId="3BB21C2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65</w:t>
                  </w:r>
                </w:p>
              </w:tc>
            </w:tr>
            <w:tr w14:paraId="7316A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tcBorders>
                    <w:tl2br w:val="nil"/>
                    <w:tr2bl w:val="nil"/>
                  </w:tcBorders>
                  <w:shd w:val="clear" w:color="auto" w:fill="auto"/>
                  <w:noWrap/>
                  <w:vAlign w:val="center"/>
                </w:tcPr>
                <w:p w14:paraId="25E854A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2</w:t>
                  </w:r>
                </w:p>
              </w:tc>
              <w:tc>
                <w:tcPr>
                  <w:tcW w:w="1735" w:type="dxa"/>
                  <w:tcBorders>
                    <w:right w:val="single" w:color="auto" w:sz="4" w:space="0"/>
                    <w:tl2br w:val="nil"/>
                    <w:tr2bl w:val="nil"/>
                  </w:tcBorders>
                  <w:shd w:val="clear" w:color="auto" w:fill="auto"/>
                  <w:noWrap/>
                  <w:vAlign w:val="center"/>
                </w:tcPr>
                <w:p w14:paraId="4C494C7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烘干滚筒</w:t>
                  </w:r>
                </w:p>
              </w:tc>
              <w:tc>
                <w:tcPr>
                  <w:tcW w:w="687" w:type="dxa"/>
                  <w:tcBorders>
                    <w:left w:val="single" w:color="auto" w:sz="4" w:space="0"/>
                    <w:tl2br w:val="nil"/>
                    <w:tr2bl w:val="nil"/>
                  </w:tcBorders>
                  <w:shd w:val="clear" w:color="auto" w:fill="auto"/>
                  <w:noWrap/>
                  <w:vAlign w:val="center"/>
                </w:tcPr>
                <w:p w14:paraId="3D5C4E9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40FC847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1C17534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062FE33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677" w:type="dxa"/>
                  <w:tcBorders>
                    <w:tl2br w:val="nil"/>
                    <w:tr2bl w:val="nil"/>
                  </w:tcBorders>
                  <w:shd w:val="clear" w:color="auto" w:fill="auto"/>
                  <w:noWrap/>
                  <w:vAlign w:val="center"/>
                </w:tcPr>
                <w:p w14:paraId="5784871B">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07" w:type="dxa"/>
                  <w:tcBorders>
                    <w:tl2br w:val="nil"/>
                    <w:tr2bl w:val="nil"/>
                  </w:tcBorders>
                  <w:shd w:val="clear" w:color="auto" w:fill="auto"/>
                  <w:noWrap/>
                  <w:vAlign w:val="center"/>
                </w:tcPr>
                <w:p w14:paraId="7891907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860" w:type="dxa"/>
                  <w:tcBorders>
                    <w:tl2br w:val="nil"/>
                    <w:tr2bl w:val="nil"/>
                  </w:tcBorders>
                  <w:shd w:val="clear" w:color="auto" w:fill="auto"/>
                  <w:noWrap/>
                  <w:vAlign w:val="center"/>
                </w:tcPr>
                <w:p w14:paraId="18F7BF1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80</w:t>
                  </w:r>
                </w:p>
              </w:tc>
            </w:tr>
            <w:tr w14:paraId="7D5B6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vMerge w:val="restart"/>
                  <w:tcBorders>
                    <w:tl2br w:val="nil"/>
                    <w:tr2bl w:val="nil"/>
                  </w:tcBorders>
                  <w:shd w:val="clear" w:color="auto" w:fill="auto"/>
                  <w:noWrap/>
                  <w:vAlign w:val="center"/>
                </w:tcPr>
                <w:p w14:paraId="71F34D0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3</w:t>
                  </w:r>
                </w:p>
              </w:tc>
              <w:tc>
                <w:tcPr>
                  <w:tcW w:w="1735" w:type="dxa"/>
                  <w:tcBorders>
                    <w:right w:val="single" w:color="auto" w:sz="4" w:space="0"/>
                    <w:tl2br w:val="nil"/>
                    <w:tr2bl w:val="nil"/>
                  </w:tcBorders>
                  <w:shd w:val="clear" w:color="auto" w:fill="auto"/>
                  <w:noWrap/>
                  <w:vAlign w:val="center"/>
                </w:tcPr>
                <w:p w14:paraId="1CDEB9D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沥青泵6-1（沥青储罐配套）</w:t>
                  </w:r>
                </w:p>
              </w:tc>
              <w:tc>
                <w:tcPr>
                  <w:tcW w:w="687" w:type="dxa"/>
                  <w:tcBorders>
                    <w:left w:val="single" w:color="auto" w:sz="4" w:space="0"/>
                    <w:tl2br w:val="nil"/>
                    <w:tr2bl w:val="nil"/>
                  </w:tcBorders>
                  <w:shd w:val="clear" w:color="auto" w:fill="auto"/>
                  <w:noWrap/>
                  <w:vAlign w:val="center"/>
                </w:tcPr>
                <w:p w14:paraId="42FAEA8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077CDDD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2837581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222A2A0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677" w:type="dxa"/>
                  <w:tcBorders>
                    <w:tl2br w:val="nil"/>
                    <w:tr2bl w:val="nil"/>
                  </w:tcBorders>
                  <w:shd w:val="clear" w:color="auto" w:fill="auto"/>
                  <w:noWrap/>
                  <w:vAlign w:val="center"/>
                </w:tcPr>
                <w:p w14:paraId="085522A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707" w:type="dxa"/>
                  <w:tcBorders>
                    <w:tl2br w:val="nil"/>
                    <w:tr2bl w:val="nil"/>
                  </w:tcBorders>
                  <w:shd w:val="clear" w:color="auto" w:fill="auto"/>
                  <w:noWrap/>
                  <w:vAlign w:val="center"/>
                </w:tcPr>
                <w:p w14:paraId="26934B40">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0.5</w:t>
                  </w:r>
                </w:p>
              </w:tc>
              <w:tc>
                <w:tcPr>
                  <w:tcW w:w="860" w:type="dxa"/>
                  <w:tcBorders>
                    <w:tl2br w:val="nil"/>
                    <w:tr2bl w:val="nil"/>
                  </w:tcBorders>
                  <w:shd w:val="clear" w:color="auto" w:fill="auto"/>
                  <w:noWrap/>
                  <w:vAlign w:val="center"/>
                </w:tcPr>
                <w:p w14:paraId="3726B01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60</w:t>
                  </w:r>
                </w:p>
              </w:tc>
            </w:tr>
            <w:tr w14:paraId="21065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vMerge w:val="continue"/>
                  <w:tcBorders>
                    <w:tl2br w:val="nil"/>
                    <w:tr2bl w:val="nil"/>
                  </w:tcBorders>
                  <w:shd w:val="clear" w:color="auto" w:fill="auto"/>
                  <w:noWrap/>
                  <w:vAlign w:val="center"/>
                </w:tcPr>
                <w:p w14:paraId="2DB72B0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p>
              </w:tc>
              <w:tc>
                <w:tcPr>
                  <w:tcW w:w="1735" w:type="dxa"/>
                  <w:tcBorders>
                    <w:right w:val="single" w:color="auto" w:sz="4" w:space="0"/>
                    <w:tl2br w:val="nil"/>
                    <w:tr2bl w:val="nil"/>
                  </w:tcBorders>
                  <w:shd w:val="clear" w:color="auto" w:fill="auto"/>
                  <w:noWrap/>
                  <w:vAlign w:val="center"/>
                </w:tcPr>
                <w:p w14:paraId="262EA0A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沥青泵6-2（沥青储罐配套）</w:t>
                  </w:r>
                </w:p>
              </w:tc>
              <w:tc>
                <w:tcPr>
                  <w:tcW w:w="687" w:type="dxa"/>
                  <w:tcBorders>
                    <w:left w:val="single" w:color="auto" w:sz="4" w:space="0"/>
                    <w:tl2br w:val="nil"/>
                    <w:tr2bl w:val="nil"/>
                  </w:tcBorders>
                  <w:shd w:val="clear" w:color="auto" w:fill="auto"/>
                  <w:noWrap/>
                  <w:vAlign w:val="center"/>
                </w:tcPr>
                <w:p w14:paraId="6477510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704D8D7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56AC276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3189D30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677" w:type="dxa"/>
                  <w:tcBorders>
                    <w:tl2br w:val="nil"/>
                    <w:tr2bl w:val="nil"/>
                  </w:tcBorders>
                  <w:shd w:val="clear" w:color="auto" w:fill="auto"/>
                  <w:noWrap/>
                  <w:vAlign w:val="center"/>
                </w:tcPr>
                <w:p w14:paraId="5952D39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707" w:type="dxa"/>
                  <w:tcBorders>
                    <w:tl2br w:val="nil"/>
                    <w:tr2bl w:val="nil"/>
                  </w:tcBorders>
                  <w:shd w:val="clear" w:color="auto" w:fill="auto"/>
                  <w:noWrap/>
                  <w:vAlign w:val="center"/>
                </w:tcPr>
                <w:p w14:paraId="53483859">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0.5</w:t>
                  </w:r>
                </w:p>
              </w:tc>
              <w:tc>
                <w:tcPr>
                  <w:tcW w:w="860" w:type="dxa"/>
                  <w:tcBorders>
                    <w:tl2br w:val="nil"/>
                    <w:tr2bl w:val="nil"/>
                  </w:tcBorders>
                  <w:shd w:val="clear" w:color="auto" w:fill="auto"/>
                  <w:noWrap/>
                  <w:vAlign w:val="center"/>
                </w:tcPr>
                <w:p w14:paraId="654687C8">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60</w:t>
                  </w:r>
                </w:p>
              </w:tc>
            </w:tr>
            <w:tr w14:paraId="3BFD2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vMerge w:val="restart"/>
                  <w:tcBorders>
                    <w:tl2br w:val="nil"/>
                    <w:tr2bl w:val="nil"/>
                  </w:tcBorders>
                  <w:shd w:val="clear" w:color="auto" w:fill="auto"/>
                  <w:noWrap/>
                  <w:vAlign w:val="center"/>
                </w:tcPr>
                <w:p w14:paraId="59D233A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1735" w:type="dxa"/>
                  <w:tcBorders>
                    <w:right w:val="single" w:color="auto" w:sz="4" w:space="0"/>
                    <w:tl2br w:val="nil"/>
                    <w:tr2bl w:val="nil"/>
                  </w:tcBorders>
                  <w:shd w:val="clear" w:color="auto" w:fill="auto"/>
                  <w:noWrap/>
                  <w:vAlign w:val="center"/>
                </w:tcPr>
                <w:p w14:paraId="5398853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导热油泵7-1（导热油储罐配套）</w:t>
                  </w:r>
                </w:p>
              </w:tc>
              <w:tc>
                <w:tcPr>
                  <w:tcW w:w="687" w:type="dxa"/>
                  <w:tcBorders>
                    <w:left w:val="single" w:color="auto" w:sz="4" w:space="0"/>
                    <w:tl2br w:val="nil"/>
                    <w:tr2bl w:val="nil"/>
                  </w:tcBorders>
                  <w:shd w:val="clear" w:color="auto" w:fill="auto"/>
                  <w:noWrap/>
                  <w:vAlign w:val="center"/>
                </w:tcPr>
                <w:p w14:paraId="1D1C8D9F">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642828C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095A8DA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5C861ED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677" w:type="dxa"/>
                  <w:tcBorders>
                    <w:tl2br w:val="nil"/>
                    <w:tr2bl w:val="nil"/>
                  </w:tcBorders>
                  <w:shd w:val="clear" w:color="auto" w:fill="auto"/>
                  <w:noWrap/>
                  <w:vAlign w:val="center"/>
                </w:tcPr>
                <w:p w14:paraId="58A405FE">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707" w:type="dxa"/>
                  <w:tcBorders>
                    <w:tl2br w:val="nil"/>
                    <w:tr2bl w:val="nil"/>
                  </w:tcBorders>
                  <w:shd w:val="clear" w:color="auto" w:fill="auto"/>
                  <w:noWrap/>
                  <w:vAlign w:val="center"/>
                </w:tcPr>
                <w:p w14:paraId="1A619E4D">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0.5</w:t>
                  </w:r>
                </w:p>
              </w:tc>
              <w:tc>
                <w:tcPr>
                  <w:tcW w:w="860" w:type="dxa"/>
                  <w:tcBorders>
                    <w:tl2br w:val="nil"/>
                    <w:tr2bl w:val="nil"/>
                  </w:tcBorders>
                  <w:shd w:val="clear" w:color="auto" w:fill="auto"/>
                  <w:noWrap/>
                  <w:vAlign w:val="center"/>
                </w:tcPr>
                <w:p w14:paraId="69AEEE0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60</w:t>
                  </w:r>
                </w:p>
              </w:tc>
            </w:tr>
            <w:tr w14:paraId="7C384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vMerge w:val="continue"/>
                  <w:tcBorders>
                    <w:tl2br w:val="nil"/>
                    <w:tr2bl w:val="nil"/>
                  </w:tcBorders>
                  <w:shd w:val="clear" w:color="auto" w:fill="auto"/>
                  <w:noWrap/>
                  <w:vAlign w:val="center"/>
                </w:tcPr>
                <w:p w14:paraId="2982DAC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p>
              </w:tc>
              <w:tc>
                <w:tcPr>
                  <w:tcW w:w="1735" w:type="dxa"/>
                  <w:tcBorders>
                    <w:right w:val="single" w:color="auto" w:sz="4" w:space="0"/>
                    <w:tl2br w:val="nil"/>
                    <w:tr2bl w:val="nil"/>
                  </w:tcBorders>
                  <w:shd w:val="clear" w:color="auto" w:fill="auto"/>
                  <w:noWrap/>
                  <w:vAlign w:val="center"/>
                </w:tcPr>
                <w:p w14:paraId="5B64DA4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导热油泵7-2（有机热载体炉配套）</w:t>
                  </w:r>
                </w:p>
              </w:tc>
              <w:tc>
                <w:tcPr>
                  <w:tcW w:w="687" w:type="dxa"/>
                  <w:tcBorders>
                    <w:left w:val="single" w:color="auto" w:sz="4" w:space="0"/>
                    <w:tl2br w:val="nil"/>
                    <w:tr2bl w:val="nil"/>
                  </w:tcBorders>
                  <w:shd w:val="clear" w:color="auto" w:fill="auto"/>
                  <w:noWrap/>
                  <w:vAlign w:val="center"/>
                </w:tcPr>
                <w:p w14:paraId="50DB4AE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51CAD31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0BFAF13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5AD8F29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677" w:type="dxa"/>
                  <w:tcBorders>
                    <w:tl2br w:val="nil"/>
                    <w:tr2bl w:val="nil"/>
                  </w:tcBorders>
                  <w:shd w:val="clear" w:color="auto" w:fill="auto"/>
                  <w:noWrap/>
                  <w:vAlign w:val="center"/>
                </w:tcPr>
                <w:p w14:paraId="08E64165">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707" w:type="dxa"/>
                  <w:tcBorders>
                    <w:tl2br w:val="nil"/>
                    <w:tr2bl w:val="nil"/>
                  </w:tcBorders>
                  <w:shd w:val="clear" w:color="auto" w:fill="auto"/>
                  <w:noWrap/>
                  <w:vAlign w:val="center"/>
                </w:tcPr>
                <w:p w14:paraId="048CA644">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0.5</w:t>
                  </w:r>
                </w:p>
              </w:tc>
              <w:tc>
                <w:tcPr>
                  <w:tcW w:w="860" w:type="dxa"/>
                  <w:tcBorders>
                    <w:tl2br w:val="nil"/>
                    <w:tr2bl w:val="nil"/>
                  </w:tcBorders>
                  <w:shd w:val="clear" w:color="auto" w:fill="auto"/>
                  <w:noWrap/>
                  <w:vAlign w:val="center"/>
                </w:tcPr>
                <w:p w14:paraId="2B6C922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60</w:t>
                  </w:r>
                </w:p>
              </w:tc>
            </w:tr>
            <w:tr w14:paraId="08BA1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tcBorders>
                    <w:tl2br w:val="nil"/>
                    <w:tr2bl w:val="nil"/>
                  </w:tcBorders>
                  <w:shd w:val="clear" w:color="auto" w:fill="auto"/>
                  <w:noWrap/>
                  <w:vAlign w:val="center"/>
                </w:tcPr>
                <w:p w14:paraId="7426C09C">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w:t>
                  </w:r>
                </w:p>
              </w:tc>
              <w:tc>
                <w:tcPr>
                  <w:tcW w:w="1735" w:type="dxa"/>
                  <w:tcBorders>
                    <w:right w:val="single" w:color="auto" w:sz="4" w:space="0"/>
                    <w:tl2br w:val="nil"/>
                    <w:tr2bl w:val="nil"/>
                  </w:tcBorders>
                  <w:shd w:val="clear" w:color="auto" w:fill="auto"/>
                  <w:noWrap/>
                  <w:vAlign w:val="center"/>
                </w:tcPr>
                <w:p w14:paraId="5624983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柴</w:t>
                  </w:r>
                  <w:r>
                    <w:rPr>
                      <w:rFonts w:hint="default" w:ascii="Times New Roman" w:hAnsi="Times New Roman" w:cs="Times New Roman"/>
                      <w:color w:val="000000"/>
                      <w:sz w:val="21"/>
                      <w:szCs w:val="21"/>
                      <w:lang w:val="en-US" w:eastAsia="zh-CN"/>
                    </w:rPr>
                    <w:t>油泵（</w:t>
                  </w:r>
                  <w:r>
                    <w:rPr>
                      <w:rFonts w:hint="eastAsia" w:cs="Times New Roman"/>
                      <w:color w:val="000000"/>
                      <w:sz w:val="21"/>
                      <w:szCs w:val="21"/>
                      <w:lang w:val="en-US" w:eastAsia="zh-CN"/>
                    </w:rPr>
                    <w:t>柴</w:t>
                  </w:r>
                  <w:r>
                    <w:rPr>
                      <w:rFonts w:hint="default" w:ascii="Times New Roman" w:hAnsi="Times New Roman" w:cs="Times New Roman"/>
                      <w:color w:val="000000"/>
                      <w:sz w:val="21"/>
                      <w:szCs w:val="21"/>
                      <w:lang w:val="en-US" w:eastAsia="zh-CN"/>
                    </w:rPr>
                    <w:t>油储罐配套）</w:t>
                  </w:r>
                </w:p>
              </w:tc>
              <w:tc>
                <w:tcPr>
                  <w:tcW w:w="687" w:type="dxa"/>
                  <w:tcBorders>
                    <w:left w:val="single" w:color="auto" w:sz="4" w:space="0"/>
                    <w:tl2br w:val="nil"/>
                    <w:tr2bl w:val="nil"/>
                  </w:tcBorders>
                  <w:shd w:val="clear" w:color="auto" w:fill="auto"/>
                  <w:noWrap/>
                  <w:vAlign w:val="center"/>
                </w:tcPr>
                <w:p w14:paraId="1549EF50">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29D85179">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204FF79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0D99CC2F">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0</w:t>
                  </w:r>
                </w:p>
              </w:tc>
              <w:tc>
                <w:tcPr>
                  <w:tcW w:w="677" w:type="dxa"/>
                  <w:tcBorders>
                    <w:tl2br w:val="nil"/>
                    <w:tr2bl w:val="nil"/>
                  </w:tcBorders>
                  <w:shd w:val="clear" w:color="auto" w:fill="auto"/>
                  <w:noWrap/>
                  <w:vAlign w:val="center"/>
                </w:tcPr>
                <w:p w14:paraId="229AE4DC">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707" w:type="dxa"/>
                  <w:tcBorders>
                    <w:tl2br w:val="nil"/>
                    <w:tr2bl w:val="nil"/>
                  </w:tcBorders>
                  <w:shd w:val="clear" w:color="auto" w:fill="auto"/>
                  <w:noWrap/>
                  <w:vAlign w:val="center"/>
                </w:tcPr>
                <w:p w14:paraId="2FD19772">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0.5</w:t>
                  </w:r>
                </w:p>
              </w:tc>
              <w:tc>
                <w:tcPr>
                  <w:tcW w:w="860" w:type="dxa"/>
                  <w:tcBorders>
                    <w:tl2br w:val="nil"/>
                    <w:tr2bl w:val="nil"/>
                  </w:tcBorders>
                  <w:shd w:val="clear" w:color="auto" w:fill="auto"/>
                  <w:noWrap/>
                  <w:vAlign w:val="center"/>
                </w:tcPr>
                <w:p w14:paraId="0724C264">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60</w:t>
                  </w:r>
                </w:p>
              </w:tc>
            </w:tr>
            <w:tr w14:paraId="4DBBF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atLeast"/>
                <w:jc w:val="center"/>
              </w:trPr>
              <w:tc>
                <w:tcPr>
                  <w:tcW w:w="446" w:type="dxa"/>
                  <w:tcBorders>
                    <w:tl2br w:val="nil"/>
                    <w:tr2bl w:val="nil"/>
                  </w:tcBorders>
                  <w:shd w:val="clear" w:color="auto" w:fill="auto"/>
                  <w:noWrap/>
                  <w:vAlign w:val="center"/>
                </w:tcPr>
                <w:p w14:paraId="569CC222">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6</w:t>
                  </w:r>
                </w:p>
              </w:tc>
              <w:tc>
                <w:tcPr>
                  <w:tcW w:w="1735" w:type="dxa"/>
                  <w:tcBorders>
                    <w:right w:val="single" w:color="auto" w:sz="4" w:space="0"/>
                    <w:tl2br w:val="nil"/>
                    <w:tr2bl w:val="nil"/>
                  </w:tcBorders>
                  <w:shd w:val="clear" w:color="auto" w:fill="auto"/>
                  <w:noWrap/>
                  <w:vAlign w:val="center"/>
                </w:tcPr>
                <w:p w14:paraId="6D5F32D5">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引风机9-1（集气罩配套）</w:t>
                  </w:r>
                </w:p>
              </w:tc>
              <w:tc>
                <w:tcPr>
                  <w:tcW w:w="687" w:type="dxa"/>
                  <w:tcBorders>
                    <w:left w:val="single" w:color="auto" w:sz="4" w:space="0"/>
                    <w:tl2br w:val="nil"/>
                    <w:tr2bl w:val="nil"/>
                  </w:tcBorders>
                  <w:shd w:val="clear" w:color="auto" w:fill="auto"/>
                  <w:noWrap/>
                  <w:vAlign w:val="center"/>
                </w:tcPr>
                <w:p w14:paraId="47022D1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点源</w:t>
                  </w:r>
                </w:p>
              </w:tc>
              <w:tc>
                <w:tcPr>
                  <w:tcW w:w="690" w:type="dxa"/>
                  <w:vMerge w:val="continue"/>
                  <w:tcBorders>
                    <w:tl2br w:val="nil"/>
                    <w:tr2bl w:val="nil"/>
                  </w:tcBorders>
                  <w:shd w:val="clear" w:color="auto" w:fill="auto"/>
                  <w:noWrap/>
                  <w:vAlign w:val="center"/>
                </w:tcPr>
                <w:p w14:paraId="3251508E">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667" w:type="dxa"/>
                  <w:vMerge w:val="continue"/>
                  <w:tcBorders>
                    <w:tl2br w:val="nil"/>
                    <w:tr2bl w:val="nil"/>
                  </w:tcBorders>
                  <w:shd w:val="clear" w:color="auto" w:fill="auto"/>
                  <w:noWrap/>
                  <w:vAlign w:val="center"/>
                </w:tcPr>
                <w:p w14:paraId="1C3F9FE3">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default" w:ascii="Times New Roman" w:hAnsi="Times New Roman" w:cs="Times New Roman"/>
                      <w:color w:val="000000"/>
                      <w:sz w:val="21"/>
                      <w:szCs w:val="21"/>
                    </w:rPr>
                  </w:pPr>
                </w:p>
              </w:tc>
              <w:tc>
                <w:tcPr>
                  <w:tcW w:w="801" w:type="dxa"/>
                  <w:tcBorders>
                    <w:tl2br w:val="nil"/>
                    <w:tr2bl w:val="nil"/>
                  </w:tcBorders>
                  <w:shd w:val="clear" w:color="auto" w:fill="auto"/>
                  <w:noWrap/>
                  <w:vAlign w:val="center"/>
                </w:tcPr>
                <w:p w14:paraId="0156A173">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677" w:type="dxa"/>
                  <w:tcBorders>
                    <w:tl2br w:val="nil"/>
                    <w:tr2bl w:val="nil"/>
                  </w:tcBorders>
                  <w:shd w:val="clear" w:color="auto" w:fill="auto"/>
                  <w:noWrap/>
                  <w:vAlign w:val="center"/>
                </w:tcPr>
                <w:p w14:paraId="248515B1">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707" w:type="dxa"/>
                  <w:tcBorders>
                    <w:tl2br w:val="nil"/>
                    <w:tr2bl w:val="nil"/>
                  </w:tcBorders>
                  <w:shd w:val="clear" w:color="auto" w:fill="auto"/>
                  <w:noWrap/>
                  <w:vAlign w:val="center"/>
                </w:tcPr>
                <w:p w14:paraId="5777047A">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860" w:type="dxa"/>
                  <w:tcBorders>
                    <w:tl2br w:val="nil"/>
                    <w:tr2bl w:val="nil"/>
                  </w:tcBorders>
                  <w:shd w:val="clear" w:color="auto" w:fill="auto"/>
                  <w:noWrap/>
                  <w:vAlign w:val="center"/>
                </w:tcPr>
                <w:p w14:paraId="5D53F4C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65</w:t>
                  </w:r>
                </w:p>
              </w:tc>
            </w:tr>
          </w:tbl>
          <w:p w14:paraId="7DC2AC50">
            <w:pPr>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b/>
              </w:rPr>
            </w:pPr>
            <w:r>
              <w:rPr>
                <w:b/>
              </w:rPr>
              <w:t>（</w:t>
            </w:r>
            <w:r>
              <w:rPr>
                <w:rFonts w:hint="eastAsia"/>
                <w:b/>
                <w:lang w:val="en-US" w:eastAsia="zh-CN"/>
              </w:rPr>
              <w:t>二</w:t>
            </w:r>
            <w:r>
              <w:rPr>
                <w:b/>
              </w:rPr>
              <w:t>）噪声源强预测分析</w:t>
            </w:r>
          </w:p>
          <w:p w14:paraId="2ACE0848">
            <w:pPr>
              <w:widowControl/>
              <w:ind w:firstLine="482"/>
              <w:rPr>
                <w:b/>
                <w:bCs/>
              </w:rPr>
            </w:pPr>
            <w:r>
              <w:rPr>
                <w:b/>
                <w:bCs/>
                <w:kern w:val="0"/>
                <w:lang w:bidi="ar"/>
              </w:rPr>
              <w:t xml:space="preserve">1、建筑物插入损失计算 </w:t>
            </w:r>
          </w:p>
          <w:p w14:paraId="6D100DF3">
            <w:pPr>
              <w:widowControl/>
              <w:ind w:firstLine="480"/>
            </w:pPr>
            <w:r>
              <w:rPr>
                <w:kern w:val="0"/>
                <w:lang w:bidi="ar"/>
              </w:rPr>
              <w:t>根据《环境影响评价技术导则 声环境》（HJ2.4-2021）附录B可知，室内声源可采用等效室外声源声功率级法进行计算。设靠近开口处（或窗户）室内、室外某倍频带的声压级分别为LP1和LP2。若声源所在室内声场为近似扩散声场，则室外的倍频带声压级可按以下公式近似求出：</w:t>
            </w:r>
          </w:p>
          <w:p w14:paraId="6E692B6D">
            <w:pPr>
              <w:widowControl/>
              <w:ind w:firstLine="0" w:firstLineChars="0"/>
              <w:jc w:val="center"/>
            </w:pPr>
            <w:r>
              <w:rPr>
                <w:kern w:val="0"/>
                <w:lang w:bidi="ar"/>
              </w:rPr>
              <w:t>LP2</w:t>
            </w:r>
            <w:r>
              <w:rPr>
                <w:rFonts w:hint="eastAsia"/>
                <w:kern w:val="0"/>
                <w:lang w:bidi="ar"/>
              </w:rPr>
              <w:t>=</w:t>
            </w:r>
            <w:r>
              <w:rPr>
                <w:kern w:val="0"/>
                <w:lang w:bidi="ar"/>
              </w:rPr>
              <w:t>LP1-</w:t>
            </w:r>
            <w:r>
              <w:rPr>
                <w:rFonts w:hint="eastAsia"/>
                <w:kern w:val="0"/>
                <w:lang w:eastAsia="zh-CN" w:bidi="ar"/>
              </w:rPr>
              <w:t>（</w:t>
            </w:r>
            <w:r>
              <w:rPr>
                <w:kern w:val="0"/>
                <w:lang w:bidi="ar"/>
              </w:rPr>
              <w:t>TL+6</w:t>
            </w:r>
            <w:r>
              <w:rPr>
                <w:rFonts w:hint="eastAsia"/>
                <w:kern w:val="0"/>
                <w:lang w:eastAsia="zh-CN" w:bidi="ar"/>
              </w:rPr>
              <w:t>）</w:t>
            </w:r>
          </w:p>
          <w:p w14:paraId="66605A6C">
            <w:pPr>
              <w:widowControl/>
              <w:ind w:firstLine="480"/>
            </w:pPr>
            <w:r>
              <w:rPr>
                <w:kern w:val="0"/>
                <w:lang w:bidi="ar"/>
              </w:rPr>
              <w:t>式中：TL—隔墙（或窗户）倍频带的隔声量，dB。</w:t>
            </w:r>
          </w:p>
          <w:p w14:paraId="0ABFA7C8">
            <w:pPr>
              <w:widowControl/>
              <w:ind w:firstLine="480"/>
              <w:rPr>
                <w:color w:val="000000" w:themeColor="text1"/>
                <w14:textFill>
                  <w14:solidFill>
                    <w14:schemeClr w14:val="tx1"/>
                  </w14:solidFill>
                </w14:textFill>
              </w:rPr>
            </w:pPr>
            <w:r>
              <w:rPr>
                <w:kern w:val="0"/>
                <w:lang w:bidi="ar"/>
              </w:rPr>
              <w:t>综上可知，建筑物插入损失等于建筑物隔音量+6。本项目生产厂房为钢结构，高噪声设备安装消声减振装置，因此本项目</w:t>
            </w:r>
            <w:r>
              <w:rPr>
                <w:color w:val="000000" w:themeColor="text1"/>
                <w:kern w:val="0"/>
                <w:lang w:bidi="ar"/>
                <w14:textFill>
                  <w14:solidFill>
                    <w14:schemeClr w14:val="tx1"/>
                  </w14:solidFill>
                </w14:textFill>
              </w:rPr>
              <w:t>建筑物隔音量选取</w:t>
            </w:r>
            <w:r>
              <w:rPr>
                <w:rFonts w:hint="eastAsia"/>
                <w:color w:val="000000" w:themeColor="text1"/>
                <w:kern w:val="0"/>
                <w:lang w:bidi="ar"/>
                <w14:textFill>
                  <w14:solidFill>
                    <w14:schemeClr w14:val="tx1"/>
                  </w14:solidFill>
                </w14:textFill>
              </w:rPr>
              <w:t>10</w:t>
            </w:r>
            <w:r>
              <w:rPr>
                <w:color w:val="000000" w:themeColor="text1"/>
                <w:kern w:val="0"/>
                <w:lang w:bidi="ar"/>
                <w14:textFill>
                  <w14:solidFill>
                    <w14:schemeClr w14:val="tx1"/>
                  </w14:solidFill>
                </w14:textFill>
              </w:rPr>
              <w:t>dB（A），则建筑物插入损失即为</w:t>
            </w:r>
            <w:r>
              <w:rPr>
                <w:rFonts w:hint="eastAsia"/>
                <w:color w:val="000000" w:themeColor="text1"/>
                <w:kern w:val="0"/>
                <w:lang w:bidi="ar"/>
                <w14:textFill>
                  <w14:solidFill>
                    <w14:schemeClr w14:val="tx1"/>
                  </w14:solidFill>
                </w14:textFill>
              </w:rPr>
              <w:t>16</w:t>
            </w:r>
            <w:r>
              <w:rPr>
                <w:color w:val="000000" w:themeColor="text1"/>
                <w:kern w:val="0"/>
                <w:lang w:bidi="ar"/>
                <w14:textFill>
                  <w14:solidFill>
                    <w14:schemeClr w14:val="tx1"/>
                  </w14:solidFill>
                </w14:textFill>
              </w:rPr>
              <w:t>dB（A）。</w:t>
            </w:r>
          </w:p>
          <w:p w14:paraId="67EBED31">
            <w:pPr>
              <w:widowControl/>
              <w:ind w:firstLine="482"/>
            </w:pPr>
            <w:r>
              <w:rPr>
                <w:b/>
                <w:bCs/>
                <w:kern w:val="0"/>
                <w:lang w:bidi="ar"/>
              </w:rPr>
              <w:t>2、预测方法</w:t>
            </w:r>
            <w:r>
              <w:rPr>
                <w:kern w:val="0"/>
                <w:lang w:bidi="ar"/>
              </w:rPr>
              <w:t xml:space="preserve"> </w:t>
            </w:r>
          </w:p>
          <w:p w14:paraId="415B32C9">
            <w:pPr>
              <w:widowControl/>
              <w:ind w:firstLine="480"/>
              <w:jc w:val="left"/>
            </w:pPr>
            <w:r>
              <w:rPr>
                <w:kern w:val="0"/>
                <w:lang w:bidi="ar"/>
              </w:rPr>
              <w:t>噪声传播过程中有三个要素：声源、传播途径和接受者。根据项目采取的治理措施及降噪效果，采用《环境影响评价技术导则 声环境》（HJ2.4-2021）推荐的工业噪声预测模式，本评价只考虑几何发散引起的衰减量来预测项目对厂界的贡献点的影响。</w:t>
            </w:r>
          </w:p>
          <w:p w14:paraId="0A1447F9">
            <w:pPr>
              <w:widowControl/>
              <w:ind w:firstLine="480"/>
            </w:pPr>
            <w:r>
              <w:rPr>
                <w:kern w:val="0"/>
                <w:lang w:bidi="ar"/>
              </w:rPr>
              <w:t>预测方法为：依据各噪声源与各预测点的距离计算出各噪声设备产生的噪声对各预测点的影响值，并根据能量合成法叠加各噪声设备对各预测点的噪声贡献值，来预测分析本项目运营期对厂界及周围声环境的影响。</w:t>
            </w:r>
          </w:p>
          <w:p w14:paraId="714F9276">
            <w:pPr>
              <w:widowControl/>
              <w:ind w:firstLine="482"/>
              <w:rPr>
                <w:b/>
                <w:bCs/>
              </w:rPr>
            </w:pPr>
            <w:r>
              <w:rPr>
                <w:b/>
                <w:bCs/>
                <w:kern w:val="0"/>
                <w:lang w:bidi="ar"/>
              </w:rPr>
              <w:t>3、预测模式</w:t>
            </w:r>
          </w:p>
          <w:p w14:paraId="7A46A0A8">
            <w:pPr>
              <w:widowControl/>
              <w:ind w:firstLine="480"/>
            </w:pPr>
            <w:r>
              <w:rPr>
                <w:kern w:val="0"/>
                <w:lang w:bidi="ar"/>
              </w:rPr>
              <w:t>采用《环境影响评价技术 声环境》（HJ2.4-2021）中的噪声预测模式预测本项目的主要噪声设备对周围声环境的影响。预测模式如下：</w:t>
            </w:r>
          </w:p>
          <w:p w14:paraId="6E84027F">
            <w:pPr>
              <w:widowControl/>
              <w:ind w:firstLine="480"/>
            </w:pPr>
            <w:r>
              <w:rPr>
                <w:kern w:val="0"/>
                <w:lang w:bidi="ar"/>
              </w:rPr>
              <w:t>（1）本项目只考虑几何发散衰减，公式按照：</w:t>
            </w:r>
          </w:p>
          <w:p w14:paraId="03F9EA3E">
            <w:pPr>
              <w:widowControl/>
              <w:ind w:firstLine="0" w:firstLineChars="0"/>
              <w:jc w:val="center"/>
            </w:pPr>
            <w:r>
              <w:rPr>
                <w:kern w:val="0"/>
                <w:lang w:bidi="ar"/>
              </w:rPr>
              <w:t>L</w:t>
            </w:r>
            <w:r>
              <w:rPr>
                <w:kern w:val="0"/>
                <w:sz w:val="15"/>
                <w:szCs w:val="15"/>
                <w:lang w:bidi="ar"/>
              </w:rPr>
              <w:t>A</w:t>
            </w:r>
            <w:r>
              <w:rPr>
                <w:kern w:val="0"/>
                <w:lang w:bidi="ar"/>
              </w:rPr>
              <w:t>(r)=L</w:t>
            </w:r>
            <w:r>
              <w:rPr>
                <w:kern w:val="0"/>
                <w:sz w:val="15"/>
                <w:szCs w:val="15"/>
                <w:lang w:bidi="ar"/>
              </w:rPr>
              <w:t>A</w:t>
            </w:r>
            <w:r>
              <w:rPr>
                <w:kern w:val="0"/>
                <w:lang w:bidi="ar"/>
              </w:rPr>
              <w:t>（r</w:t>
            </w:r>
            <w:r>
              <w:rPr>
                <w:kern w:val="0"/>
                <w:sz w:val="15"/>
                <w:szCs w:val="15"/>
                <w:lang w:bidi="ar"/>
              </w:rPr>
              <w:t>0</w:t>
            </w:r>
            <w:r>
              <w:rPr>
                <w:kern w:val="0"/>
                <w:lang w:bidi="ar"/>
              </w:rPr>
              <w:t>）－A</w:t>
            </w:r>
            <w:r>
              <w:rPr>
                <w:kern w:val="0"/>
                <w:sz w:val="15"/>
                <w:szCs w:val="15"/>
                <w:lang w:bidi="ar"/>
              </w:rPr>
              <w:t>div</w:t>
            </w:r>
          </w:p>
          <w:p w14:paraId="7CB6DB05">
            <w:pPr>
              <w:widowControl/>
              <w:ind w:firstLine="480"/>
            </w:pPr>
            <w:r>
              <w:rPr>
                <w:kern w:val="0"/>
                <w:lang w:bidi="ar"/>
              </w:rPr>
              <w:t>式中：L</w:t>
            </w:r>
            <w:r>
              <w:rPr>
                <w:kern w:val="0"/>
                <w:sz w:val="15"/>
                <w:szCs w:val="15"/>
                <w:lang w:bidi="ar"/>
              </w:rPr>
              <w:t>A</w:t>
            </w:r>
            <w:r>
              <w:rPr>
                <w:kern w:val="0"/>
                <w:lang w:bidi="ar"/>
              </w:rPr>
              <w:t>(r)——距声源r处的A声级，dB（A）；</w:t>
            </w:r>
          </w:p>
          <w:p w14:paraId="676207FA">
            <w:pPr>
              <w:widowControl/>
              <w:ind w:firstLine="1200" w:firstLineChars="500"/>
            </w:pPr>
            <w:r>
              <w:rPr>
                <w:kern w:val="0"/>
                <w:lang w:bidi="ar"/>
              </w:rPr>
              <w:t>L</w:t>
            </w:r>
            <w:r>
              <w:rPr>
                <w:kern w:val="0"/>
                <w:sz w:val="15"/>
                <w:szCs w:val="15"/>
                <w:lang w:bidi="ar"/>
              </w:rPr>
              <w:t>A</w:t>
            </w:r>
            <w:r>
              <w:rPr>
                <w:kern w:val="0"/>
                <w:lang w:bidi="ar"/>
              </w:rPr>
              <w:t>(r</w:t>
            </w:r>
            <w:r>
              <w:rPr>
                <w:kern w:val="0"/>
                <w:sz w:val="15"/>
                <w:szCs w:val="15"/>
                <w:lang w:bidi="ar"/>
              </w:rPr>
              <w:t>0</w:t>
            </w:r>
            <w:r>
              <w:rPr>
                <w:kern w:val="0"/>
                <w:lang w:bidi="ar"/>
              </w:rPr>
              <w:t>)——参考位置r</w:t>
            </w:r>
            <w:r>
              <w:rPr>
                <w:kern w:val="0"/>
                <w:sz w:val="15"/>
                <w:szCs w:val="15"/>
                <w:lang w:bidi="ar"/>
              </w:rPr>
              <w:t>0</w:t>
            </w:r>
            <w:r>
              <w:rPr>
                <w:kern w:val="0"/>
                <w:lang w:bidi="ar"/>
              </w:rPr>
              <w:t>处的A声级，dB（A）；</w:t>
            </w:r>
          </w:p>
          <w:p w14:paraId="280A31CA">
            <w:pPr>
              <w:widowControl/>
              <w:ind w:firstLine="1200" w:firstLineChars="500"/>
            </w:pPr>
            <w:r>
              <w:rPr>
                <w:kern w:val="0"/>
                <w:lang w:bidi="ar"/>
              </w:rPr>
              <w:t>A</w:t>
            </w:r>
            <w:r>
              <w:rPr>
                <w:kern w:val="0"/>
                <w:sz w:val="15"/>
                <w:szCs w:val="15"/>
                <w:lang w:bidi="ar"/>
              </w:rPr>
              <w:t>div</w:t>
            </w:r>
            <w:r>
              <w:rPr>
                <w:kern w:val="0"/>
                <w:lang w:bidi="ar"/>
              </w:rPr>
              <w:t>——几何发散引起的衰减，dB；</w:t>
            </w:r>
          </w:p>
          <w:p w14:paraId="5A65D3BD">
            <w:pPr>
              <w:widowControl/>
              <w:ind w:firstLine="480"/>
            </w:pPr>
            <w:r>
              <w:rPr>
                <w:rFonts w:hint="eastAsia"/>
                <w:kern w:val="0"/>
                <w:lang w:bidi="ar"/>
              </w:rPr>
              <w:t>（2）</w:t>
            </w:r>
            <w:r>
              <w:rPr>
                <w:kern w:val="0"/>
                <w:lang w:bidi="ar"/>
              </w:rPr>
              <w:t>声源的几何发散衰减公式：</w:t>
            </w:r>
          </w:p>
          <w:p w14:paraId="297EB496">
            <w:pPr>
              <w:widowControl/>
              <w:ind w:firstLine="0" w:firstLineChars="0"/>
              <w:jc w:val="center"/>
            </w:pPr>
            <w:r>
              <w:rPr>
                <w:kern w:val="0"/>
                <w:lang w:bidi="ar"/>
              </w:rPr>
              <w:t>A</w:t>
            </w:r>
            <w:r>
              <w:rPr>
                <w:kern w:val="0"/>
                <w:sz w:val="15"/>
                <w:szCs w:val="15"/>
                <w:lang w:bidi="ar"/>
              </w:rPr>
              <w:t>div</w:t>
            </w:r>
            <w:r>
              <w:rPr>
                <w:kern w:val="0"/>
                <w:lang w:bidi="ar"/>
              </w:rPr>
              <w:t>=20lg（r/r</w:t>
            </w:r>
            <w:r>
              <w:rPr>
                <w:kern w:val="0"/>
                <w:sz w:val="15"/>
                <w:szCs w:val="15"/>
                <w:lang w:bidi="ar"/>
              </w:rPr>
              <w:t>0</w:t>
            </w:r>
            <w:r>
              <w:rPr>
                <w:kern w:val="0"/>
                <w:lang w:bidi="ar"/>
              </w:rPr>
              <w:t>）</w:t>
            </w:r>
          </w:p>
          <w:p w14:paraId="2ADBD4E2">
            <w:pPr>
              <w:widowControl/>
              <w:ind w:firstLine="480"/>
            </w:pPr>
            <w:r>
              <w:rPr>
                <w:kern w:val="0"/>
                <w:lang w:bidi="ar"/>
              </w:rPr>
              <w:t>式中：A</w:t>
            </w:r>
            <w:r>
              <w:rPr>
                <w:kern w:val="0"/>
                <w:sz w:val="15"/>
                <w:szCs w:val="15"/>
                <w:lang w:bidi="ar"/>
              </w:rPr>
              <w:t>div</w:t>
            </w:r>
            <w:r>
              <w:rPr>
                <w:kern w:val="0"/>
                <w:lang w:bidi="ar"/>
              </w:rPr>
              <w:t>——几何发散引起的衰减，dB；</w:t>
            </w:r>
          </w:p>
          <w:p w14:paraId="5C01D296">
            <w:pPr>
              <w:widowControl/>
              <w:ind w:firstLine="1200" w:firstLineChars="500"/>
            </w:pPr>
            <w:r>
              <w:rPr>
                <w:kern w:val="0"/>
                <w:lang w:bidi="ar"/>
              </w:rPr>
              <w:t>r——预测点距声源的距离；</w:t>
            </w:r>
          </w:p>
          <w:p w14:paraId="331CA85C">
            <w:pPr>
              <w:widowControl/>
              <w:ind w:firstLine="1200" w:firstLineChars="500"/>
              <w:jc w:val="left"/>
              <w:rPr>
                <w:b/>
              </w:rPr>
            </w:pPr>
            <w:r>
              <w:rPr>
                <w:kern w:val="0"/>
                <w:lang w:bidi="ar"/>
              </w:rPr>
              <w:t>r</w:t>
            </w:r>
            <w:r>
              <w:rPr>
                <w:kern w:val="0"/>
                <w:sz w:val="15"/>
                <w:szCs w:val="15"/>
                <w:lang w:bidi="ar"/>
              </w:rPr>
              <w:t>0</w:t>
            </w:r>
            <w:r>
              <w:rPr>
                <w:kern w:val="0"/>
                <w:lang w:bidi="ar"/>
              </w:rPr>
              <w:t>——参考位置距声源的距离；</w:t>
            </w:r>
          </w:p>
          <w:p w14:paraId="23141722">
            <w:pPr>
              <w:widowControl/>
              <w:ind w:firstLine="480"/>
              <w:jc w:val="left"/>
              <w:rPr>
                <w:b/>
              </w:rPr>
            </w:pPr>
            <w:r>
              <w:rPr>
                <w:kern w:val="0"/>
                <w:lang w:bidi="ar"/>
              </w:rPr>
              <w:t>（2）</w:t>
            </w:r>
            <w:r>
              <w:t>工业企业噪声计算公式</w:t>
            </w:r>
          </w:p>
          <w:p w14:paraId="36E271F1">
            <w:pPr>
              <w:widowControl/>
              <w:ind w:firstLine="0" w:firstLineChars="0"/>
              <w:jc w:val="center"/>
            </w:pPr>
            <w:r>
              <w:drawing>
                <wp:inline distT="0" distB="0" distL="114300" distR="114300">
                  <wp:extent cx="2847975" cy="590550"/>
                  <wp:effectExtent l="0" t="0" r="9525" b="0"/>
                  <wp:docPr id="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3"/>
                          <pic:cNvPicPr>
                            <a:picLocks noChangeAspect="1"/>
                          </pic:cNvPicPr>
                        </pic:nvPicPr>
                        <pic:blipFill>
                          <a:blip r:embed="rId31"/>
                          <a:stretch>
                            <a:fillRect/>
                          </a:stretch>
                        </pic:blipFill>
                        <pic:spPr>
                          <a:xfrm>
                            <a:off x="0" y="0"/>
                            <a:ext cx="2847975" cy="590550"/>
                          </a:xfrm>
                          <a:prstGeom prst="rect">
                            <a:avLst/>
                          </a:prstGeom>
                          <a:noFill/>
                          <a:ln>
                            <a:noFill/>
                          </a:ln>
                        </pic:spPr>
                      </pic:pic>
                    </a:graphicData>
                  </a:graphic>
                </wp:inline>
              </w:drawing>
            </w:r>
          </w:p>
          <w:p w14:paraId="423B4093">
            <w:pPr>
              <w:widowControl/>
              <w:ind w:firstLine="480"/>
              <w:jc w:val="left"/>
            </w:pPr>
            <w:r>
              <w:rPr>
                <w:kern w:val="0"/>
                <w:lang w:bidi="ar"/>
              </w:rPr>
              <w:t>式中：tj——在T时间内j声源工作时间，s；</w:t>
            </w:r>
          </w:p>
          <w:p w14:paraId="6C50381D">
            <w:pPr>
              <w:widowControl/>
              <w:ind w:firstLine="1200" w:firstLineChars="500"/>
              <w:jc w:val="left"/>
            </w:pPr>
            <w:r>
              <w:rPr>
                <w:kern w:val="0"/>
                <w:lang w:bidi="ar"/>
              </w:rPr>
              <w:t>ti——在T时间内i声源工作时间，s；</w:t>
            </w:r>
          </w:p>
          <w:p w14:paraId="5A0F3568">
            <w:pPr>
              <w:widowControl/>
              <w:ind w:firstLine="1200" w:firstLineChars="500"/>
              <w:jc w:val="left"/>
            </w:pPr>
            <w:r>
              <w:rPr>
                <w:kern w:val="0"/>
                <w:lang w:bidi="ar"/>
              </w:rPr>
              <w:t>T——用于计算等效声级的时间，s；</w:t>
            </w:r>
          </w:p>
          <w:p w14:paraId="1F697D2D">
            <w:pPr>
              <w:widowControl/>
              <w:ind w:firstLine="1200" w:firstLineChars="500"/>
              <w:jc w:val="left"/>
            </w:pPr>
            <w:r>
              <w:rPr>
                <w:kern w:val="0"/>
                <w:lang w:bidi="ar"/>
              </w:rPr>
              <w:t>N——室外声源个数；</w:t>
            </w:r>
          </w:p>
          <w:p w14:paraId="6FF3AC65">
            <w:pPr>
              <w:widowControl/>
              <w:ind w:firstLine="1200" w:firstLineChars="500"/>
              <w:jc w:val="left"/>
            </w:pPr>
            <w:r>
              <w:rPr>
                <w:kern w:val="0"/>
                <w:lang w:bidi="ar"/>
              </w:rPr>
              <w:t>M——等效室外声源个数。</w:t>
            </w:r>
          </w:p>
          <w:p w14:paraId="146448A7">
            <w:pPr>
              <w:widowControl/>
              <w:ind w:firstLine="482"/>
              <w:jc w:val="left"/>
              <w:rPr>
                <w:b/>
                <w:bCs/>
              </w:rPr>
            </w:pPr>
            <w:r>
              <w:rPr>
                <w:b/>
              </w:rPr>
              <w:t>4、</w:t>
            </w:r>
            <w:r>
              <w:rPr>
                <w:b/>
                <w:bCs/>
                <w:kern w:val="0"/>
                <w:lang w:bidi="ar"/>
              </w:rPr>
              <w:t>噪声预测结果</w:t>
            </w:r>
          </w:p>
          <w:p w14:paraId="2B043529">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本项目通过EIAPRON2021软件预测，</w:t>
            </w:r>
            <w:r>
              <w:rPr>
                <w:color w:val="000000" w:themeColor="text1"/>
                <w:kern w:val="0"/>
                <w:lang w:bidi="ar"/>
                <w14:textFill>
                  <w14:solidFill>
                    <w14:schemeClr w14:val="tx1"/>
                  </w14:solidFill>
                </w14:textFill>
              </w:rPr>
              <w:t>根据本项目噪声源有关参数及减噪措施，考虑各项减噪措施、厂房阻隔和距离衰减后得到各噪声到达厂界的衰减值，</w:t>
            </w:r>
            <w:r>
              <w:rPr>
                <w:rFonts w:hint="eastAsia"/>
                <w:color w:val="000000" w:themeColor="text1"/>
                <w:kern w:val="0"/>
                <w:lang w:bidi="ar"/>
                <w14:textFill>
                  <w14:solidFill>
                    <w14:schemeClr w14:val="tx1"/>
                  </w14:solidFill>
                </w14:textFill>
              </w:rPr>
              <w:t>厂界预测点采取等间距布设，昼间</w:t>
            </w:r>
            <w:r>
              <w:rPr>
                <w:rFonts w:hint="eastAsia"/>
                <w:color w:val="000000" w:themeColor="text1"/>
                <w14:textFill>
                  <w14:solidFill>
                    <w14:schemeClr w14:val="tx1"/>
                  </w14:solidFill>
                </w14:textFill>
              </w:rPr>
              <w:t>生产。</w:t>
            </w:r>
          </w:p>
          <w:p w14:paraId="3F9FEADA">
            <w:pPr>
              <w:widowControl/>
              <w:ind w:firstLine="480"/>
              <w:rPr>
                <w:kern w:val="0"/>
                <w:lang w:bidi="ar"/>
              </w:rPr>
            </w:pPr>
            <w:r>
              <w:rPr>
                <w:color w:val="000000" w:themeColor="text1"/>
                <w:kern w:val="0"/>
                <w:lang w:bidi="ar"/>
                <w14:textFill>
                  <w14:solidFill>
                    <w14:schemeClr w14:val="tx1"/>
                  </w14:solidFill>
                </w14:textFill>
              </w:rPr>
              <w:t>项目</w:t>
            </w:r>
            <w:r>
              <w:rPr>
                <w:rFonts w:hint="eastAsia"/>
                <w:color w:val="000000" w:themeColor="text1"/>
                <w:kern w:val="0"/>
                <w:lang w:bidi="ar"/>
                <w14:textFill>
                  <w14:solidFill>
                    <w14:schemeClr w14:val="tx1"/>
                  </w14:solidFill>
                </w14:textFill>
              </w:rPr>
              <w:t>厂界</w:t>
            </w:r>
            <w:r>
              <w:rPr>
                <w:color w:val="000000" w:themeColor="text1"/>
                <w:kern w:val="0"/>
                <w:lang w:bidi="ar"/>
                <w14:textFill>
                  <w14:solidFill>
                    <w14:schemeClr w14:val="tx1"/>
                  </w14:solidFill>
                </w14:textFill>
              </w:rPr>
              <w:t>噪声影响预测结果见表4-1</w:t>
            </w:r>
            <w:r>
              <w:rPr>
                <w:rFonts w:hint="eastAsia"/>
                <w:color w:val="000000" w:themeColor="text1"/>
                <w:kern w:val="0"/>
                <w:lang w:val="en-US" w:eastAsia="zh-CN" w:bidi="ar"/>
                <w14:textFill>
                  <w14:solidFill>
                    <w14:schemeClr w14:val="tx1"/>
                  </w14:solidFill>
                </w14:textFill>
              </w:rPr>
              <w:t>7</w:t>
            </w:r>
            <w:r>
              <w:rPr>
                <w:color w:val="000000" w:themeColor="text1"/>
                <w:kern w:val="0"/>
                <w:lang w:bidi="ar"/>
                <w14:textFill>
                  <w14:solidFill>
                    <w14:schemeClr w14:val="tx1"/>
                  </w14:solidFill>
                </w14:textFill>
              </w:rPr>
              <w:t>。</w:t>
            </w:r>
          </w:p>
          <w:p w14:paraId="134D75BC">
            <w:pPr>
              <w:widowControl/>
              <w:tabs>
                <w:tab w:val="left" w:pos="1780"/>
                <w:tab w:val="center" w:pos="3982"/>
              </w:tabs>
              <w:ind w:firstLine="0" w:firstLineChars="0"/>
              <w:jc w:val="left"/>
              <w:rPr>
                <w:b/>
                <w:bCs/>
                <w:kern w:val="0"/>
                <w:sz w:val="21"/>
                <w:szCs w:val="21"/>
                <w:lang w:bidi="ar"/>
              </w:rPr>
            </w:pPr>
            <w:r>
              <w:rPr>
                <w:rFonts w:hint="eastAsia"/>
                <w:b/>
                <w:bCs/>
                <w:kern w:val="0"/>
                <w:sz w:val="21"/>
                <w:szCs w:val="21"/>
                <w:lang w:eastAsia="zh-CN" w:bidi="ar"/>
              </w:rPr>
              <w:tab/>
            </w:r>
            <w:r>
              <w:rPr>
                <w:rFonts w:hint="eastAsia"/>
                <w:b/>
                <w:bCs/>
                <w:kern w:val="0"/>
                <w:sz w:val="21"/>
                <w:szCs w:val="21"/>
                <w:lang w:eastAsia="zh-CN" w:bidi="ar"/>
              </w:rPr>
              <w:tab/>
            </w:r>
            <w:r>
              <w:rPr>
                <w:b/>
                <w:bCs/>
                <w:kern w:val="0"/>
                <w:sz w:val="21"/>
                <w:szCs w:val="21"/>
                <w:lang w:bidi="ar"/>
              </w:rPr>
              <w:t>表4-1</w:t>
            </w:r>
            <w:r>
              <w:rPr>
                <w:rFonts w:hint="eastAsia"/>
                <w:b/>
                <w:bCs/>
                <w:kern w:val="0"/>
                <w:sz w:val="21"/>
                <w:szCs w:val="21"/>
                <w:lang w:val="en-US" w:eastAsia="zh-CN" w:bidi="ar"/>
              </w:rPr>
              <w:t>7</w:t>
            </w:r>
            <w:r>
              <w:rPr>
                <w:rFonts w:hint="eastAsia"/>
                <w:b/>
                <w:bCs/>
                <w:kern w:val="0"/>
                <w:sz w:val="21"/>
                <w:szCs w:val="21"/>
                <w:lang w:bidi="ar"/>
              </w:rPr>
              <w:t xml:space="preserve">  厂界</w:t>
            </w:r>
            <w:r>
              <w:rPr>
                <w:b/>
                <w:bCs/>
                <w:kern w:val="0"/>
                <w:sz w:val="21"/>
                <w:szCs w:val="21"/>
                <w:lang w:bidi="ar"/>
              </w:rPr>
              <w:t>噪声预测结果</w:t>
            </w:r>
            <w:r>
              <w:rPr>
                <w:rFonts w:hint="eastAsia"/>
              </w:rPr>
              <w:t xml:space="preserve"> </w:t>
            </w:r>
            <w:r>
              <w:rPr>
                <w:rFonts w:hint="eastAsia"/>
                <w:b/>
                <w:bCs/>
                <w:kern w:val="0"/>
                <w:sz w:val="21"/>
                <w:szCs w:val="21"/>
                <w:lang w:bidi="ar"/>
              </w:rPr>
              <w:t>单位：</w:t>
            </w:r>
            <w:r>
              <w:rPr>
                <w:b/>
                <w:bCs/>
                <w:kern w:val="0"/>
                <w:sz w:val="21"/>
                <w:szCs w:val="21"/>
                <w:lang w:bidi="ar"/>
              </w:rPr>
              <w:t>dB（A）</w:t>
            </w:r>
          </w:p>
          <w:tbl>
            <w:tblPr>
              <w:tblStyle w:val="16"/>
              <w:tblW w:w="7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952"/>
              <w:gridCol w:w="713"/>
              <w:gridCol w:w="906"/>
              <w:gridCol w:w="840"/>
              <w:gridCol w:w="857"/>
              <w:gridCol w:w="1015"/>
              <w:gridCol w:w="698"/>
            </w:tblGrid>
            <w:tr w14:paraId="2754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95" w:type="dxa"/>
                  <w:vMerge w:val="restart"/>
                  <w:vAlign w:val="center"/>
                </w:tcPr>
                <w:p w14:paraId="3BDF6BBC">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预测方位</w:t>
                  </w:r>
                </w:p>
              </w:tc>
              <w:tc>
                <w:tcPr>
                  <w:tcW w:w="2571" w:type="dxa"/>
                  <w:gridSpan w:val="3"/>
                  <w:vAlign w:val="center"/>
                </w:tcPr>
                <w:p w14:paraId="13FC2A09">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最大值点空间相对位置/m</w:t>
                  </w:r>
                </w:p>
              </w:tc>
              <w:tc>
                <w:tcPr>
                  <w:tcW w:w="840" w:type="dxa"/>
                  <w:vMerge w:val="restart"/>
                  <w:vAlign w:val="center"/>
                </w:tcPr>
                <w:p w14:paraId="6F433F0F">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时段</w:t>
                  </w:r>
                </w:p>
              </w:tc>
              <w:tc>
                <w:tcPr>
                  <w:tcW w:w="857" w:type="dxa"/>
                  <w:vMerge w:val="restart"/>
                  <w:vAlign w:val="center"/>
                </w:tcPr>
                <w:p w14:paraId="597C783A">
                  <w:pPr>
                    <w:widowControl/>
                    <w:spacing w:line="360" w:lineRule="exact"/>
                    <w:ind w:firstLine="0" w:firstLineChars="0"/>
                    <w:jc w:val="center"/>
                    <w:rPr>
                      <w:b/>
                      <w:bCs/>
                      <w:color w:val="000000" w:themeColor="text1"/>
                      <w:sz w:val="21"/>
                      <w:szCs w:val="21"/>
                      <w14:textFill>
                        <w14:solidFill>
                          <w14:schemeClr w14:val="tx1"/>
                        </w14:solidFill>
                      </w14:textFill>
                    </w:rPr>
                  </w:pPr>
                  <w:r>
                    <w:rPr>
                      <w:b/>
                      <w:bCs/>
                      <w:color w:val="000000" w:themeColor="text1"/>
                      <w:kern w:val="0"/>
                      <w:sz w:val="21"/>
                      <w:szCs w:val="21"/>
                      <w:lang w:bidi="ar"/>
                      <w14:textFill>
                        <w14:solidFill>
                          <w14:schemeClr w14:val="tx1"/>
                        </w14:solidFill>
                      </w14:textFill>
                    </w:rPr>
                    <w:t>贡献值</w:t>
                  </w:r>
                </w:p>
                <w:p w14:paraId="474C08D6">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dB</w:t>
                  </w:r>
                  <w:r>
                    <w:rPr>
                      <w:rFonts w:hint="eastAsia"/>
                      <w:b/>
                      <w:bCs/>
                      <w:color w:val="000000" w:themeColor="text1"/>
                      <w:kern w:val="0"/>
                      <w:sz w:val="21"/>
                      <w:szCs w:val="21"/>
                      <w:lang w:bidi="ar"/>
                      <w14:textFill>
                        <w14:solidFill>
                          <w14:schemeClr w14:val="tx1"/>
                        </w14:solidFill>
                      </w14:textFill>
                    </w:rPr>
                    <w:t>(</w:t>
                  </w:r>
                  <w:r>
                    <w:rPr>
                      <w:b/>
                      <w:bCs/>
                      <w:color w:val="000000" w:themeColor="text1"/>
                      <w:kern w:val="0"/>
                      <w:sz w:val="21"/>
                      <w:szCs w:val="21"/>
                      <w:lang w:bidi="ar"/>
                      <w14:textFill>
                        <w14:solidFill>
                          <w14:schemeClr w14:val="tx1"/>
                        </w14:solidFill>
                      </w14:textFill>
                    </w:rPr>
                    <w:t>A</w:t>
                  </w:r>
                  <w:r>
                    <w:rPr>
                      <w:rFonts w:hint="eastAsia"/>
                      <w:b/>
                      <w:bCs/>
                      <w:color w:val="000000" w:themeColor="text1"/>
                      <w:kern w:val="0"/>
                      <w:sz w:val="21"/>
                      <w:szCs w:val="21"/>
                      <w:lang w:bidi="ar"/>
                      <w14:textFill>
                        <w14:solidFill>
                          <w14:schemeClr w14:val="tx1"/>
                        </w14:solidFill>
                      </w14:textFill>
                    </w:rPr>
                    <w:t>)</w:t>
                  </w:r>
                </w:p>
              </w:tc>
              <w:tc>
                <w:tcPr>
                  <w:tcW w:w="1015" w:type="dxa"/>
                  <w:vMerge w:val="restart"/>
                  <w:vAlign w:val="center"/>
                </w:tcPr>
                <w:p w14:paraId="78ED8B80">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标准值dB</w:t>
                  </w:r>
                  <w:r>
                    <w:rPr>
                      <w:rFonts w:hint="eastAsia"/>
                      <w:b/>
                      <w:bCs/>
                      <w:color w:val="000000" w:themeColor="text1"/>
                      <w:kern w:val="0"/>
                      <w:sz w:val="21"/>
                      <w:szCs w:val="21"/>
                      <w:lang w:bidi="ar"/>
                      <w14:textFill>
                        <w14:solidFill>
                          <w14:schemeClr w14:val="tx1"/>
                        </w14:solidFill>
                      </w14:textFill>
                    </w:rPr>
                    <w:t>(</w:t>
                  </w:r>
                  <w:r>
                    <w:rPr>
                      <w:b/>
                      <w:bCs/>
                      <w:color w:val="000000" w:themeColor="text1"/>
                      <w:kern w:val="0"/>
                      <w:sz w:val="21"/>
                      <w:szCs w:val="21"/>
                      <w:lang w:bidi="ar"/>
                      <w14:textFill>
                        <w14:solidFill>
                          <w14:schemeClr w14:val="tx1"/>
                        </w14:solidFill>
                      </w14:textFill>
                    </w:rPr>
                    <w:t>A</w:t>
                  </w:r>
                  <w:r>
                    <w:rPr>
                      <w:rFonts w:hint="eastAsia"/>
                      <w:b/>
                      <w:bCs/>
                      <w:color w:val="000000" w:themeColor="text1"/>
                      <w:kern w:val="0"/>
                      <w:sz w:val="21"/>
                      <w:szCs w:val="21"/>
                      <w:lang w:bidi="ar"/>
                      <w14:textFill>
                        <w14:solidFill>
                          <w14:schemeClr w14:val="tx1"/>
                        </w14:solidFill>
                      </w14:textFill>
                    </w:rPr>
                    <w:t>)</w:t>
                  </w:r>
                </w:p>
              </w:tc>
              <w:tc>
                <w:tcPr>
                  <w:tcW w:w="698" w:type="dxa"/>
                  <w:vMerge w:val="restart"/>
                  <w:vAlign w:val="center"/>
                </w:tcPr>
                <w:p w14:paraId="57E28D5F">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达标情况</w:t>
                  </w:r>
                </w:p>
              </w:tc>
            </w:tr>
            <w:tr w14:paraId="74E1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95" w:type="dxa"/>
                  <w:vMerge w:val="continue"/>
                  <w:vAlign w:val="center"/>
                </w:tcPr>
                <w:p w14:paraId="696C7263">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952" w:type="dxa"/>
                  <w:vAlign w:val="center"/>
                </w:tcPr>
                <w:p w14:paraId="2DB3EA1B">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X</w:t>
                  </w:r>
                </w:p>
              </w:tc>
              <w:tc>
                <w:tcPr>
                  <w:tcW w:w="713" w:type="dxa"/>
                  <w:vAlign w:val="center"/>
                </w:tcPr>
                <w:p w14:paraId="700BA0C2">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Y</w:t>
                  </w:r>
                </w:p>
              </w:tc>
              <w:tc>
                <w:tcPr>
                  <w:tcW w:w="906" w:type="dxa"/>
                  <w:vAlign w:val="center"/>
                </w:tcPr>
                <w:p w14:paraId="44AABC04">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r>
                    <w:rPr>
                      <w:b/>
                      <w:bCs/>
                      <w:color w:val="000000" w:themeColor="text1"/>
                      <w:kern w:val="0"/>
                      <w:sz w:val="21"/>
                      <w:szCs w:val="21"/>
                      <w:lang w:bidi="ar"/>
                      <w14:textFill>
                        <w14:solidFill>
                          <w14:schemeClr w14:val="tx1"/>
                        </w14:solidFill>
                      </w14:textFill>
                    </w:rPr>
                    <w:t>Z</w:t>
                  </w:r>
                </w:p>
              </w:tc>
              <w:tc>
                <w:tcPr>
                  <w:tcW w:w="840" w:type="dxa"/>
                  <w:vMerge w:val="continue"/>
                  <w:vAlign w:val="center"/>
                </w:tcPr>
                <w:p w14:paraId="26C4ED57">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857" w:type="dxa"/>
                  <w:vMerge w:val="continue"/>
                  <w:vAlign w:val="center"/>
                </w:tcPr>
                <w:p w14:paraId="554D4789">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1015" w:type="dxa"/>
                  <w:vMerge w:val="continue"/>
                  <w:vAlign w:val="center"/>
                </w:tcPr>
                <w:p w14:paraId="727A6FFE">
                  <w:pPr>
                    <w:widowControl/>
                    <w:spacing w:line="360" w:lineRule="exact"/>
                    <w:ind w:firstLine="0" w:firstLineChars="0"/>
                    <w:jc w:val="center"/>
                    <w:rPr>
                      <w:b/>
                      <w:bCs/>
                      <w:color w:val="000000" w:themeColor="text1"/>
                      <w:kern w:val="0"/>
                      <w:sz w:val="21"/>
                      <w:szCs w:val="21"/>
                      <w:lang w:bidi="ar"/>
                      <w14:textFill>
                        <w14:solidFill>
                          <w14:schemeClr w14:val="tx1"/>
                        </w14:solidFill>
                      </w14:textFill>
                    </w:rPr>
                  </w:pPr>
                </w:p>
              </w:tc>
              <w:tc>
                <w:tcPr>
                  <w:tcW w:w="698" w:type="dxa"/>
                  <w:vMerge w:val="continue"/>
                  <w:vAlign w:val="center"/>
                </w:tcPr>
                <w:p w14:paraId="0AD3D6F6">
                  <w:pPr>
                    <w:widowControl/>
                    <w:spacing w:line="360" w:lineRule="exact"/>
                    <w:ind w:firstLine="0" w:firstLineChars="0"/>
                    <w:jc w:val="center"/>
                    <w:rPr>
                      <w:b/>
                      <w:bCs/>
                      <w:color w:val="000000" w:themeColor="text1"/>
                      <w:kern w:val="0"/>
                      <w:sz w:val="21"/>
                      <w:szCs w:val="21"/>
                      <w:highlight w:val="yellow"/>
                      <w:lang w:bidi="ar"/>
                      <w14:textFill>
                        <w14:solidFill>
                          <w14:schemeClr w14:val="tx1"/>
                        </w14:solidFill>
                      </w14:textFill>
                    </w:rPr>
                  </w:pPr>
                </w:p>
              </w:tc>
            </w:tr>
            <w:tr w14:paraId="4A24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95" w:type="dxa"/>
                  <w:vAlign w:val="center"/>
                </w:tcPr>
                <w:p w14:paraId="4F93F9DF">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东侧</w:t>
                  </w:r>
                </w:p>
              </w:tc>
              <w:tc>
                <w:tcPr>
                  <w:tcW w:w="952" w:type="dxa"/>
                  <w:vAlign w:val="center"/>
                </w:tcPr>
                <w:p w14:paraId="6034FAC1">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13</w:t>
                  </w:r>
                </w:p>
              </w:tc>
              <w:tc>
                <w:tcPr>
                  <w:tcW w:w="713" w:type="dxa"/>
                  <w:shd w:val="clear" w:color="auto" w:fill="auto"/>
                  <w:vAlign w:val="center"/>
                </w:tcPr>
                <w:p w14:paraId="3F798E73">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7</w:t>
                  </w:r>
                </w:p>
              </w:tc>
              <w:tc>
                <w:tcPr>
                  <w:tcW w:w="906" w:type="dxa"/>
                  <w:shd w:val="clear" w:color="auto" w:fill="auto"/>
                  <w:vAlign w:val="center"/>
                </w:tcPr>
                <w:p w14:paraId="3F44E954">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1.2</w:t>
                  </w:r>
                </w:p>
              </w:tc>
              <w:tc>
                <w:tcPr>
                  <w:tcW w:w="840" w:type="dxa"/>
                  <w:vMerge w:val="restart"/>
                  <w:shd w:val="clear" w:color="auto" w:fill="auto"/>
                  <w:vAlign w:val="center"/>
                </w:tcPr>
                <w:p w14:paraId="3CA09DEC">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昼间</w:t>
                  </w:r>
                </w:p>
              </w:tc>
              <w:tc>
                <w:tcPr>
                  <w:tcW w:w="857" w:type="dxa"/>
                  <w:shd w:val="clear" w:color="auto" w:fill="auto"/>
                  <w:vAlign w:val="center"/>
                </w:tcPr>
                <w:p w14:paraId="0DAB6972">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39.01</w:t>
                  </w:r>
                </w:p>
              </w:tc>
              <w:tc>
                <w:tcPr>
                  <w:tcW w:w="1015" w:type="dxa"/>
                  <w:vMerge w:val="restart"/>
                  <w:vAlign w:val="center"/>
                </w:tcPr>
                <w:p w14:paraId="74FDBD6B">
                  <w:pPr>
                    <w:widowControl/>
                    <w:spacing w:line="360" w:lineRule="exact"/>
                    <w:ind w:firstLine="0" w:firstLineChars="0"/>
                    <w:jc w:val="center"/>
                    <w:rPr>
                      <w:rFonts w:hint="eastAsia" w:eastAsia="宋体"/>
                      <w:color w:val="000000" w:themeColor="text1"/>
                      <w:kern w:val="0"/>
                      <w:sz w:val="21"/>
                      <w:szCs w:val="21"/>
                      <w:lang w:eastAsia="zh-CN"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昼间≤6</w:t>
                  </w:r>
                  <w:r>
                    <w:rPr>
                      <w:rFonts w:hint="eastAsia"/>
                      <w:color w:val="000000" w:themeColor="text1"/>
                      <w:kern w:val="0"/>
                      <w:sz w:val="21"/>
                      <w:szCs w:val="21"/>
                      <w:lang w:val="en-US" w:eastAsia="zh-CN" w:bidi="ar"/>
                      <w14:textFill>
                        <w14:solidFill>
                          <w14:schemeClr w14:val="tx1"/>
                        </w14:solidFill>
                      </w14:textFill>
                    </w:rPr>
                    <w:t>0</w:t>
                  </w:r>
                </w:p>
              </w:tc>
              <w:tc>
                <w:tcPr>
                  <w:tcW w:w="698" w:type="dxa"/>
                  <w:vAlign w:val="center"/>
                </w:tcPr>
                <w:p w14:paraId="6883277F">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07F1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95" w:type="dxa"/>
                  <w:vAlign w:val="center"/>
                </w:tcPr>
                <w:p w14:paraId="5D6B46B2">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南侧</w:t>
                  </w:r>
                </w:p>
              </w:tc>
              <w:tc>
                <w:tcPr>
                  <w:tcW w:w="952" w:type="dxa"/>
                  <w:shd w:val="clear" w:color="auto" w:fill="auto"/>
                  <w:vAlign w:val="center"/>
                </w:tcPr>
                <w:p w14:paraId="1EA1B65A">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w:t>
                  </w:r>
                </w:p>
              </w:tc>
              <w:tc>
                <w:tcPr>
                  <w:tcW w:w="713" w:type="dxa"/>
                  <w:shd w:val="clear" w:color="auto" w:fill="auto"/>
                  <w:vAlign w:val="center"/>
                </w:tcPr>
                <w:p w14:paraId="6132303A">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-6</w:t>
                  </w:r>
                </w:p>
              </w:tc>
              <w:tc>
                <w:tcPr>
                  <w:tcW w:w="906" w:type="dxa"/>
                  <w:shd w:val="clear" w:color="auto" w:fill="auto"/>
                  <w:vAlign w:val="center"/>
                </w:tcPr>
                <w:p w14:paraId="769A56E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color w:val="auto"/>
                      <w:kern w:val="0"/>
                      <w:sz w:val="21"/>
                      <w:szCs w:val="21"/>
                      <w:lang w:bidi="ar"/>
                    </w:rPr>
                  </w:pPr>
                  <w:r>
                    <w:rPr>
                      <w:rFonts w:hint="eastAsia"/>
                      <w:color w:val="auto"/>
                      <w:kern w:val="0"/>
                      <w:sz w:val="21"/>
                      <w:szCs w:val="21"/>
                      <w:lang w:val="en-US" w:eastAsia="zh-CN" w:bidi="ar"/>
                    </w:rPr>
                    <w:t>1.2</w:t>
                  </w:r>
                </w:p>
              </w:tc>
              <w:tc>
                <w:tcPr>
                  <w:tcW w:w="840" w:type="dxa"/>
                  <w:vMerge w:val="continue"/>
                  <w:shd w:val="clear" w:color="auto" w:fill="auto"/>
                  <w:vAlign w:val="center"/>
                </w:tcPr>
                <w:p w14:paraId="19C769E0">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27661883">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58.21</w:t>
                  </w:r>
                </w:p>
              </w:tc>
              <w:tc>
                <w:tcPr>
                  <w:tcW w:w="1015" w:type="dxa"/>
                  <w:vMerge w:val="continue"/>
                  <w:vAlign w:val="center"/>
                </w:tcPr>
                <w:p w14:paraId="0747E737">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vAlign w:val="center"/>
                </w:tcPr>
                <w:p w14:paraId="670F501A">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5C53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395" w:type="dxa"/>
                  <w:vAlign w:val="center"/>
                </w:tcPr>
                <w:p w14:paraId="5A4194C1">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西侧</w:t>
                  </w:r>
                </w:p>
              </w:tc>
              <w:tc>
                <w:tcPr>
                  <w:tcW w:w="952" w:type="dxa"/>
                  <w:shd w:val="clear" w:color="auto" w:fill="auto"/>
                  <w:vAlign w:val="center"/>
                </w:tcPr>
                <w:p w14:paraId="2F054A74">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-15</w:t>
                  </w:r>
                </w:p>
              </w:tc>
              <w:tc>
                <w:tcPr>
                  <w:tcW w:w="713" w:type="dxa"/>
                  <w:shd w:val="clear" w:color="auto" w:fill="auto"/>
                  <w:vAlign w:val="center"/>
                </w:tcPr>
                <w:p w14:paraId="5119064F">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-19</w:t>
                  </w:r>
                </w:p>
              </w:tc>
              <w:tc>
                <w:tcPr>
                  <w:tcW w:w="906" w:type="dxa"/>
                  <w:shd w:val="clear" w:color="auto" w:fill="auto"/>
                  <w:vAlign w:val="center"/>
                </w:tcPr>
                <w:p w14:paraId="1B1363FD">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color w:val="auto"/>
                      <w:kern w:val="0"/>
                      <w:sz w:val="21"/>
                      <w:szCs w:val="21"/>
                      <w:lang w:bidi="ar"/>
                    </w:rPr>
                  </w:pPr>
                  <w:r>
                    <w:rPr>
                      <w:rFonts w:hint="eastAsia"/>
                      <w:color w:val="auto"/>
                      <w:kern w:val="0"/>
                      <w:sz w:val="21"/>
                      <w:szCs w:val="21"/>
                      <w:lang w:val="en-US" w:eastAsia="zh-CN" w:bidi="ar"/>
                    </w:rPr>
                    <w:t>1.2</w:t>
                  </w:r>
                </w:p>
              </w:tc>
              <w:tc>
                <w:tcPr>
                  <w:tcW w:w="840" w:type="dxa"/>
                  <w:vMerge w:val="continue"/>
                  <w:shd w:val="clear" w:color="auto" w:fill="auto"/>
                  <w:vAlign w:val="center"/>
                </w:tcPr>
                <w:p w14:paraId="6D6EB35E">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73F011C2">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48.26</w:t>
                  </w:r>
                </w:p>
              </w:tc>
              <w:tc>
                <w:tcPr>
                  <w:tcW w:w="1015" w:type="dxa"/>
                  <w:vMerge w:val="continue"/>
                  <w:vAlign w:val="center"/>
                </w:tcPr>
                <w:p w14:paraId="3204FF90">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vAlign w:val="center"/>
                </w:tcPr>
                <w:p w14:paraId="4581AAEA">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1AB1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5" w:type="dxa"/>
                  <w:vAlign w:val="center"/>
                </w:tcPr>
                <w:p w14:paraId="7FEA6A75">
                  <w:pPr>
                    <w:widowControl/>
                    <w:spacing w:line="360" w:lineRule="exact"/>
                    <w:ind w:firstLine="0" w:firstLineChars="0"/>
                    <w:jc w:val="center"/>
                    <w:rPr>
                      <w:color w:val="auto"/>
                      <w:kern w:val="0"/>
                      <w:sz w:val="21"/>
                      <w:szCs w:val="21"/>
                      <w:lang w:bidi="ar"/>
                    </w:rPr>
                  </w:pPr>
                  <w:r>
                    <w:rPr>
                      <w:rFonts w:hint="eastAsia"/>
                      <w:color w:val="auto"/>
                      <w:kern w:val="0"/>
                      <w:sz w:val="21"/>
                      <w:szCs w:val="21"/>
                      <w:lang w:bidi="ar"/>
                    </w:rPr>
                    <w:t>北侧</w:t>
                  </w:r>
                </w:p>
              </w:tc>
              <w:tc>
                <w:tcPr>
                  <w:tcW w:w="952" w:type="dxa"/>
                  <w:shd w:val="clear" w:color="auto" w:fill="auto"/>
                  <w:vAlign w:val="center"/>
                </w:tcPr>
                <w:p w14:paraId="7EDC703E">
                  <w:pPr>
                    <w:widowControl/>
                    <w:spacing w:line="360" w:lineRule="exact"/>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-6</w:t>
                  </w:r>
                </w:p>
              </w:tc>
              <w:tc>
                <w:tcPr>
                  <w:tcW w:w="713" w:type="dxa"/>
                  <w:shd w:val="clear" w:color="auto" w:fill="auto"/>
                  <w:vAlign w:val="center"/>
                </w:tcPr>
                <w:p w14:paraId="00FC486C">
                  <w:pPr>
                    <w:widowControl/>
                    <w:spacing w:line="360" w:lineRule="exact"/>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13</w:t>
                  </w:r>
                </w:p>
              </w:tc>
              <w:tc>
                <w:tcPr>
                  <w:tcW w:w="906" w:type="dxa"/>
                  <w:shd w:val="clear" w:color="auto" w:fill="auto"/>
                  <w:vAlign w:val="center"/>
                </w:tcPr>
                <w:p w14:paraId="05530796">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color w:val="auto"/>
                      <w:kern w:val="0"/>
                      <w:sz w:val="21"/>
                      <w:szCs w:val="21"/>
                      <w:lang w:bidi="ar"/>
                    </w:rPr>
                  </w:pPr>
                  <w:r>
                    <w:rPr>
                      <w:rFonts w:hint="eastAsia"/>
                      <w:color w:val="auto"/>
                      <w:kern w:val="0"/>
                      <w:sz w:val="21"/>
                      <w:szCs w:val="21"/>
                      <w:lang w:val="en-US" w:eastAsia="zh-CN" w:bidi="ar"/>
                    </w:rPr>
                    <w:t>1.2</w:t>
                  </w:r>
                </w:p>
              </w:tc>
              <w:tc>
                <w:tcPr>
                  <w:tcW w:w="840" w:type="dxa"/>
                  <w:vMerge w:val="continue"/>
                  <w:shd w:val="clear" w:color="auto" w:fill="auto"/>
                  <w:vAlign w:val="center"/>
                </w:tcPr>
                <w:p w14:paraId="4FC91094">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1628197A">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53.71</w:t>
                  </w:r>
                </w:p>
              </w:tc>
              <w:tc>
                <w:tcPr>
                  <w:tcW w:w="1015" w:type="dxa"/>
                  <w:vMerge w:val="continue"/>
                  <w:vAlign w:val="center"/>
                </w:tcPr>
                <w:p w14:paraId="76686E57">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vAlign w:val="center"/>
                </w:tcPr>
                <w:p w14:paraId="125C9DCA">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7FB9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95" w:type="dxa"/>
                  <w:vAlign w:val="center"/>
                </w:tcPr>
                <w:p w14:paraId="0899576C">
                  <w:pPr>
                    <w:widowControl/>
                    <w:spacing w:line="360" w:lineRule="exact"/>
                    <w:ind w:firstLine="0" w:firstLineChars="0"/>
                    <w:jc w:val="center"/>
                    <w:rPr>
                      <w:color w:val="auto"/>
                      <w:kern w:val="0"/>
                      <w:sz w:val="21"/>
                      <w:szCs w:val="21"/>
                      <w:lang w:bidi="ar"/>
                    </w:rPr>
                  </w:pPr>
                  <w:r>
                    <w:rPr>
                      <w:rFonts w:hint="eastAsia"/>
                      <w:color w:val="auto"/>
                      <w:kern w:val="0"/>
                      <w:sz w:val="21"/>
                      <w:szCs w:val="21"/>
                      <w:lang w:val="en-US" w:eastAsia="zh-CN" w:bidi="ar"/>
                    </w:rPr>
                    <w:t>厂界线</w:t>
                  </w:r>
                  <w:r>
                    <w:rPr>
                      <w:rFonts w:hint="eastAsia"/>
                      <w:color w:val="auto"/>
                      <w:kern w:val="0"/>
                      <w:sz w:val="21"/>
                      <w:szCs w:val="21"/>
                      <w:lang w:bidi="ar"/>
                    </w:rPr>
                    <w:t>网格最大点</w:t>
                  </w:r>
                </w:p>
              </w:tc>
              <w:tc>
                <w:tcPr>
                  <w:tcW w:w="952" w:type="dxa"/>
                  <w:shd w:val="clear" w:color="auto" w:fill="auto"/>
                  <w:vAlign w:val="center"/>
                </w:tcPr>
                <w:p w14:paraId="675CCB8F">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-2</w:t>
                  </w:r>
                </w:p>
              </w:tc>
              <w:tc>
                <w:tcPr>
                  <w:tcW w:w="713" w:type="dxa"/>
                  <w:shd w:val="clear" w:color="auto" w:fill="auto"/>
                  <w:vAlign w:val="center"/>
                </w:tcPr>
                <w:p w14:paraId="62FF5972">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-6</w:t>
                  </w:r>
                </w:p>
              </w:tc>
              <w:tc>
                <w:tcPr>
                  <w:tcW w:w="906" w:type="dxa"/>
                  <w:shd w:val="clear" w:color="auto" w:fill="auto"/>
                  <w:vAlign w:val="center"/>
                </w:tcPr>
                <w:p w14:paraId="54E0DE11">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eastAsia="宋体"/>
                      <w:color w:val="auto"/>
                      <w:kern w:val="0"/>
                      <w:sz w:val="21"/>
                      <w:szCs w:val="21"/>
                      <w:lang w:val="en-US" w:eastAsia="zh-CN" w:bidi="ar"/>
                    </w:rPr>
                  </w:pPr>
                  <w:r>
                    <w:rPr>
                      <w:rFonts w:hint="eastAsia"/>
                      <w:color w:val="auto"/>
                      <w:kern w:val="0"/>
                      <w:sz w:val="21"/>
                      <w:szCs w:val="21"/>
                      <w:lang w:val="en-US" w:eastAsia="zh-CN" w:bidi="ar"/>
                    </w:rPr>
                    <w:t>1.2</w:t>
                  </w:r>
                </w:p>
              </w:tc>
              <w:tc>
                <w:tcPr>
                  <w:tcW w:w="840" w:type="dxa"/>
                  <w:vMerge w:val="continue"/>
                  <w:shd w:val="clear" w:color="auto" w:fill="auto"/>
                  <w:vAlign w:val="center"/>
                </w:tcPr>
                <w:p w14:paraId="4AC7CB27">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3104D772">
                  <w:pPr>
                    <w:widowControl/>
                    <w:spacing w:line="360" w:lineRule="exact"/>
                    <w:ind w:firstLine="0" w:firstLineChars="0"/>
                    <w:jc w:val="center"/>
                    <w:rPr>
                      <w:rFonts w:hint="default" w:eastAsia="宋体"/>
                      <w:color w:val="auto"/>
                      <w:kern w:val="0"/>
                      <w:sz w:val="21"/>
                      <w:szCs w:val="21"/>
                      <w:lang w:val="en-US" w:eastAsia="zh-CN" w:bidi="ar"/>
                    </w:rPr>
                  </w:pPr>
                  <w:r>
                    <w:rPr>
                      <w:rFonts w:hint="eastAsia"/>
                      <w:color w:val="auto"/>
                      <w:kern w:val="0"/>
                      <w:sz w:val="21"/>
                      <w:szCs w:val="21"/>
                      <w:lang w:val="en-US" w:eastAsia="zh-CN" w:bidi="ar"/>
                    </w:rPr>
                    <w:t>58.21</w:t>
                  </w:r>
                </w:p>
              </w:tc>
              <w:tc>
                <w:tcPr>
                  <w:tcW w:w="1015" w:type="dxa"/>
                  <w:vMerge w:val="continue"/>
                  <w:shd w:val="clear" w:color="auto" w:fill="auto"/>
                  <w:vAlign w:val="center"/>
                </w:tcPr>
                <w:p w14:paraId="3BB9087F">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shd w:val="clear" w:color="auto" w:fill="auto"/>
                  <w:vAlign w:val="center"/>
                </w:tcPr>
                <w:p w14:paraId="1608E35E">
                  <w:pPr>
                    <w:widowControl/>
                    <w:spacing w:line="360" w:lineRule="exact"/>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r w14:paraId="25C7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95" w:type="dxa"/>
                  <w:vAlign w:val="center"/>
                </w:tcPr>
                <w:p w14:paraId="2D442A38">
                  <w:pPr>
                    <w:widowControl/>
                    <w:spacing w:line="360" w:lineRule="exact"/>
                    <w:ind w:firstLine="0" w:firstLineChars="0"/>
                    <w:jc w:val="center"/>
                    <w:rPr>
                      <w:rFonts w:hint="default"/>
                      <w:color w:val="auto"/>
                      <w:kern w:val="0"/>
                      <w:sz w:val="21"/>
                      <w:szCs w:val="21"/>
                      <w:lang w:val="en-US" w:eastAsia="zh-CN" w:bidi="ar"/>
                    </w:rPr>
                  </w:pPr>
                  <w:r>
                    <w:rPr>
                      <w:rFonts w:hint="eastAsia"/>
                      <w:color w:val="auto"/>
                      <w:kern w:val="0"/>
                      <w:sz w:val="21"/>
                      <w:szCs w:val="21"/>
                      <w:lang w:val="en-US" w:eastAsia="zh-CN" w:bidi="ar"/>
                    </w:rPr>
                    <w:t>厂界外网格最大点</w:t>
                  </w:r>
                </w:p>
              </w:tc>
              <w:tc>
                <w:tcPr>
                  <w:tcW w:w="952" w:type="dxa"/>
                  <w:shd w:val="clear" w:color="auto" w:fill="auto"/>
                  <w:vAlign w:val="center"/>
                </w:tcPr>
                <w:p w14:paraId="0B0078CF">
                  <w:pPr>
                    <w:widowControl/>
                    <w:spacing w:line="360" w:lineRule="exact"/>
                    <w:ind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-8</w:t>
                  </w:r>
                </w:p>
              </w:tc>
              <w:tc>
                <w:tcPr>
                  <w:tcW w:w="713" w:type="dxa"/>
                  <w:shd w:val="clear" w:color="auto" w:fill="auto"/>
                  <w:vAlign w:val="center"/>
                </w:tcPr>
                <w:p w14:paraId="3FBDABAA">
                  <w:pPr>
                    <w:widowControl/>
                    <w:spacing w:line="360" w:lineRule="exact"/>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9.60</w:t>
                  </w:r>
                </w:p>
              </w:tc>
              <w:tc>
                <w:tcPr>
                  <w:tcW w:w="906" w:type="dxa"/>
                  <w:shd w:val="clear" w:color="auto" w:fill="auto"/>
                  <w:vAlign w:val="center"/>
                </w:tcPr>
                <w:p w14:paraId="12E24F67">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1.2</w:t>
                  </w:r>
                </w:p>
              </w:tc>
              <w:tc>
                <w:tcPr>
                  <w:tcW w:w="840" w:type="dxa"/>
                  <w:vMerge w:val="continue"/>
                  <w:shd w:val="clear" w:color="auto" w:fill="auto"/>
                  <w:vAlign w:val="center"/>
                </w:tcPr>
                <w:p w14:paraId="754F2CAD">
                  <w:pPr>
                    <w:widowControl/>
                    <w:spacing w:line="360" w:lineRule="exact"/>
                    <w:ind w:firstLine="0" w:firstLineChars="0"/>
                    <w:jc w:val="center"/>
                    <w:rPr>
                      <w:color w:val="auto"/>
                      <w:kern w:val="0"/>
                      <w:sz w:val="21"/>
                      <w:szCs w:val="21"/>
                      <w:lang w:bidi="ar"/>
                    </w:rPr>
                  </w:pPr>
                </w:p>
              </w:tc>
              <w:tc>
                <w:tcPr>
                  <w:tcW w:w="857" w:type="dxa"/>
                  <w:shd w:val="clear" w:color="auto" w:fill="auto"/>
                  <w:vAlign w:val="center"/>
                </w:tcPr>
                <w:p w14:paraId="5A62EDE1">
                  <w:pPr>
                    <w:widowControl/>
                    <w:spacing w:line="360" w:lineRule="exact"/>
                    <w:ind w:firstLine="0" w:firstLineChars="0"/>
                    <w:jc w:val="center"/>
                    <w:rPr>
                      <w:rFonts w:hint="default"/>
                      <w:color w:val="auto"/>
                      <w:kern w:val="0"/>
                      <w:sz w:val="21"/>
                      <w:szCs w:val="21"/>
                      <w:lang w:val="en-US" w:bidi="ar"/>
                    </w:rPr>
                  </w:pPr>
                  <w:r>
                    <w:rPr>
                      <w:rFonts w:hint="eastAsia"/>
                      <w:color w:val="auto"/>
                      <w:kern w:val="0"/>
                      <w:sz w:val="21"/>
                      <w:szCs w:val="21"/>
                      <w:lang w:bidi="ar"/>
                    </w:rPr>
                    <w:t>5</w:t>
                  </w:r>
                  <w:r>
                    <w:rPr>
                      <w:rFonts w:hint="eastAsia"/>
                      <w:color w:val="auto"/>
                      <w:kern w:val="0"/>
                      <w:sz w:val="21"/>
                      <w:szCs w:val="21"/>
                      <w:lang w:val="en-US" w:eastAsia="zh-CN" w:bidi="ar"/>
                    </w:rPr>
                    <w:t>4.31</w:t>
                  </w:r>
                </w:p>
              </w:tc>
              <w:tc>
                <w:tcPr>
                  <w:tcW w:w="1015" w:type="dxa"/>
                  <w:vMerge w:val="continue"/>
                  <w:shd w:val="clear" w:color="auto" w:fill="auto"/>
                  <w:vAlign w:val="center"/>
                </w:tcPr>
                <w:p w14:paraId="20994363">
                  <w:pPr>
                    <w:widowControl/>
                    <w:spacing w:line="360" w:lineRule="exact"/>
                    <w:ind w:firstLine="0" w:firstLineChars="0"/>
                    <w:jc w:val="center"/>
                    <w:rPr>
                      <w:color w:val="000000" w:themeColor="text1"/>
                      <w:kern w:val="0"/>
                      <w:sz w:val="21"/>
                      <w:szCs w:val="21"/>
                      <w:lang w:bidi="ar"/>
                      <w14:textFill>
                        <w14:solidFill>
                          <w14:schemeClr w14:val="tx1"/>
                        </w14:solidFill>
                      </w14:textFill>
                    </w:rPr>
                  </w:pPr>
                </w:p>
              </w:tc>
              <w:tc>
                <w:tcPr>
                  <w:tcW w:w="698" w:type="dxa"/>
                  <w:shd w:val="clear" w:color="auto" w:fill="auto"/>
                  <w:vAlign w:val="center"/>
                </w:tcPr>
                <w:p w14:paraId="6EFDBCEB">
                  <w:pPr>
                    <w:widowControl/>
                    <w:spacing w:line="360" w:lineRule="exact"/>
                    <w:ind w:firstLine="0" w:firstLineChars="0"/>
                    <w:jc w:val="center"/>
                    <w:rPr>
                      <w:rFonts w:hint="eastAsia"/>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达标</w:t>
                  </w:r>
                </w:p>
              </w:tc>
            </w:tr>
          </w:tbl>
          <w:p w14:paraId="4C321581">
            <w:pPr>
              <w:pStyle w:val="6"/>
              <w:keepNext w:val="0"/>
              <w:keepLines w:val="0"/>
              <w:pageBreakBefore w:val="0"/>
              <w:kinsoku/>
              <w:overflowPunct/>
              <w:topLinePunct w:val="0"/>
              <w:autoSpaceDE/>
              <w:autoSpaceDN/>
              <w:bidi w:val="0"/>
              <w:adjustRightInd/>
              <w:snapToGrid/>
              <w:spacing w:before="0" w:after="0" w:line="360" w:lineRule="auto"/>
              <w:ind w:left="0" w:leftChars="0" w:right="0" w:firstLine="0" w:firstLineChars="0"/>
              <w:jc w:val="left"/>
              <w:textAlignment w:val="auto"/>
              <w:rPr>
                <w:rFonts w:hint="eastAsia"/>
                <w:i w:val="0"/>
                <w:iCs/>
                <w:sz w:val="24"/>
                <w:szCs w:val="24"/>
                <w:lang w:val="en-US" w:eastAsia="zh-CN"/>
              </w:rPr>
            </w:pPr>
            <w:r>
              <w:rPr>
                <w:rFonts w:hint="eastAsia"/>
                <w:i w:val="0"/>
                <w:iCs/>
                <w:sz w:val="24"/>
                <w:szCs w:val="24"/>
                <w:lang w:val="en-US" w:eastAsia="zh-CN"/>
              </w:rPr>
              <w:drawing>
                <wp:inline distT="0" distB="0" distL="114300" distR="114300">
                  <wp:extent cx="4632325" cy="3434080"/>
                  <wp:effectExtent l="0" t="0" r="15875" b="13970"/>
                  <wp:docPr id="3" name="图片 3" descr="D:/2025年项目/5寻甸 混凝土生产/过程文件/噪声预测/预测图.png预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025年项目/5寻甸 混凝土生产/过程文件/噪声预测/预测图.png预测图"/>
                          <pic:cNvPicPr>
                            <a:picLocks noChangeAspect="1"/>
                          </pic:cNvPicPr>
                        </pic:nvPicPr>
                        <pic:blipFill>
                          <a:blip r:embed="rId32"/>
                          <a:srcRect t="3639" b="3639"/>
                          <a:stretch>
                            <a:fillRect/>
                          </a:stretch>
                        </pic:blipFill>
                        <pic:spPr>
                          <a:xfrm>
                            <a:off x="0" y="0"/>
                            <a:ext cx="4632325" cy="3434080"/>
                          </a:xfrm>
                          <a:prstGeom prst="rect">
                            <a:avLst/>
                          </a:prstGeom>
                        </pic:spPr>
                      </pic:pic>
                    </a:graphicData>
                  </a:graphic>
                </wp:inline>
              </w:drawing>
            </w:r>
          </w:p>
          <w:p w14:paraId="656803DF">
            <w:pPr>
              <w:widowControl/>
              <w:ind w:firstLine="0" w:firstLineChars="0"/>
              <w:jc w:val="center"/>
              <w:rPr>
                <w:b/>
                <w:bCs/>
                <w:color w:val="auto"/>
                <w:kern w:val="0"/>
                <w:sz w:val="21"/>
                <w:szCs w:val="21"/>
                <w:lang w:bidi="ar"/>
              </w:rPr>
            </w:pPr>
            <w:r>
              <w:rPr>
                <w:rFonts w:hint="eastAsia"/>
                <w:b/>
                <w:bCs/>
                <w:color w:val="auto"/>
                <w:kern w:val="0"/>
                <w:sz w:val="21"/>
                <w:szCs w:val="21"/>
                <w:lang w:bidi="ar"/>
              </w:rPr>
              <w:t>图4-1 项目噪声等声级线图</w:t>
            </w:r>
          </w:p>
          <w:p w14:paraId="53AACDC6">
            <w:pPr>
              <w:widowControl/>
              <w:ind w:firstLine="480"/>
              <w:jc w:val="left"/>
              <w:rPr>
                <w:color w:val="auto"/>
              </w:rPr>
            </w:pPr>
            <w:r>
              <w:rPr>
                <w:color w:val="auto"/>
                <w:kern w:val="0"/>
                <w:lang w:bidi="ar"/>
              </w:rPr>
              <w:t>根据预测结果可以看出：</w:t>
            </w:r>
          </w:p>
          <w:p w14:paraId="2F931E64">
            <w:pPr>
              <w:adjustRightInd w:val="0"/>
              <w:snapToGrid w:val="0"/>
              <w:ind w:firstLine="480"/>
              <w:rPr>
                <w:color w:val="auto"/>
                <w:kern w:val="0"/>
              </w:rPr>
            </w:pPr>
            <w:r>
              <w:rPr>
                <w:color w:val="auto"/>
                <w:kern w:val="0"/>
                <w:lang w:bidi="ar"/>
              </w:rPr>
              <w:t>项目</w:t>
            </w:r>
            <w:r>
              <w:rPr>
                <w:rFonts w:hint="eastAsia"/>
                <w:color w:val="auto"/>
                <w:kern w:val="0"/>
                <w:lang w:val="en-US" w:eastAsia="zh-CN" w:bidi="ar"/>
              </w:rPr>
              <w:t>产噪</w:t>
            </w:r>
            <w:r>
              <w:rPr>
                <w:color w:val="auto"/>
                <w:kern w:val="0"/>
                <w:lang w:bidi="ar"/>
              </w:rPr>
              <w:t>设备</w:t>
            </w:r>
            <w:r>
              <w:rPr>
                <w:rFonts w:hint="eastAsia"/>
                <w:color w:val="auto"/>
                <w:kern w:val="0"/>
                <w:lang w:val="en-US" w:eastAsia="zh-CN"/>
              </w:rPr>
              <w:t>在做好基础减震、引风机及空压机的隔声降噪措施的情况下，</w:t>
            </w:r>
            <w:r>
              <w:rPr>
                <w:color w:val="auto"/>
                <w:kern w:val="0"/>
              </w:rPr>
              <w:t>项目运营期厂界噪声</w:t>
            </w:r>
            <w:r>
              <w:rPr>
                <w:rFonts w:hint="eastAsia"/>
                <w:color w:val="auto"/>
                <w:kern w:val="0"/>
              </w:rPr>
              <w:t>最大</w:t>
            </w:r>
            <w:r>
              <w:rPr>
                <w:color w:val="auto"/>
                <w:kern w:val="0"/>
              </w:rPr>
              <w:t>贡献值为</w:t>
            </w:r>
            <w:r>
              <w:rPr>
                <w:rFonts w:hint="eastAsia"/>
                <w:color w:val="auto"/>
                <w:kern w:val="0"/>
                <w:lang w:val="en-US" w:eastAsia="zh-CN"/>
              </w:rPr>
              <w:t>58.21d</w:t>
            </w:r>
            <w:r>
              <w:rPr>
                <w:color w:val="auto"/>
                <w:kern w:val="0"/>
              </w:rPr>
              <w:t>B(A)，</w:t>
            </w:r>
            <w:r>
              <w:rPr>
                <w:rFonts w:hint="eastAsia"/>
                <w:color w:val="auto"/>
                <w:kern w:val="0"/>
                <w:lang w:bidi="ar"/>
              </w:rPr>
              <w:t>项目东、南、西、北厂界噪声贡献值均</w:t>
            </w:r>
            <w:r>
              <w:rPr>
                <w:color w:val="auto"/>
                <w:kern w:val="0"/>
              </w:rPr>
              <w:t>满足《工业企业厂界环境噪声排放标准》（GB12348-2008）2类标准要求</w:t>
            </w:r>
            <w:r>
              <w:rPr>
                <w:rFonts w:hint="eastAsia"/>
                <w:color w:val="auto"/>
                <w:kern w:val="0"/>
                <w:lang w:eastAsia="zh-CN"/>
              </w:rPr>
              <w:t>，</w:t>
            </w:r>
            <w:r>
              <w:rPr>
                <w:rFonts w:hint="eastAsia"/>
                <w:color w:val="auto"/>
                <w:kern w:val="0"/>
                <w:lang w:bidi="ar"/>
              </w:rPr>
              <w:t>昼间≤6</w:t>
            </w:r>
            <w:r>
              <w:rPr>
                <w:rFonts w:hint="eastAsia"/>
                <w:color w:val="auto"/>
                <w:kern w:val="0"/>
                <w:lang w:val="en-US" w:eastAsia="zh-CN" w:bidi="ar"/>
              </w:rPr>
              <w:t>0</w:t>
            </w:r>
            <w:r>
              <w:rPr>
                <w:rFonts w:hint="eastAsia"/>
                <w:color w:val="auto"/>
                <w:kern w:val="0"/>
                <w:lang w:bidi="ar"/>
              </w:rPr>
              <w:t>dB</w:t>
            </w:r>
            <w:r>
              <w:rPr>
                <w:color w:val="auto"/>
                <w:kern w:val="0"/>
              </w:rPr>
              <w:t>(A)。</w:t>
            </w:r>
            <w:r>
              <w:rPr>
                <w:rFonts w:hint="eastAsia"/>
                <w:color w:val="auto"/>
                <w:kern w:val="0"/>
                <w:lang w:val="en-US" w:eastAsia="zh-CN"/>
              </w:rPr>
              <w:t>对厂界外环境最大贡献值约为54.31</w:t>
            </w:r>
            <w:r>
              <w:rPr>
                <w:color w:val="auto"/>
                <w:kern w:val="0"/>
              </w:rPr>
              <w:t>dB(A)</w:t>
            </w:r>
            <w:r>
              <w:rPr>
                <w:rFonts w:hint="eastAsia"/>
                <w:color w:val="auto"/>
                <w:kern w:val="0"/>
                <w:lang w:eastAsia="zh-CN"/>
              </w:rPr>
              <w:t>，</w:t>
            </w:r>
            <w:r>
              <w:rPr>
                <w:rFonts w:hint="eastAsia"/>
                <w:color w:val="auto"/>
                <w:kern w:val="0"/>
                <w:lang w:val="en-US" w:eastAsia="zh-CN"/>
              </w:rPr>
              <w:t>低于</w:t>
            </w:r>
            <w:r>
              <w:rPr>
                <w:color w:val="auto"/>
              </w:rPr>
              <w:t>《声环境质量标准》（GB3096-2008）2类</w:t>
            </w:r>
            <w:r>
              <w:rPr>
                <w:rFonts w:hint="eastAsia"/>
                <w:color w:val="auto"/>
              </w:rPr>
              <w:t>标准</w:t>
            </w:r>
            <w:r>
              <w:rPr>
                <w:rFonts w:hint="eastAsia" w:ascii="Times New Roman" w:hAnsi="Times New Roman" w:eastAsia="宋体" w:cs="Times New Roman"/>
                <w:color w:val="auto"/>
                <w:lang w:val="en-US" w:eastAsia="zh-CN"/>
              </w:rPr>
              <w:t>，昼间≤60dB(A)，对周围环</w:t>
            </w:r>
            <w:r>
              <w:rPr>
                <w:rFonts w:hint="eastAsia"/>
                <w:color w:val="auto"/>
                <w:lang w:val="en-US" w:eastAsia="zh-CN"/>
              </w:rPr>
              <w:t>境影响不大</w:t>
            </w:r>
            <w:r>
              <w:rPr>
                <w:color w:val="auto"/>
                <w:kern w:val="0"/>
              </w:rPr>
              <w:t>。</w:t>
            </w:r>
          </w:p>
          <w:p w14:paraId="29810B9F">
            <w:pPr>
              <w:widowControl/>
              <w:ind w:firstLine="480"/>
              <w:jc w:val="left"/>
              <w:rPr>
                <w:rFonts w:hint="eastAsia" w:eastAsia="宋体"/>
                <w:b/>
                <w:bCs/>
                <w:color w:val="auto"/>
                <w:lang w:val="en-US" w:eastAsia="zh-CN"/>
              </w:rPr>
            </w:pPr>
            <w:r>
              <w:rPr>
                <w:rFonts w:hint="eastAsia"/>
                <w:color w:val="auto"/>
                <w:kern w:val="0"/>
                <w:lang w:val="en-US" w:eastAsia="zh-CN"/>
              </w:rPr>
              <w:t>项目周围50m范围内无声环境敏感目标，项目噪声源强</w:t>
            </w:r>
            <w:r>
              <w:rPr>
                <w:color w:val="auto"/>
                <w:kern w:val="0"/>
              </w:rPr>
              <w:t>具有突发性和间歇性。运营后不会改变项目所处区域的声环境功能，对周围声环境敏感目标的影响较小。</w:t>
            </w:r>
          </w:p>
          <w:p w14:paraId="22D755F1">
            <w:pPr>
              <w:keepNext w:val="0"/>
              <w:keepLines w:val="0"/>
              <w:pageBreakBefore w:val="0"/>
              <w:widowControl w:val="0"/>
              <w:kinsoku/>
              <w:wordWrap/>
              <w:overflowPunct/>
              <w:topLinePunct w:val="0"/>
              <w:autoSpaceDE/>
              <w:autoSpaceDN/>
              <w:bidi w:val="0"/>
              <w:adjustRightInd/>
              <w:snapToGrid/>
              <w:ind w:firstLine="482"/>
              <w:textAlignment w:val="auto"/>
              <w:rPr>
                <w:b/>
              </w:rPr>
            </w:pPr>
            <w:r>
              <w:rPr>
                <w:b/>
              </w:rPr>
              <w:t>（</w:t>
            </w:r>
            <w:r>
              <w:rPr>
                <w:rFonts w:hint="eastAsia"/>
                <w:b/>
                <w:lang w:val="en-US" w:eastAsia="zh-CN"/>
              </w:rPr>
              <w:t>三</w:t>
            </w:r>
            <w:r>
              <w:rPr>
                <w:b/>
              </w:rPr>
              <w:t>）噪声防治措施</w:t>
            </w:r>
          </w:p>
          <w:p w14:paraId="3961EC88">
            <w:pPr>
              <w:ind w:firstLine="440"/>
              <w:rPr>
                <w:bCs/>
                <w:spacing w:val="-10"/>
              </w:rPr>
            </w:pPr>
            <w:r>
              <w:rPr>
                <w:bCs/>
                <w:spacing w:val="-10"/>
              </w:rPr>
              <w:t>（1）</w:t>
            </w:r>
            <w:r>
              <w:rPr>
                <w:rFonts w:hint="eastAsia" w:hAnsi="宋体"/>
                <w:lang w:val="en-US" w:eastAsia="zh-CN"/>
              </w:rPr>
              <w:t>皮带输送机、烘干滚筒、提升机、筛分机、搅拌器</w:t>
            </w:r>
            <w:r>
              <w:rPr>
                <w:rFonts w:hint="eastAsia"/>
              </w:rPr>
              <w:t>等生产设备</w:t>
            </w:r>
            <w:r>
              <w:rPr>
                <w:rFonts w:hint="eastAsia"/>
                <w:bCs/>
                <w:spacing w:val="-10"/>
              </w:rPr>
              <w:t>安装减振垫</w:t>
            </w:r>
            <w:r>
              <w:rPr>
                <w:bCs/>
                <w:spacing w:val="-10"/>
              </w:rPr>
              <w:t>；</w:t>
            </w:r>
          </w:p>
          <w:p w14:paraId="24E564A3">
            <w:pPr>
              <w:ind w:firstLine="440"/>
              <w:rPr>
                <w:bCs/>
                <w:spacing w:val="-10"/>
              </w:rPr>
            </w:pPr>
            <w:r>
              <w:rPr>
                <w:bCs/>
                <w:spacing w:val="-10"/>
              </w:rPr>
              <w:t>（2）</w:t>
            </w:r>
            <w:r>
              <w:rPr>
                <w:rFonts w:hint="eastAsia"/>
                <w:bCs/>
                <w:spacing w:val="-10"/>
                <w:lang w:val="en-US" w:eastAsia="zh-CN"/>
              </w:rPr>
              <w:t>引</w:t>
            </w:r>
            <w:r>
              <w:rPr>
                <w:bCs/>
                <w:spacing w:val="-10"/>
              </w:rPr>
              <w:t>风机安装消声器，从源头降低噪声值；</w:t>
            </w:r>
          </w:p>
          <w:p w14:paraId="043B252A">
            <w:pPr>
              <w:ind w:firstLine="440"/>
              <w:rPr>
                <w:bCs/>
                <w:spacing w:val="-10"/>
              </w:rPr>
            </w:pPr>
            <w:r>
              <w:rPr>
                <w:bCs/>
                <w:spacing w:val="-10"/>
              </w:rPr>
              <w:t>（3）做好设备日常维护和保养工作，防止因故障导致高噪声的产生；</w:t>
            </w:r>
          </w:p>
          <w:p w14:paraId="57530707">
            <w:pPr>
              <w:ind w:firstLine="440"/>
              <w:rPr>
                <w:rFonts w:hint="eastAsia"/>
                <w:lang w:val="en-US" w:eastAsia="zh-CN"/>
              </w:rPr>
            </w:pPr>
            <w:r>
              <w:rPr>
                <w:bCs/>
                <w:spacing w:val="-10"/>
              </w:rPr>
              <w:t>（4）合理安排生产线各设备运行时间，合理布局，降低项目设备噪声对周围环境的影响。</w:t>
            </w:r>
          </w:p>
          <w:p w14:paraId="64E91D4D">
            <w:pPr>
              <w:pStyle w:val="6"/>
              <w:keepNext w:val="0"/>
              <w:keepLines w:val="0"/>
              <w:pageBreakBefore w:val="0"/>
              <w:kinsoku/>
              <w:overflowPunct/>
              <w:topLinePunct w:val="0"/>
              <w:autoSpaceDE/>
              <w:autoSpaceDN/>
              <w:bidi w:val="0"/>
              <w:adjustRightInd/>
              <w:snapToGrid/>
              <w:spacing w:before="0" w:after="0" w:line="360" w:lineRule="auto"/>
              <w:ind w:left="0" w:right="0" w:firstLine="482" w:firstLineChars="200"/>
              <w:jc w:val="left"/>
              <w:textAlignment w:val="auto"/>
              <w:rPr>
                <w:rFonts w:hint="default" w:eastAsia="宋体"/>
                <w:i w:val="0"/>
                <w:iCs/>
                <w:sz w:val="24"/>
                <w:szCs w:val="24"/>
                <w:lang w:val="en-US" w:eastAsia="zh-CN"/>
              </w:rPr>
            </w:pPr>
            <w:r>
              <w:rPr>
                <w:b/>
                <w:i w:val="0"/>
                <w:iCs/>
                <w:sz w:val="24"/>
                <w:szCs w:val="24"/>
              </w:rPr>
              <w:t>（</w:t>
            </w:r>
            <w:r>
              <w:rPr>
                <w:rFonts w:hint="eastAsia"/>
                <w:b/>
                <w:i w:val="0"/>
                <w:iCs/>
                <w:sz w:val="24"/>
                <w:szCs w:val="24"/>
                <w:lang w:val="en-US" w:eastAsia="zh-CN"/>
              </w:rPr>
              <w:t>四</w:t>
            </w:r>
            <w:r>
              <w:rPr>
                <w:b/>
                <w:i w:val="0"/>
                <w:iCs/>
                <w:sz w:val="24"/>
                <w:szCs w:val="24"/>
              </w:rPr>
              <w:t>）</w:t>
            </w:r>
            <w:r>
              <w:rPr>
                <w:rFonts w:hint="eastAsia"/>
                <w:b/>
                <w:i w:val="0"/>
                <w:iCs/>
                <w:sz w:val="24"/>
                <w:szCs w:val="24"/>
                <w:lang w:val="en-US" w:eastAsia="zh-CN"/>
              </w:rPr>
              <w:t>自行监测要求</w:t>
            </w:r>
          </w:p>
          <w:p w14:paraId="26C5C3AA">
            <w:pPr>
              <w:widowControl/>
              <w:ind w:firstLine="480"/>
              <w:jc w:val="left"/>
            </w:pPr>
            <w:r>
              <w:rPr>
                <w:rFonts w:hint="eastAsia"/>
              </w:rPr>
              <w:t>根据</w:t>
            </w:r>
            <w:r>
              <w:rPr>
                <w:rFonts w:hint="eastAsia"/>
                <w:kern w:val="0"/>
                <w:lang w:bidi="ar"/>
              </w:rPr>
              <w:t>《排污许可证申请与核发技术规范石墨及其他非金属矿物制品制造》（HJ1119-2020）</w:t>
            </w:r>
            <w:r>
              <w:rPr>
                <w:rFonts w:hint="eastAsia"/>
              </w:rPr>
              <w:t>中规定，本项目声环境监测要求</w:t>
            </w:r>
            <w:r>
              <w:rPr>
                <w:rFonts w:hint="eastAsia"/>
                <w:lang w:val="en-US" w:eastAsia="zh-CN"/>
              </w:rPr>
              <w:t>详见</w:t>
            </w:r>
            <w:r>
              <w:rPr>
                <w:rFonts w:hint="eastAsia"/>
              </w:rPr>
              <w:t>下表</w:t>
            </w:r>
            <w:r>
              <w:rPr>
                <w:rFonts w:hint="eastAsia"/>
                <w:lang w:val="en-US" w:eastAsia="zh-CN"/>
              </w:rPr>
              <w:t>4-18</w:t>
            </w:r>
            <w:r>
              <w:rPr>
                <w:rFonts w:hint="eastAsia"/>
              </w:rPr>
              <w:t>。</w:t>
            </w:r>
          </w:p>
          <w:p w14:paraId="3F42699A">
            <w:pPr>
              <w:spacing w:line="276" w:lineRule="auto"/>
              <w:ind w:firstLine="422"/>
              <w:jc w:val="center"/>
              <w:rPr>
                <w:b/>
                <w:bCs/>
                <w:sz w:val="21"/>
                <w:szCs w:val="21"/>
              </w:rPr>
            </w:pPr>
            <w:r>
              <w:rPr>
                <w:b/>
                <w:bCs/>
                <w:sz w:val="21"/>
                <w:szCs w:val="21"/>
              </w:rPr>
              <w:t>表4-1</w:t>
            </w:r>
            <w:r>
              <w:rPr>
                <w:rFonts w:hint="eastAsia"/>
                <w:b/>
                <w:bCs/>
                <w:sz w:val="21"/>
                <w:szCs w:val="21"/>
                <w:lang w:val="en-US" w:eastAsia="zh-CN"/>
              </w:rPr>
              <w:t xml:space="preserve">8 </w:t>
            </w:r>
            <w:r>
              <w:rPr>
                <w:b/>
                <w:bCs/>
                <w:sz w:val="21"/>
                <w:szCs w:val="21"/>
              </w:rPr>
              <w:t xml:space="preserve">  环境监测计划一览表</w:t>
            </w:r>
          </w:p>
          <w:tbl>
            <w:tblPr>
              <w:tblStyle w:val="15"/>
              <w:tblW w:w="7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537"/>
              <w:gridCol w:w="1156"/>
              <w:gridCol w:w="1181"/>
              <w:gridCol w:w="2982"/>
            </w:tblGrid>
            <w:tr w14:paraId="1626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EA1A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项目</w:t>
                  </w:r>
                </w:p>
              </w:tc>
              <w:tc>
                <w:tcPr>
                  <w:tcW w:w="387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9BEDB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监测制度</w:t>
                  </w:r>
                </w:p>
              </w:tc>
              <w:tc>
                <w:tcPr>
                  <w:tcW w:w="2982" w:type="dxa"/>
                  <w:vMerge w:val="restart"/>
                  <w:tcBorders>
                    <w:top w:val="single" w:color="auto" w:sz="4" w:space="0"/>
                    <w:left w:val="single" w:color="auto" w:sz="4" w:space="0"/>
                    <w:right w:val="single" w:color="auto" w:sz="4" w:space="0"/>
                  </w:tcBorders>
                  <w:shd w:val="clear" w:color="auto" w:fill="auto"/>
                  <w:vAlign w:val="center"/>
                </w:tcPr>
                <w:p w14:paraId="06330B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执行标准</w:t>
                  </w:r>
                </w:p>
              </w:tc>
            </w:tr>
            <w:tr w14:paraId="3F8A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6C00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6C0221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监测点位</w:t>
                  </w: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14:paraId="1AC41F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监测因子</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14:paraId="57CDA1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bCs/>
                      <w:color w:val="auto"/>
                      <w:sz w:val="21"/>
                      <w:szCs w:val="21"/>
                    </w:rPr>
                  </w:pPr>
                  <w:r>
                    <w:rPr>
                      <w:rFonts w:hint="eastAsia"/>
                      <w:b/>
                      <w:bCs/>
                      <w:color w:val="auto"/>
                      <w:sz w:val="21"/>
                      <w:szCs w:val="21"/>
                    </w:rPr>
                    <w:t>监测频次</w:t>
                  </w:r>
                </w:p>
              </w:tc>
              <w:tc>
                <w:tcPr>
                  <w:tcW w:w="2982" w:type="dxa"/>
                  <w:vMerge w:val="continue"/>
                  <w:tcBorders>
                    <w:left w:val="single" w:color="auto" w:sz="4" w:space="0"/>
                    <w:bottom w:val="single" w:color="auto" w:sz="4" w:space="0"/>
                    <w:right w:val="single" w:color="auto" w:sz="4" w:space="0"/>
                  </w:tcBorders>
                  <w:shd w:val="clear" w:color="auto" w:fill="auto"/>
                  <w:vAlign w:val="center"/>
                </w:tcPr>
                <w:p w14:paraId="37B94F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bCs/>
                      <w:color w:val="auto"/>
                      <w:sz w:val="21"/>
                      <w:szCs w:val="21"/>
                    </w:rPr>
                  </w:pPr>
                </w:p>
              </w:tc>
            </w:tr>
            <w:tr w14:paraId="4436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483" w:type="dxa"/>
                  <w:tcBorders>
                    <w:top w:val="single" w:color="auto" w:sz="4" w:space="0"/>
                    <w:left w:val="single" w:color="auto" w:sz="4" w:space="0"/>
                    <w:bottom w:val="single" w:color="auto" w:sz="4" w:space="0"/>
                    <w:right w:val="single" w:color="auto" w:sz="4" w:space="0"/>
                  </w:tcBorders>
                  <w:shd w:val="clear" w:color="auto" w:fill="auto"/>
                  <w:vAlign w:val="center"/>
                </w:tcPr>
                <w:p w14:paraId="0C58F5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color w:val="auto"/>
                      <w:sz w:val="21"/>
                      <w:szCs w:val="21"/>
                    </w:rPr>
                    <w:t>噪声</w:t>
                  </w: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4CA748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color w:val="auto"/>
                      <w:sz w:val="21"/>
                      <w:szCs w:val="21"/>
                    </w:rPr>
                    <w:t>东、南、西、北厂界外 1m</w:t>
                  </w:r>
                  <w:r>
                    <w:rPr>
                      <w:color w:val="auto"/>
                      <w:sz w:val="21"/>
                      <w:szCs w:val="21"/>
                    </w:rPr>
                    <w:t xml:space="preserve"> </w:t>
                  </w:r>
                </w:p>
              </w:tc>
              <w:tc>
                <w:tcPr>
                  <w:tcW w:w="1156" w:type="dxa"/>
                  <w:tcBorders>
                    <w:top w:val="single" w:color="auto" w:sz="4" w:space="0"/>
                    <w:left w:val="single" w:color="auto" w:sz="4" w:space="0"/>
                    <w:bottom w:val="single" w:color="auto" w:sz="4" w:space="0"/>
                    <w:right w:val="single" w:color="auto" w:sz="4" w:space="0"/>
                  </w:tcBorders>
                  <w:shd w:val="clear" w:color="auto" w:fill="auto"/>
                  <w:vAlign w:val="center"/>
                </w:tcPr>
                <w:p w14:paraId="490FA7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color w:val="auto"/>
                      <w:sz w:val="21"/>
                      <w:szCs w:val="21"/>
                    </w:rPr>
                    <w:t>等效连续A声级</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14:paraId="4DA689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auto"/>
                      <w:sz w:val="21"/>
                      <w:szCs w:val="21"/>
                    </w:rPr>
                  </w:pPr>
                  <w:r>
                    <w:rPr>
                      <w:rFonts w:hint="eastAsia"/>
                      <w:color w:val="auto"/>
                      <w:sz w:val="21"/>
                      <w:szCs w:val="21"/>
                    </w:rPr>
                    <w:t>1 次/每季度</w:t>
                  </w:r>
                </w:p>
              </w:tc>
              <w:tc>
                <w:tcPr>
                  <w:tcW w:w="2982" w:type="dxa"/>
                  <w:tcBorders>
                    <w:top w:val="single" w:color="auto" w:sz="4" w:space="0"/>
                    <w:left w:val="single" w:color="auto" w:sz="4" w:space="0"/>
                    <w:bottom w:val="single" w:color="auto" w:sz="4" w:space="0"/>
                    <w:right w:val="single" w:color="auto" w:sz="4" w:space="0"/>
                  </w:tcBorders>
                  <w:shd w:val="clear" w:color="auto" w:fill="auto"/>
                  <w:vAlign w:val="center"/>
                </w:tcPr>
                <w:p w14:paraId="2D54DE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olor w:val="auto"/>
                      <w:sz w:val="21"/>
                      <w:szCs w:val="21"/>
                    </w:rPr>
                  </w:pPr>
                  <w:r>
                    <w:rPr>
                      <w:rFonts w:hint="eastAsia"/>
                      <w:color w:val="auto"/>
                      <w:sz w:val="21"/>
                      <w:szCs w:val="21"/>
                      <w:lang w:eastAsia="zh-CN"/>
                    </w:rPr>
                    <w:t>《工业企业厂界环境噪声排放标准》（GB12348-2008）2类标准要求</w:t>
                  </w:r>
                </w:p>
              </w:tc>
            </w:tr>
          </w:tbl>
          <w:p w14:paraId="6F13A02B">
            <w:pPr>
              <w:pStyle w:val="5"/>
              <w:keepNext w:val="0"/>
              <w:keepLines w:val="0"/>
              <w:pageBreakBefore w:val="0"/>
              <w:widowControl w:val="0"/>
              <w:kinsoku/>
              <w:wordWrap/>
              <w:overflowPunct/>
              <w:topLinePunct w:val="0"/>
              <w:autoSpaceDE/>
              <w:autoSpaceDN/>
              <w:bidi w:val="0"/>
              <w:adjustRightInd/>
              <w:snapToGrid/>
              <w:spacing w:before="157" w:beforeLines="50" w:after="0" w:afterLines="0" w:line="360" w:lineRule="auto"/>
              <w:ind w:left="0" w:right="0" w:firstLine="482" w:firstLineChars="200"/>
              <w:jc w:val="left"/>
              <w:textAlignment w:val="auto"/>
              <w:rPr>
                <w:rFonts w:hint="default" w:eastAsia="宋体"/>
                <w:i w:val="0"/>
                <w:iCs/>
                <w:sz w:val="24"/>
                <w:szCs w:val="24"/>
                <w:vertAlign w:val="baseline"/>
                <w:lang w:val="en-US" w:eastAsia="zh-CN"/>
              </w:rPr>
            </w:pPr>
            <w:r>
              <w:rPr>
                <w:rFonts w:hint="eastAsia"/>
                <w:b/>
                <w:bCs/>
                <w:kern w:val="0"/>
                <w:sz w:val="24"/>
                <w:szCs w:val="24"/>
                <w:lang w:val="en-US" w:eastAsia="zh-CN"/>
              </w:rPr>
              <w:t>四</w:t>
            </w:r>
            <w:r>
              <w:rPr>
                <w:rFonts w:hint="eastAsia"/>
                <w:b/>
                <w:bCs/>
                <w:kern w:val="0"/>
                <w:sz w:val="24"/>
                <w:szCs w:val="24"/>
                <w:lang w:val="zh-CN"/>
              </w:rPr>
              <w:t>、</w:t>
            </w:r>
            <w:r>
              <w:rPr>
                <w:rFonts w:hint="eastAsia"/>
                <w:b/>
                <w:bCs/>
                <w:kern w:val="0"/>
                <w:sz w:val="24"/>
                <w:szCs w:val="24"/>
                <w:lang w:val="en-US" w:eastAsia="zh-CN"/>
              </w:rPr>
              <w:t>固废环境影响及防治措施</w:t>
            </w:r>
          </w:p>
          <w:p w14:paraId="52213759">
            <w:pPr>
              <w:ind w:firstLine="482"/>
              <w:rPr>
                <w:b/>
                <w:bCs/>
              </w:rPr>
            </w:pPr>
            <w:r>
              <w:rPr>
                <w:b/>
                <w:bCs/>
              </w:rPr>
              <w:t>（一）固体废物污染源源强核算结果及相关参数</w:t>
            </w:r>
          </w:p>
          <w:p w14:paraId="1A26D7B7">
            <w:pPr>
              <w:widowControl/>
              <w:ind w:firstLine="480"/>
              <w:jc w:val="left"/>
              <w:rPr>
                <w:bCs/>
                <w:szCs w:val="21"/>
              </w:rPr>
            </w:pPr>
            <w:r>
              <w:rPr>
                <w:kern w:val="0"/>
                <w:lang w:bidi="ar"/>
              </w:rPr>
              <w:t>固体废物污染源源强核算结果及相关参数如表4-</w:t>
            </w:r>
            <w:r>
              <w:rPr>
                <w:rFonts w:hint="eastAsia"/>
                <w:kern w:val="0"/>
                <w:lang w:val="en-US" w:eastAsia="zh-CN" w:bidi="ar"/>
              </w:rPr>
              <w:t>19</w:t>
            </w:r>
            <w:r>
              <w:rPr>
                <w:kern w:val="0"/>
                <w:lang w:bidi="ar"/>
              </w:rPr>
              <w:t>所示</w:t>
            </w:r>
            <w:r>
              <w:t>。</w:t>
            </w:r>
          </w:p>
          <w:p w14:paraId="446CBDFD">
            <w:pPr>
              <w:pStyle w:val="22"/>
              <w:rPr>
                <w:sz w:val="21"/>
                <w:szCs w:val="21"/>
              </w:rPr>
            </w:pPr>
            <w:r>
              <w:rPr>
                <w:sz w:val="21"/>
                <w:szCs w:val="21"/>
              </w:rPr>
              <w:t>表4-</w:t>
            </w:r>
            <w:r>
              <w:rPr>
                <w:rFonts w:hint="eastAsia"/>
                <w:sz w:val="21"/>
                <w:szCs w:val="21"/>
                <w:lang w:val="en-US" w:eastAsia="zh-CN"/>
              </w:rPr>
              <w:t xml:space="preserve">19 </w:t>
            </w:r>
            <w:r>
              <w:rPr>
                <w:rFonts w:hint="eastAsia"/>
                <w:sz w:val="21"/>
                <w:szCs w:val="21"/>
              </w:rPr>
              <w:t xml:space="preserve">  </w:t>
            </w:r>
            <w:r>
              <w:rPr>
                <w:sz w:val="21"/>
                <w:szCs w:val="21"/>
              </w:rPr>
              <w:t>运营期项目固体废物产排情况</w:t>
            </w:r>
            <w:r>
              <w:rPr>
                <w:rFonts w:hint="eastAsia"/>
                <w:sz w:val="21"/>
                <w:szCs w:val="21"/>
              </w:rPr>
              <w:t>一览</w:t>
            </w:r>
            <w:r>
              <w:rPr>
                <w:sz w:val="21"/>
                <w:szCs w:val="21"/>
              </w:rPr>
              <w:t>表</w:t>
            </w:r>
          </w:p>
          <w:tbl>
            <w:tblPr>
              <w:tblStyle w:val="16"/>
              <w:tblW w:w="7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762"/>
              <w:gridCol w:w="1130"/>
              <w:gridCol w:w="498"/>
              <w:gridCol w:w="883"/>
              <w:gridCol w:w="588"/>
              <w:gridCol w:w="840"/>
              <w:gridCol w:w="904"/>
              <w:gridCol w:w="1283"/>
            </w:tblGrid>
            <w:tr w14:paraId="6891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78" w:type="pct"/>
                  <w:vAlign w:val="center"/>
                </w:tcPr>
                <w:p w14:paraId="486637BC">
                  <w:pPr>
                    <w:pStyle w:val="22"/>
                    <w:spacing w:line="360" w:lineRule="exact"/>
                    <w:rPr>
                      <w:sz w:val="21"/>
                      <w:szCs w:val="21"/>
                    </w:rPr>
                  </w:pPr>
                  <w:r>
                    <w:rPr>
                      <w:rFonts w:hint="eastAsia"/>
                      <w:sz w:val="21"/>
                      <w:szCs w:val="21"/>
                    </w:rPr>
                    <w:t>序号</w:t>
                  </w:r>
                </w:p>
              </w:tc>
              <w:tc>
                <w:tcPr>
                  <w:tcW w:w="522" w:type="pct"/>
                  <w:vAlign w:val="center"/>
                </w:tcPr>
                <w:p w14:paraId="74727963">
                  <w:pPr>
                    <w:pStyle w:val="22"/>
                    <w:spacing w:line="360" w:lineRule="exact"/>
                    <w:rPr>
                      <w:sz w:val="21"/>
                      <w:szCs w:val="21"/>
                    </w:rPr>
                  </w:pPr>
                  <w:r>
                    <w:rPr>
                      <w:sz w:val="21"/>
                      <w:szCs w:val="21"/>
                    </w:rPr>
                    <w:t>产生环节</w:t>
                  </w:r>
                </w:p>
              </w:tc>
              <w:tc>
                <w:tcPr>
                  <w:tcW w:w="774" w:type="pct"/>
                  <w:vAlign w:val="center"/>
                </w:tcPr>
                <w:p w14:paraId="32ACF64C">
                  <w:pPr>
                    <w:pStyle w:val="22"/>
                    <w:spacing w:line="360" w:lineRule="exact"/>
                    <w:rPr>
                      <w:sz w:val="21"/>
                      <w:szCs w:val="21"/>
                    </w:rPr>
                  </w:pPr>
                  <w:r>
                    <w:rPr>
                      <w:sz w:val="21"/>
                      <w:szCs w:val="21"/>
                    </w:rPr>
                    <w:t>固体废物名称</w:t>
                  </w:r>
                </w:p>
              </w:tc>
              <w:tc>
                <w:tcPr>
                  <w:tcW w:w="341" w:type="pct"/>
                  <w:vAlign w:val="center"/>
                </w:tcPr>
                <w:p w14:paraId="134FB9C8">
                  <w:pPr>
                    <w:pStyle w:val="22"/>
                    <w:spacing w:line="360" w:lineRule="exact"/>
                    <w:rPr>
                      <w:sz w:val="21"/>
                      <w:szCs w:val="21"/>
                    </w:rPr>
                  </w:pPr>
                  <w:r>
                    <w:rPr>
                      <w:sz w:val="21"/>
                      <w:szCs w:val="21"/>
                    </w:rPr>
                    <w:t>固废</w:t>
                  </w:r>
                </w:p>
                <w:p w14:paraId="6BF6FE7B">
                  <w:pPr>
                    <w:pStyle w:val="22"/>
                    <w:spacing w:line="360" w:lineRule="exact"/>
                    <w:rPr>
                      <w:sz w:val="21"/>
                      <w:szCs w:val="21"/>
                    </w:rPr>
                  </w:pPr>
                  <w:r>
                    <w:rPr>
                      <w:sz w:val="21"/>
                      <w:szCs w:val="21"/>
                    </w:rPr>
                    <w:t>属性</w:t>
                  </w:r>
                </w:p>
              </w:tc>
              <w:tc>
                <w:tcPr>
                  <w:tcW w:w="605" w:type="pct"/>
                  <w:vAlign w:val="center"/>
                </w:tcPr>
                <w:p w14:paraId="40BC5DC4">
                  <w:pPr>
                    <w:pStyle w:val="22"/>
                    <w:spacing w:line="360" w:lineRule="exac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废物代码</w:t>
                  </w:r>
                </w:p>
              </w:tc>
              <w:tc>
                <w:tcPr>
                  <w:tcW w:w="403" w:type="pct"/>
                  <w:vAlign w:val="center"/>
                </w:tcPr>
                <w:p w14:paraId="51431410">
                  <w:pPr>
                    <w:pStyle w:val="22"/>
                    <w:spacing w:line="360" w:lineRule="exact"/>
                    <w:rPr>
                      <w:sz w:val="21"/>
                      <w:szCs w:val="21"/>
                    </w:rPr>
                  </w:pPr>
                  <w:r>
                    <w:rPr>
                      <w:sz w:val="21"/>
                      <w:szCs w:val="21"/>
                    </w:rPr>
                    <w:t>物理性状</w:t>
                  </w:r>
                </w:p>
              </w:tc>
              <w:tc>
                <w:tcPr>
                  <w:tcW w:w="575" w:type="pct"/>
                  <w:vAlign w:val="center"/>
                </w:tcPr>
                <w:p w14:paraId="69D3DC31">
                  <w:pPr>
                    <w:pStyle w:val="22"/>
                    <w:spacing w:line="360" w:lineRule="exact"/>
                    <w:rPr>
                      <w:sz w:val="21"/>
                      <w:szCs w:val="21"/>
                    </w:rPr>
                  </w:pPr>
                  <w:r>
                    <w:rPr>
                      <w:sz w:val="21"/>
                      <w:szCs w:val="21"/>
                    </w:rPr>
                    <w:t>产生量</w:t>
                  </w:r>
                </w:p>
                <w:p w14:paraId="0A36767B">
                  <w:pPr>
                    <w:pStyle w:val="22"/>
                    <w:spacing w:line="360" w:lineRule="exact"/>
                    <w:rPr>
                      <w:sz w:val="21"/>
                      <w:szCs w:val="21"/>
                    </w:rPr>
                  </w:pPr>
                  <w:r>
                    <w:rPr>
                      <w:sz w:val="21"/>
                      <w:szCs w:val="21"/>
                    </w:rPr>
                    <w:t>（t/a）</w:t>
                  </w:r>
                </w:p>
              </w:tc>
              <w:tc>
                <w:tcPr>
                  <w:tcW w:w="619" w:type="pct"/>
                  <w:vAlign w:val="center"/>
                </w:tcPr>
                <w:p w14:paraId="72A62AAD">
                  <w:pPr>
                    <w:pStyle w:val="22"/>
                    <w:spacing w:line="360" w:lineRule="exact"/>
                    <w:rPr>
                      <w:sz w:val="21"/>
                      <w:szCs w:val="21"/>
                    </w:rPr>
                  </w:pPr>
                  <w:r>
                    <w:rPr>
                      <w:sz w:val="21"/>
                      <w:szCs w:val="21"/>
                    </w:rPr>
                    <w:t>贮存</w:t>
                  </w:r>
                </w:p>
                <w:p w14:paraId="06D4F607">
                  <w:pPr>
                    <w:pStyle w:val="22"/>
                    <w:spacing w:line="360" w:lineRule="exact"/>
                    <w:rPr>
                      <w:sz w:val="21"/>
                      <w:szCs w:val="21"/>
                    </w:rPr>
                  </w:pPr>
                  <w:r>
                    <w:rPr>
                      <w:sz w:val="21"/>
                      <w:szCs w:val="21"/>
                    </w:rPr>
                    <w:t>方式</w:t>
                  </w:r>
                </w:p>
              </w:tc>
              <w:tc>
                <w:tcPr>
                  <w:tcW w:w="879" w:type="pct"/>
                  <w:vAlign w:val="center"/>
                </w:tcPr>
                <w:p w14:paraId="74B24F4C">
                  <w:pPr>
                    <w:pStyle w:val="22"/>
                    <w:spacing w:line="360" w:lineRule="exact"/>
                    <w:rPr>
                      <w:sz w:val="21"/>
                      <w:szCs w:val="21"/>
                    </w:rPr>
                  </w:pPr>
                  <w:r>
                    <w:rPr>
                      <w:sz w:val="21"/>
                      <w:szCs w:val="21"/>
                    </w:rPr>
                    <w:t>最终去向</w:t>
                  </w:r>
                </w:p>
                <w:p w14:paraId="42C6534C">
                  <w:pPr>
                    <w:pStyle w:val="22"/>
                    <w:spacing w:line="360" w:lineRule="exact"/>
                    <w:rPr>
                      <w:sz w:val="21"/>
                      <w:szCs w:val="21"/>
                    </w:rPr>
                  </w:pPr>
                </w:p>
              </w:tc>
            </w:tr>
            <w:tr w14:paraId="51A6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278" w:type="pct"/>
                  <w:shd w:val="clear" w:color="auto" w:fill="auto"/>
                  <w:vAlign w:val="center"/>
                </w:tcPr>
                <w:p w14:paraId="32D30563">
                  <w:pPr>
                    <w:pStyle w:val="22"/>
                    <w:spacing w:line="360" w:lineRule="exact"/>
                    <w:ind w:firstLine="0" w:firstLineChars="0"/>
                    <w:rPr>
                      <w:rFonts w:hint="eastAsia" w:ascii="Times New Roman" w:hAnsi="Times New Roman" w:eastAsia="宋体" w:cs="Times New Roman"/>
                      <w:b w:val="0"/>
                      <w:bCs/>
                      <w:kern w:val="2"/>
                      <w:sz w:val="21"/>
                      <w:szCs w:val="21"/>
                      <w:lang w:val="en-US" w:eastAsia="zh-CN" w:bidi="ar-SA"/>
                    </w:rPr>
                  </w:pPr>
                  <w:r>
                    <w:rPr>
                      <w:rFonts w:hint="eastAsia"/>
                      <w:b w:val="0"/>
                      <w:bCs/>
                      <w:sz w:val="21"/>
                      <w:szCs w:val="21"/>
                    </w:rPr>
                    <w:t>1</w:t>
                  </w:r>
                </w:p>
              </w:tc>
              <w:tc>
                <w:tcPr>
                  <w:tcW w:w="522" w:type="pct"/>
                  <w:vAlign w:val="center"/>
                </w:tcPr>
                <w:p w14:paraId="5058FED1">
                  <w:pPr>
                    <w:adjustRightInd w:val="0"/>
                    <w:snapToGrid w:val="0"/>
                    <w:spacing w:line="360" w:lineRule="exact"/>
                    <w:ind w:firstLine="0" w:firstLineChars="0"/>
                    <w:jc w:val="center"/>
                    <w:rPr>
                      <w:sz w:val="21"/>
                      <w:szCs w:val="21"/>
                    </w:rPr>
                  </w:pPr>
                  <w:r>
                    <w:rPr>
                      <w:rFonts w:hint="eastAsia"/>
                      <w:bCs/>
                      <w:sz w:val="21"/>
                      <w:szCs w:val="21"/>
                      <w:lang w:val="en-US" w:eastAsia="zh-CN"/>
                    </w:rPr>
                    <w:t>办公</w:t>
                  </w:r>
                </w:p>
              </w:tc>
              <w:tc>
                <w:tcPr>
                  <w:tcW w:w="774" w:type="pct"/>
                  <w:vAlign w:val="center"/>
                </w:tcPr>
                <w:p w14:paraId="17D6EBB4">
                  <w:pPr>
                    <w:adjustRightInd w:val="0"/>
                    <w:snapToGrid w:val="0"/>
                    <w:spacing w:line="360" w:lineRule="exact"/>
                    <w:ind w:firstLine="0" w:firstLineChars="0"/>
                    <w:jc w:val="center"/>
                    <w:rPr>
                      <w:sz w:val="21"/>
                      <w:szCs w:val="21"/>
                    </w:rPr>
                  </w:pPr>
                  <w:r>
                    <w:rPr>
                      <w:rFonts w:hint="eastAsia"/>
                      <w:bCs/>
                      <w:color w:val="auto"/>
                      <w:sz w:val="21"/>
                      <w:szCs w:val="21"/>
                      <w:lang w:val="en-US" w:eastAsia="zh-CN"/>
                    </w:rPr>
                    <w:t>生活垃圾</w:t>
                  </w:r>
                </w:p>
              </w:tc>
              <w:tc>
                <w:tcPr>
                  <w:tcW w:w="341" w:type="pct"/>
                  <w:vMerge w:val="restart"/>
                  <w:vAlign w:val="center"/>
                </w:tcPr>
                <w:p w14:paraId="63257CEF">
                  <w:pPr>
                    <w:pStyle w:val="22"/>
                    <w:spacing w:line="360" w:lineRule="exact"/>
                    <w:rPr>
                      <w:rFonts w:hint="default" w:eastAsia="宋体"/>
                      <w:b w:val="0"/>
                      <w:bCs/>
                      <w:sz w:val="21"/>
                      <w:szCs w:val="21"/>
                      <w:lang w:val="en-US" w:eastAsia="zh-CN"/>
                    </w:rPr>
                  </w:pPr>
                  <w:r>
                    <w:rPr>
                      <w:rFonts w:hint="eastAsia"/>
                      <w:b w:val="0"/>
                      <w:bCs/>
                      <w:sz w:val="21"/>
                      <w:szCs w:val="21"/>
                      <w:lang w:val="en-US" w:eastAsia="zh-CN"/>
                    </w:rPr>
                    <w:t>一般固体废物</w:t>
                  </w:r>
                </w:p>
              </w:tc>
              <w:tc>
                <w:tcPr>
                  <w:tcW w:w="605" w:type="pct"/>
                  <w:vAlign w:val="center"/>
                </w:tcPr>
                <w:p w14:paraId="0DFC3DCB">
                  <w:pPr>
                    <w:pStyle w:val="22"/>
                    <w:spacing w:line="360" w:lineRule="exact"/>
                    <w:ind w:firstLine="0" w:firstLineChars="0"/>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403" w:type="pct"/>
                  <w:vAlign w:val="center"/>
                </w:tcPr>
                <w:p w14:paraId="7A42CBC7">
                  <w:pPr>
                    <w:spacing w:line="360" w:lineRule="exact"/>
                    <w:ind w:firstLine="0" w:firstLineChars="0"/>
                    <w:jc w:val="center"/>
                    <w:rPr>
                      <w:sz w:val="21"/>
                      <w:szCs w:val="21"/>
                    </w:rPr>
                  </w:pPr>
                  <w:r>
                    <w:rPr>
                      <w:rFonts w:hint="eastAsia"/>
                      <w:b w:val="0"/>
                      <w:bCs/>
                      <w:sz w:val="21"/>
                      <w:szCs w:val="21"/>
                      <w:lang w:val="en-US" w:eastAsia="zh-CN"/>
                    </w:rPr>
                    <w:t>固态</w:t>
                  </w:r>
                </w:p>
              </w:tc>
              <w:tc>
                <w:tcPr>
                  <w:tcW w:w="575" w:type="pct"/>
                  <w:vAlign w:val="center"/>
                </w:tcPr>
                <w:p w14:paraId="5E2D180B">
                  <w:pPr>
                    <w:pStyle w:val="22"/>
                    <w:spacing w:line="360" w:lineRule="exact"/>
                    <w:rPr>
                      <w:rFonts w:hint="default" w:eastAsia="宋体"/>
                      <w:sz w:val="21"/>
                      <w:szCs w:val="21"/>
                      <w:lang w:val="en-US" w:eastAsia="zh-CN"/>
                    </w:rPr>
                  </w:pPr>
                  <w:r>
                    <w:rPr>
                      <w:rFonts w:hint="eastAsia"/>
                      <w:b w:val="0"/>
                      <w:bCs/>
                      <w:sz w:val="21"/>
                      <w:szCs w:val="21"/>
                      <w:lang w:val="en-US" w:eastAsia="zh-CN"/>
                    </w:rPr>
                    <w:t>0.36</w:t>
                  </w:r>
                </w:p>
              </w:tc>
              <w:tc>
                <w:tcPr>
                  <w:tcW w:w="619" w:type="pct"/>
                  <w:vAlign w:val="center"/>
                </w:tcPr>
                <w:p w14:paraId="189552C8">
                  <w:pPr>
                    <w:pStyle w:val="22"/>
                    <w:spacing w:line="360" w:lineRule="exact"/>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垃圾桶</w:t>
                  </w:r>
                </w:p>
              </w:tc>
              <w:tc>
                <w:tcPr>
                  <w:tcW w:w="879" w:type="pct"/>
                  <w:vAlign w:val="center"/>
                </w:tcPr>
                <w:p w14:paraId="1196132D">
                  <w:pPr>
                    <w:pStyle w:val="22"/>
                    <w:spacing w:line="360" w:lineRule="exact"/>
                    <w:rPr>
                      <w:rFonts w:hint="eastAsia" w:ascii="Times New Roman" w:hAnsi="Times New Roman" w:eastAsia="宋体"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b w:val="0"/>
                      <w:bCs/>
                      <w:color w:val="000000" w:themeColor="text1"/>
                      <w:sz w:val="21"/>
                      <w:szCs w:val="21"/>
                      <w14:textFill>
                        <w14:solidFill>
                          <w14:schemeClr w14:val="tx1"/>
                        </w14:solidFill>
                      </w14:textFill>
                    </w:rPr>
                    <w:t>统一收集后由环卫部门清运处置</w:t>
                  </w:r>
                </w:p>
              </w:tc>
            </w:tr>
            <w:tr w14:paraId="74B8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 w:type="pct"/>
                  <w:shd w:val="clear" w:color="auto" w:fill="auto"/>
                  <w:vAlign w:val="center"/>
                </w:tcPr>
                <w:p w14:paraId="677F02D5">
                  <w:pPr>
                    <w:pStyle w:val="22"/>
                    <w:spacing w:line="360" w:lineRule="exact"/>
                    <w:ind w:firstLine="0" w:firstLineChars="0"/>
                    <w:rPr>
                      <w:rFonts w:ascii="Times New Roman" w:hAnsi="Times New Roman" w:eastAsia="宋体" w:cs="Times New Roman"/>
                      <w:b w:val="0"/>
                      <w:bCs/>
                      <w:color w:val="auto"/>
                      <w:kern w:val="2"/>
                      <w:sz w:val="21"/>
                      <w:szCs w:val="21"/>
                      <w:lang w:val="en-US" w:eastAsia="zh-CN" w:bidi="ar-SA"/>
                    </w:rPr>
                  </w:pPr>
                  <w:r>
                    <w:rPr>
                      <w:rFonts w:hint="eastAsia"/>
                      <w:b w:val="0"/>
                      <w:bCs/>
                      <w:color w:val="auto"/>
                      <w:sz w:val="21"/>
                      <w:szCs w:val="21"/>
                    </w:rPr>
                    <w:t>2</w:t>
                  </w:r>
                </w:p>
              </w:tc>
              <w:tc>
                <w:tcPr>
                  <w:tcW w:w="522" w:type="pct"/>
                  <w:vAlign w:val="center"/>
                </w:tcPr>
                <w:p w14:paraId="3055B755">
                  <w:pPr>
                    <w:pStyle w:val="22"/>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旋风除尘、布袋除尘</w:t>
                  </w:r>
                </w:p>
              </w:tc>
              <w:tc>
                <w:tcPr>
                  <w:tcW w:w="774" w:type="pct"/>
                  <w:vAlign w:val="center"/>
                </w:tcPr>
                <w:p w14:paraId="105EAB86">
                  <w:pPr>
                    <w:pStyle w:val="22"/>
                    <w:spacing w:line="360" w:lineRule="exact"/>
                    <w:rPr>
                      <w:rFonts w:hint="eastAsia" w:eastAsia="宋体"/>
                      <w:b w:val="0"/>
                      <w:bCs/>
                      <w:color w:val="auto"/>
                      <w:sz w:val="21"/>
                      <w:szCs w:val="21"/>
                      <w:lang w:val="en-US" w:eastAsia="zh-CN"/>
                    </w:rPr>
                  </w:pPr>
                  <w:r>
                    <w:rPr>
                      <w:rFonts w:hint="eastAsia"/>
                      <w:b w:val="0"/>
                      <w:bCs/>
                      <w:color w:val="auto"/>
                      <w:sz w:val="21"/>
                      <w:szCs w:val="21"/>
                      <w:lang w:val="en-US" w:eastAsia="zh-CN"/>
                    </w:rPr>
                    <w:t>收集</w:t>
                  </w:r>
                  <w:r>
                    <w:rPr>
                      <w:rFonts w:hint="eastAsia" w:ascii="Times New Roman" w:hAnsi="Times New Roman" w:eastAsia="宋体" w:cs="Times New Roman"/>
                      <w:b w:val="0"/>
                      <w:bCs/>
                      <w:color w:val="auto"/>
                      <w:sz w:val="21"/>
                      <w:szCs w:val="21"/>
                      <w:lang w:val="en-US" w:eastAsia="zh-CN"/>
                    </w:rPr>
                    <w:t>粉尘</w:t>
                  </w:r>
                </w:p>
              </w:tc>
              <w:tc>
                <w:tcPr>
                  <w:tcW w:w="341" w:type="pct"/>
                  <w:vMerge w:val="continue"/>
                  <w:vAlign w:val="center"/>
                </w:tcPr>
                <w:p w14:paraId="5D612D93">
                  <w:pPr>
                    <w:pStyle w:val="22"/>
                    <w:spacing w:line="360" w:lineRule="exact"/>
                    <w:rPr>
                      <w:rFonts w:hint="default" w:eastAsia="宋体"/>
                      <w:b w:val="0"/>
                      <w:bCs/>
                      <w:color w:val="auto"/>
                      <w:sz w:val="21"/>
                      <w:szCs w:val="21"/>
                      <w:lang w:val="en-US" w:eastAsia="zh-CN"/>
                    </w:rPr>
                  </w:pPr>
                </w:p>
              </w:tc>
              <w:tc>
                <w:tcPr>
                  <w:tcW w:w="605" w:type="pct"/>
                  <w:vAlign w:val="center"/>
                </w:tcPr>
                <w:p w14:paraId="3B722657">
                  <w:pPr>
                    <w:pStyle w:val="22"/>
                    <w:spacing w:line="360" w:lineRule="exact"/>
                    <w:rPr>
                      <w:b w:val="0"/>
                      <w:bCs/>
                      <w:color w:val="auto"/>
                      <w:sz w:val="21"/>
                      <w:szCs w:val="21"/>
                    </w:rPr>
                  </w:pPr>
                  <w:r>
                    <w:rPr>
                      <w:rFonts w:hint="eastAsia"/>
                      <w:b w:val="0"/>
                      <w:bCs/>
                      <w:color w:val="auto"/>
                      <w:sz w:val="21"/>
                      <w:szCs w:val="21"/>
                    </w:rPr>
                    <w:t>900-099-S59</w:t>
                  </w:r>
                </w:p>
              </w:tc>
              <w:tc>
                <w:tcPr>
                  <w:tcW w:w="403" w:type="pct"/>
                  <w:vAlign w:val="center"/>
                </w:tcPr>
                <w:p w14:paraId="001C5235">
                  <w:pPr>
                    <w:pStyle w:val="22"/>
                    <w:spacing w:line="360" w:lineRule="exact"/>
                    <w:rPr>
                      <w:b w:val="0"/>
                      <w:bCs/>
                      <w:color w:val="auto"/>
                      <w:sz w:val="21"/>
                      <w:szCs w:val="21"/>
                    </w:rPr>
                  </w:pPr>
                  <w:r>
                    <w:rPr>
                      <w:rFonts w:hint="eastAsia"/>
                      <w:b w:val="0"/>
                      <w:bCs/>
                      <w:color w:val="auto"/>
                      <w:sz w:val="21"/>
                      <w:szCs w:val="21"/>
                      <w:lang w:val="en-US" w:eastAsia="zh-CN"/>
                    </w:rPr>
                    <w:t>固态</w:t>
                  </w:r>
                </w:p>
              </w:tc>
              <w:tc>
                <w:tcPr>
                  <w:tcW w:w="575" w:type="pct"/>
                  <w:vAlign w:val="center"/>
                </w:tcPr>
                <w:p w14:paraId="36311A73">
                  <w:pPr>
                    <w:pStyle w:val="22"/>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15.691</w:t>
                  </w:r>
                </w:p>
              </w:tc>
              <w:tc>
                <w:tcPr>
                  <w:tcW w:w="1498" w:type="pct"/>
                  <w:gridSpan w:val="2"/>
                  <w:vAlign w:val="center"/>
                </w:tcPr>
                <w:p w14:paraId="7BD731CB">
                  <w:pPr>
                    <w:pStyle w:val="22"/>
                    <w:spacing w:line="360" w:lineRule="exact"/>
                    <w:rPr>
                      <w:b w:val="0"/>
                      <w:bCs/>
                      <w:color w:val="auto"/>
                      <w:sz w:val="21"/>
                      <w:szCs w:val="21"/>
                    </w:rPr>
                  </w:pPr>
                  <w:r>
                    <w:rPr>
                      <w:rFonts w:hint="eastAsia"/>
                      <w:b w:val="0"/>
                      <w:bCs/>
                      <w:color w:val="auto"/>
                      <w:sz w:val="21"/>
                      <w:szCs w:val="21"/>
                    </w:rPr>
                    <w:t>收集后作（原料）填料回用与生产</w:t>
                  </w:r>
                </w:p>
              </w:tc>
            </w:tr>
            <w:tr w14:paraId="53FC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78" w:type="pct"/>
                  <w:shd w:val="clear" w:color="auto" w:fill="auto"/>
                  <w:vAlign w:val="center"/>
                </w:tcPr>
                <w:p w14:paraId="15489469">
                  <w:pPr>
                    <w:adjustRightInd w:val="0"/>
                    <w:snapToGrid w:val="0"/>
                    <w:spacing w:line="360" w:lineRule="exact"/>
                    <w:ind w:firstLine="0" w:firstLineChars="0"/>
                    <w:jc w:val="center"/>
                    <w:rPr>
                      <w:rFonts w:ascii="Times New Roman" w:hAnsi="Times New Roman" w:eastAsia="宋体" w:cs="Times New Roman"/>
                      <w:bCs/>
                      <w:color w:val="auto"/>
                      <w:kern w:val="2"/>
                      <w:sz w:val="21"/>
                      <w:szCs w:val="21"/>
                      <w:lang w:val="en-US" w:eastAsia="zh-CN" w:bidi="ar-SA"/>
                    </w:rPr>
                  </w:pPr>
                  <w:r>
                    <w:rPr>
                      <w:rFonts w:hint="eastAsia"/>
                      <w:bCs/>
                      <w:color w:val="auto"/>
                      <w:sz w:val="21"/>
                      <w:szCs w:val="21"/>
                    </w:rPr>
                    <w:t>3</w:t>
                  </w:r>
                </w:p>
              </w:tc>
              <w:tc>
                <w:tcPr>
                  <w:tcW w:w="522" w:type="pct"/>
                  <w:vAlign w:val="center"/>
                </w:tcPr>
                <w:p w14:paraId="4DB03C6B">
                  <w:pPr>
                    <w:pStyle w:val="22"/>
                    <w:spacing w:line="360" w:lineRule="exact"/>
                    <w:rPr>
                      <w:rFonts w:hint="eastAsia" w:eastAsia="宋体"/>
                      <w:b w:val="0"/>
                      <w:bCs/>
                      <w:color w:val="auto"/>
                      <w:sz w:val="21"/>
                      <w:szCs w:val="21"/>
                      <w:lang w:val="en-US" w:eastAsia="zh-CN"/>
                    </w:rPr>
                  </w:pPr>
                  <w:r>
                    <w:rPr>
                      <w:rFonts w:hint="eastAsia"/>
                      <w:b w:val="0"/>
                      <w:bCs/>
                      <w:color w:val="auto"/>
                      <w:sz w:val="21"/>
                      <w:szCs w:val="21"/>
                      <w:lang w:val="en-US" w:eastAsia="zh-CN"/>
                    </w:rPr>
                    <w:t>布袋除尘</w:t>
                  </w:r>
                </w:p>
              </w:tc>
              <w:tc>
                <w:tcPr>
                  <w:tcW w:w="774" w:type="pct"/>
                  <w:vAlign w:val="center"/>
                </w:tcPr>
                <w:p w14:paraId="5F677AB6">
                  <w:pPr>
                    <w:pStyle w:val="22"/>
                    <w:spacing w:line="360" w:lineRule="exact"/>
                    <w:rPr>
                      <w:rFonts w:hint="eastAsia" w:eastAsia="宋体"/>
                      <w:b w:val="0"/>
                      <w:bCs/>
                      <w:color w:val="auto"/>
                      <w:sz w:val="21"/>
                      <w:szCs w:val="21"/>
                      <w:lang w:val="en-US" w:eastAsia="zh-CN"/>
                    </w:rPr>
                  </w:pPr>
                  <w:r>
                    <w:rPr>
                      <w:rFonts w:hint="eastAsia"/>
                      <w:b w:val="0"/>
                      <w:bCs/>
                      <w:color w:val="auto"/>
                      <w:sz w:val="21"/>
                      <w:szCs w:val="21"/>
                      <w:lang w:val="en-US" w:eastAsia="zh-CN"/>
                    </w:rPr>
                    <w:t>废布袋</w:t>
                  </w:r>
                </w:p>
              </w:tc>
              <w:tc>
                <w:tcPr>
                  <w:tcW w:w="341" w:type="pct"/>
                  <w:vMerge w:val="continue"/>
                  <w:vAlign w:val="center"/>
                </w:tcPr>
                <w:p w14:paraId="61A620D1">
                  <w:pPr>
                    <w:pStyle w:val="22"/>
                    <w:spacing w:line="360" w:lineRule="exact"/>
                    <w:rPr>
                      <w:b w:val="0"/>
                      <w:bCs/>
                      <w:color w:val="auto"/>
                      <w:sz w:val="21"/>
                      <w:szCs w:val="21"/>
                    </w:rPr>
                  </w:pPr>
                </w:p>
              </w:tc>
              <w:tc>
                <w:tcPr>
                  <w:tcW w:w="605" w:type="pct"/>
                  <w:shd w:val="clear" w:color="auto" w:fill="auto"/>
                  <w:vAlign w:val="center"/>
                </w:tcPr>
                <w:p w14:paraId="42B8E71B">
                  <w:pPr>
                    <w:pStyle w:val="22"/>
                    <w:spacing w:line="360" w:lineRule="exact"/>
                    <w:rPr>
                      <w:b w:val="0"/>
                      <w:bCs/>
                      <w:color w:val="auto"/>
                      <w:sz w:val="21"/>
                      <w:szCs w:val="21"/>
                    </w:rPr>
                  </w:pPr>
                  <w:r>
                    <w:rPr>
                      <w:rFonts w:hint="eastAsia"/>
                      <w:b w:val="0"/>
                      <w:bCs/>
                      <w:color w:val="auto"/>
                      <w:sz w:val="21"/>
                      <w:szCs w:val="21"/>
                    </w:rPr>
                    <w:t>900-099-S59</w:t>
                  </w:r>
                </w:p>
              </w:tc>
              <w:tc>
                <w:tcPr>
                  <w:tcW w:w="403" w:type="pct"/>
                  <w:shd w:val="clear" w:color="auto" w:fill="auto"/>
                  <w:vAlign w:val="center"/>
                </w:tcPr>
                <w:p w14:paraId="219E0A76">
                  <w:pPr>
                    <w:pStyle w:val="22"/>
                    <w:spacing w:line="360" w:lineRule="exact"/>
                    <w:rPr>
                      <w:rFonts w:hint="eastAsia" w:eastAsia="宋体"/>
                      <w:b w:val="0"/>
                      <w:bCs/>
                      <w:color w:val="auto"/>
                      <w:sz w:val="21"/>
                      <w:szCs w:val="21"/>
                      <w:lang w:val="en-US" w:eastAsia="zh-CN"/>
                    </w:rPr>
                  </w:pPr>
                  <w:r>
                    <w:rPr>
                      <w:rFonts w:hint="eastAsia"/>
                      <w:b w:val="0"/>
                      <w:bCs/>
                      <w:color w:val="auto"/>
                      <w:sz w:val="21"/>
                      <w:szCs w:val="21"/>
                      <w:lang w:val="en-US" w:eastAsia="zh-CN"/>
                    </w:rPr>
                    <w:t>固态</w:t>
                  </w:r>
                </w:p>
              </w:tc>
              <w:tc>
                <w:tcPr>
                  <w:tcW w:w="575" w:type="pct"/>
                  <w:vAlign w:val="center"/>
                </w:tcPr>
                <w:p w14:paraId="7A9093E8">
                  <w:pPr>
                    <w:pStyle w:val="22"/>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0.2</w:t>
                  </w:r>
                </w:p>
              </w:tc>
              <w:tc>
                <w:tcPr>
                  <w:tcW w:w="1498" w:type="pct"/>
                  <w:gridSpan w:val="2"/>
                  <w:shd w:val="clear" w:color="auto" w:fill="auto"/>
                  <w:vAlign w:val="center"/>
                </w:tcPr>
                <w:p w14:paraId="067A9B2A">
                  <w:pPr>
                    <w:pStyle w:val="22"/>
                    <w:spacing w:line="360" w:lineRule="exact"/>
                    <w:rPr>
                      <w:b w:val="0"/>
                      <w:bCs/>
                      <w:color w:val="auto"/>
                      <w:sz w:val="21"/>
                      <w:szCs w:val="21"/>
                    </w:rPr>
                  </w:pPr>
                  <w:r>
                    <w:rPr>
                      <w:rFonts w:hint="eastAsia"/>
                      <w:b w:val="0"/>
                      <w:bCs/>
                      <w:color w:val="auto"/>
                      <w:sz w:val="21"/>
                      <w:szCs w:val="21"/>
                    </w:rPr>
                    <w:t>由厂家带走回收处置</w:t>
                  </w:r>
                </w:p>
              </w:tc>
            </w:tr>
            <w:tr w14:paraId="2640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 w:type="pct"/>
                  <w:shd w:val="clear" w:color="auto" w:fill="auto"/>
                  <w:vAlign w:val="center"/>
                </w:tcPr>
                <w:p w14:paraId="175F5F03">
                  <w:pPr>
                    <w:adjustRightInd w:val="0"/>
                    <w:snapToGrid w:val="0"/>
                    <w:spacing w:line="360" w:lineRule="exact"/>
                    <w:ind w:firstLine="0" w:firstLineChars="0"/>
                    <w:jc w:val="center"/>
                    <w:rPr>
                      <w:rFonts w:ascii="Times New Roman" w:hAnsi="Times New Roman" w:eastAsia="宋体" w:cs="Times New Roman"/>
                      <w:bCs/>
                      <w:color w:val="auto"/>
                      <w:kern w:val="2"/>
                      <w:sz w:val="21"/>
                      <w:szCs w:val="21"/>
                      <w:lang w:val="en-US" w:eastAsia="zh-CN" w:bidi="ar-SA"/>
                    </w:rPr>
                  </w:pPr>
                  <w:r>
                    <w:rPr>
                      <w:rFonts w:hint="eastAsia"/>
                      <w:bCs/>
                      <w:color w:val="auto"/>
                      <w:sz w:val="21"/>
                      <w:szCs w:val="21"/>
                    </w:rPr>
                    <w:t>4</w:t>
                  </w:r>
                </w:p>
              </w:tc>
              <w:tc>
                <w:tcPr>
                  <w:tcW w:w="522" w:type="pct"/>
                  <w:vAlign w:val="center"/>
                </w:tcPr>
                <w:p w14:paraId="1611CE40">
                  <w:pPr>
                    <w:adjustRightInd w:val="0"/>
                    <w:snapToGrid w:val="0"/>
                    <w:spacing w:line="360" w:lineRule="exact"/>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搅拌</w:t>
                  </w:r>
                </w:p>
              </w:tc>
              <w:tc>
                <w:tcPr>
                  <w:tcW w:w="774" w:type="pct"/>
                  <w:vAlign w:val="center"/>
                </w:tcPr>
                <w:p w14:paraId="10955FC8">
                  <w:pPr>
                    <w:adjustRightInd w:val="0"/>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滴漏沥青及拌合残渣</w:t>
                  </w:r>
                </w:p>
              </w:tc>
              <w:tc>
                <w:tcPr>
                  <w:tcW w:w="341" w:type="pct"/>
                  <w:vMerge w:val="continue"/>
                  <w:vAlign w:val="center"/>
                </w:tcPr>
                <w:p w14:paraId="6434E222">
                  <w:pPr>
                    <w:pStyle w:val="22"/>
                    <w:spacing w:line="360" w:lineRule="exact"/>
                    <w:rPr>
                      <w:b w:val="0"/>
                      <w:bCs/>
                      <w:color w:val="auto"/>
                      <w:sz w:val="21"/>
                      <w:szCs w:val="21"/>
                    </w:rPr>
                  </w:pPr>
                </w:p>
              </w:tc>
              <w:tc>
                <w:tcPr>
                  <w:tcW w:w="605" w:type="pct"/>
                  <w:vAlign w:val="center"/>
                </w:tcPr>
                <w:p w14:paraId="0EC7E89F">
                  <w:pPr>
                    <w:pStyle w:val="22"/>
                    <w:spacing w:line="360" w:lineRule="exact"/>
                    <w:rPr>
                      <w:b w:val="0"/>
                      <w:bCs/>
                      <w:color w:val="auto"/>
                      <w:sz w:val="21"/>
                      <w:szCs w:val="21"/>
                    </w:rPr>
                  </w:pPr>
                  <w:r>
                    <w:rPr>
                      <w:rFonts w:hint="eastAsia"/>
                      <w:b w:val="0"/>
                      <w:bCs/>
                      <w:color w:val="auto"/>
                      <w:sz w:val="21"/>
                      <w:szCs w:val="21"/>
                    </w:rPr>
                    <w:t>900-099-S59</w:t>
                  </w:r>
                </w:p>
              </w:tc>
              <w:tc>
                <w:tcPr>
                  <w:tcW w:w="403" w:type="pct"/>
                  <w:vAlign w:val="center"/>
                </w:tcPr>
                <w:p w14:paraId="1D15AD9E">
                  <w:pPr>
                    <w:pStyle w:val="22"/>
                    <w:spacing w:line="360" w:lineRule="exact"/>
                    <w:rPr>
                      <w:b w:val="0"/>
                      <w:bCs/>
                      <w:color w:val="auto"/>
                      <w:sz w:val="21"/>
                      <w:szCs w:val="21"/>
                    </w:rPr>
                  </w:pPr>
                  <w:r>
                    <w:rPr>
                      <w:rFonts w:hint="eastAsia"/>
                      <w:b w:val="0"/>
                      <w:bCs/>
                      <w:color w:val="auto"/>
                      <w:sz w:val="21"/>
                      <w:szCs w:val="21"/>
                      <w:lang w:val="en-US" w:eastAsia="zh-CN"/>
                    </w:rPr>
                    <w:t>固态</w:t>
                  </w:r>
                </w:p>
              </w:tc>
              <w:tc>
                <w:tcPr>
                  <w:tcW w:w="575" w:type="pct"/>
                  <w:vAlign w:val="center"/>
                </w:tcPr>
                <w:p w14:paraId="35E977EE">
                  <w:pPr>
                    <w:pStyle w:val="22"/>
                    <w:spacing w:line="360" w:lineRule="exact"/>
                    <w:rPr>
                      <w:rFonts w:hint="eastAsia" w:eastAsia="宋体"/>
                      <w:b w:val="0"/>
                      <w:bCs/>
                      <w:color w:val="auto"/>
                      <w:sz w:val="21"/>
                      <w:szCs w:val="21"/>
                      <w:lang w:val="en-US" w:eastAsia="zh-CN"/>
                    </w:rPr>
                  </w:pPr>
                  <w:r>
                    <w:rPr>
                      <w:rFonts w:hint="eastAsia"/>
                      <w:b w:val="0"/>
                      <w:bCs/>
                      <w:color w:val="auto"/>
                      <w:sz w:val="21"/>
                      <w:szCs w:val="21"/>
                      <w:lang w:val="en-US" w:eastAsia="zh-CN"/>
                    </w:rPr>
                    <w:t>5</w:t>
                  </w:r>
                </w:p>
              </w:tc>
              <w:tc>
                <w:tcPr>
                  <w:tcW w:w="619" w:type="pct"/>
                  <w:vAlign w:val="center"/>
                </w:tcPr>
                <w:p w14:paraId="5766902C">
                  <w:pPr>
                    <w:pStyle w:val="22"/>
                    <w:spacing w:line="360" w:lineRule="exact"/>
                    <w:rPr>
                      <w:b w:val="0"/>
                      <w:bCs/>
                      <w:color w:val="auto"/>
                      <w:sz w:val="21"/>
                      <w:szCs w:val="21"/>
                    </w:rPr>
                  </w:pPr>
                  <w:r>
                    <w:rPr>
                      <w:rFonts w:hint="eastAsia"/>
                      <w:b w:val="0"/>
                      <w:bCs/>
                      <w:color w:val="auto"/>
                      <w:sz w:val="21"/>
                      <w:szCs w:val="21"/>
                    </w:rPr>
                    <w:t>密闭塑料桶</w:t>
                  </w:r>
                </w:p>
              </w:tc>
              <w:tc>
                <w:tcPr>
                  <w:tcW w:w="879" w:type="pct"/>
                  <w:vAlign w:val="center"/>
                </w:tcPr>
                <w:p w14:paraId="153AF2F7">
                  <w:pPr>
                    <w:pStyle w:val="22"/>
                    <w:spacing w:line="360" w:lineRule="exact"/>
                    <w:rPr>
                      <w:b w:val="0"/>
                      <w:bCs/>
                      <w:color w:val="auto"/>
                      <w:sz w:val="21"/>
                      <w:szCs w:val="21"/>
                    </w:rPr>
                  </w:pPr>
                  <w:r>
                    <w:rPr>
                      <w:rFonts w:hint="eastAsia"/>
                      <w:b w:val="0"/>
                      <w:bCs/>
                      <w:color w:val="auto"/>
                      <w:sz w:val="21"/>
                      <w:szCs w:val="21"/>
                    </w:rPr>
                    <w:t>外售作为建筑材料</w:t>
                  </w:r>
                </w:p>
              </w:tc>
            </w:tr>
            <w:tr w14:paraId="6F1F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78" w:type="pct"/>
                  <w:shd w:val="clear" w:color="auto" w:fill="auto"/>
                  <w:vAlign w:val="center"/>
                </w:tcPr>
                <w:p w14:paraId="4BDF1F67">
                  <w:pPr>
                    <w:adjustRightInd w:val="0"/>
                    <w:snapToGrid w:val="0"/>
                    <w:spacing w:line="360" w:lineRule="exact"/>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5</w:t>
                  </w:r>
                </w:p>
              </w:tc>
              <w:tc>
                <w:tcPr>
                  <w:tcW w:w="522" w:type="pct"/>
                  <w:vAlign w:val="center"/>
                </w:tcPr>
                <w:p w14:paraId="58071E7D">
                  <w:pPr>
                    <w:adjustRightInd w:val="0"/>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有机热载体炉</w:t>
                  </w:r>
                </w:p>
              </w:tc>
              <w:tc>
                <w:tcPr>
                  <w:tcW w:w="774" w:type="pct"/>
                  <w:vAlign w:val="center"/>
                </w:tcPr>
                <w:p w14:paraId="296CAC01">
                  <w:pPr>
                    <w:adjustRightInd w:val="0"/>
                    <w:snapToGrid w:val="0"/>
                    <w:spacing w:line="360" w:lineRule="exact"/>
                    <w:ind w:firstLine="0" w:firstLineChars="0"/>
                    <w:jc w:val="center"/>
                    <w:rPr>
                      <w:rFonts w:hint="eastAsia" w:eastAsia="宋体"/>
                      <w:bCs/>
                      <w:color w:val="auto"/>
                      <w:sz w:val="21"/>
                      <w:szCs w:val="21"/>
                      <w:lang w:val="en-US" w:eastAsia="zh-CN"/>
                    </w:rPr>
                  </w:pPr>
                  <w:r>
                    <w:rPr>
                      <w:rFonts w:hint="eastAsia"/>
                      <w:bCs/>
                      <w:color w:val="auto"/>
                      <w:sz w:val="21"/>
                      <w:szCs w:val="21"/>
                      <w:lang w:val="en-US" w:eastAsia="zh-CN"/>
                    </w:rPr>
                    <w:t>废导热油</w:t>
                  </w:r>
                </w:p>
              </w:tc>
              <w:tc>
                <w:tcPr>
                  <w:tcW w:w="341" w:type="pct"/>
                  <w:vMerge w:val="restart"/>
                  <w:vAlign w:val="center"/>
                </w:tcPr>
                <w:p w14:paraId="21B53ED8">
                  <w:pPr>
                    <w:pStyle w:val="22"/>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危险废物</w:t>
                  </w:r>
                </w:p>
              </w:tc>
              <w:tc>
                <w:tcPr>
                  <w:tcW w:w="605" w:type="pct"/>
                  <w:vAlign w:val="center"/>
                </w:tcPr>
                <w:p w14:paraId="144790BB">
                  <w:pPr>
                    <w:pStyle w:val="22"/>
                    <w:spacing w:line="360" w:lineRule="exact"/>
                    <w:rPr>
                      <w:b w:val="0"/>
                      <w:bCs/>
                      <w:color w:val="auto"/>
                      <w:sz w:val="21"/>
                      <w:szCs w:val="21"/>
                    </w:rPr>
                  </w:pPr>
                  <w:r>
                    <w:rPr>
                      <w:rFonts w:hint="eastAsia"/>
                      <w:b w:val="0"/>
                      <w:bCs/>
                      <w:color w:val="auto"/>
                      <w:sz w:val="21"/>
                      <w:szCs w:val="21"/>
                    </w:rPr>
                    <w:t>900-249-08</w:t>
                  </w:r>
                </w:p>
              </w:tc>
              <w:tc>
                <w:tcPr>
                  <w:tcW w:w="403" w:type="pct"/>
                  <w:vAlign w:val="center"/>
                </w:tcPr>
                <w:p w14:paraId="14130720">
                  <w:pPr>
                    <w:pStyle w:val="22"/>
                    <w:spacing w:line="360" w:lineRule="exact"/>
                    <w:rPr>
                      <w:b w:val="0"/>
                      <w:bCs/>
                      <w:color w:val="auto"/>
                      <w:sz w:val="21"/>
                      <w:szCs w:val="21"/>
                    </w:rPr>
                  </w:pPr>
                  <w:r>
                    <w:rPr>
                      <w:rFonts w:hint="eastAsia"/>
                      <w:b w:val="0"/>
                      <w:bCs w:val="0"/>
                      <w:color w:val="auto"/>
                      <w:sz w:val="21"/>
                      <w:szCs w:val="21"/>
                      <w:lang w:val="en-US" w:eastAsia="zh-CN"/>
                    </w:rPr>
                    <w:t>液态</w:t>
                  </w:r>
                </w:p>
              </w:tc>
              <w:tc>
                <w:tcPr>
                  <w:tcW w:w="575" w:type="pct"/>
                  <w:vAlign w:val="center"/>
                </w:tcPr>
                <w:p w14:paraId="6BF9161D">
                  <w:pPr>
                    <w:pStyle w:val="22"/>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0.4</w:t>
                  </w:r>
                </w:p>
              </w:tc>
              <w:tc>
                <w:tcPr>
                  <w:tcW w:w="1498" w:type="pct"/>
                  <w:gridSpan w:val="2"/>
                  <w:vAlign w:val="center"/>
                </w:tcPr>
                <w:p w14:paraId="18854CC2">
                  <w:pPr>
                    <w:pStyle w:val="22"/>
                    <w:spacing w:line="360" w:lineRule="exact"/>
                    <w:rPr>
                      <w:b w:val="0"/>
                      <w:bCs/>
                      <w:color w:val="auto"/>
                      <w:kern w:val="0"/>
                      <w:sz w:val="21"/>
                      <w:szCs w:val="21"/>
                      <w:lang w:bidi="ar"/>
                    </w:rPr>
                  </w:pPr>
                  <w:r>
                    <w:rPr>
                      <w:rFonts w:hint="eastAsia"/>
                      <w:b w:val="0"/>
                      <w:bCs/>
                      <w:color w:val="auto"/>
                      <w:sz w:val="21"/>
                      <w:szCs w:val="21"/>
                    </w:rPr>
                    <w:t>由厂家带走回收处置</w:t>
                  </w:r>
                </w:p>
              </w:tc>
            </w:tr>
            <w:tr w14:paraId="35FC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78" w:type="pct"/>
                  <w:shd w:val="clear" w:color="auto" w:fill="auto"/>
                  <w:vAlign w:val="center"/>
                </w:tcPr>
                <w:p w14:paraId="40CE5097">
                  <w:pPr>
                    <w:adjustRightInd w:val="0"/>
                    <w:snapToGrid w:val="0"/>
                    <w:spacing w:line="360" w:lineRule="exact"/>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6</w:t>
                  </w:r>
                </w:p>
              </w:tc>
              <w:tc>
                <w:tcPr>
                  <w:tcW w:w="522" w:type="pct"/>
                  <w:vAlign w:val="center"/>
                </w:tcPr>
                <w:p w14:paraId="4BB4C31C">
                  <w:pPr>
                    <w:adjustRightInd w:val="0"/>
                    <w:snapToGrid w:val="0"/>
                    <w:spacing w:line="360" w:lineRule="exact"/>
                    <w:ind w:firstLine="0" w:firstLineChars="0"/>
                    <w:jc w:val="center"/>
                    <w:rPr>
                      <w:rFonts w:hint="default"/>
                      <w:bCs/>
                      <w:color w:val="auto"/>
                      <w:sz w:val="21"/>
                      <w:szCs w:val="21"/>
                      <w:lang w:val="en-US" w:eastAsia="zh-CN"/>
                    </w:rPr>
                  </w:pPr>
                  <w:r>
                    <w:rPr>
                      <w:rFonts w:hint="eastAsia"/>
                      <w:bCs/>
                      <w:color w:val="auto"/>
                      <w:sz w:val="21"/>
                      <w:szCs w:val="21"/>
                      <w:lang w:val="en-US" w:eastAsia="zh-CN"/>
                    </w:rPr>
                    <w:t>电捕焦油器</w:t>
                  </w:r>
                </w:p>
              </w:tc>
              <w:tc>
                <w:tcPr>
                  <w:tcW w:w="774" w:type="pct"/>
                  <w:vAlign w:val="center"/>
                </w:tcPr>
                <w:p w14:paraId="6DA99010">
                  <w:pPr>
                    <w:adjustRightInd w:val="0"/>
                    <w:snapToGrid w:val="0"/>
                    <w:spacing w:line="360" w:lineRule="exact"/>
                    <w:ind w:firstLine="0" w:firstLineChars="0"/>
                    <w:jc w:val="center"/>
                    <w:rPr>
                      <w:rFonts w:hint="default"/>
                      <w:bCs/>
                      <w:color w:val="auto"/>
                      <w:sz w:val="21"/>
                      <w:szCs w:val="21"/>
                      <w:lang w:val="en-US" w:eastAsia="zh-CN"/>
                    </w:rPr>
                  </w:pPr>
                  <w:r>
                    <w:rPr>
                      <w:rFonts w:hint="eastAsia"/>
                      <w:bCs/>
                      <w:color w:val="auto"/>
                      <w:sz w:val="21"/>
                      <w:szCs w:val="21"/>
                      <w:lang w:val="en-US" w:eastAsia="zh-CN"/>
                    </w:rPr>
                    <w:t>焦油渣</w:t>
                  </w:r>
                </w:p>
              </w:tc>
              <w:tc>
                <w:tcPr>
                  <w:tcW w:w="341" w:type="pct"/>
                  <w:vMerge w:val="continue"/>
                  <w:vAlign w:val="center"/>
                </w:tcPr>
                <w:p w14:paraId="7D16F395">
                  <w:pPr>
                    <w:pStyle w:val="22"/>
                    <w:spacing w:line="360" w:lineRule="exact"/>
                    <w:rPr>
                      <w:rFonts w:hint="eastAsia"/>
                      <w:b w:val="0"/>
                      <w:bCs/>
                      <w:color w:val="auto"/>
                      <w:sz w:val="21"/>
                      <w:szCs w:val="21"/>
                      <w:lang w:val="en-US" w:eastAsia="zh-CN"/>
                    </w:rPr>
                  </w:pPr>
                </w:p>
              </w:tc>
              <w:tc>
                <w:tcPr>
                  <w:tcW w:w="605" w:type="pct"/>
                  <w:vAlign w:val="center"/>
                </w:tcPr>
                <w:p w14:paraId="283EA0D6">
                  <w:pPr>
                    <w:pStyle w:val="22"/>
                    <w:spacing w:line="360" w:lineRule="exact"/>
                    <w:rPr>
                      <w:rFonts w:hint="eastAsia"/>
                      <w:b w:val="0"/>
                      <w:bCs/>
                      <w:color w:val="auto"/>
                      <w:sz w:val="21"/>
                      <w:szCs w:val="21"/>
                    </w:rPr>
                  </w:pPr>
                  <w:r>
                    <w:rPr>
                      <w:rFonts w:hint="eastAsia"/>
                      <w:b w:val="0"/>
                      <w:bCs/>
                      <w:color w:val="auto"/>
                      <w:sz w:val="21"/>
                      <w:szCs w:val="21"/>
                    </w:rPr>
                    <w:t>252-002-11</w:t>
                  </w:r>
                </w:p>
              </w:tc>
              <w:tc>
                <w:tcPr>
                  <w:tcW w:w="403" w:type="pct"/>
                  <w:vAlign w:val="center"/>
                </w:tcPr>
                <w:p w14:paraId="4FF9DD87">
                  <w:pPr>
                    <w:pStyle w:val="22"/>
                    <w:spacing w:line="360" w:lineRule="exact"/>
                    <w:rPr>
                      <w:rFonts w:hint="eastAsia"/>
                      <w:b w:val="0"/>
                      <w:bCs w:val="0"/>
                      <w:color w:val="auto"/>
                      <w:sz w:val="21"/>
                      <w:szCs w:val="21"/>
                      <w:lang w:val="en-US" w:eastAsia="zh-CN"/>
                    </w:rPr>
                  </w:pPr>
                  <w:r>
                    <w:rPr>
                      <w:rFonts w:hint="eastAsia"/>
                      <w:b w:val="0"/>
                      <w:bCs/>
                      <w:color w:val="auto"/>
                      <w:sz w:val="21"/>
                      <w:szCs w:val="21"/>
                      <w:lang w:val="en-US" w:eastAsia="zh-CN"/>
                    </w:rPr>
                    <w:t>固态</w:t>
                  </w:r>
                </w:p>
              </w:tc>
              <w:tc>
                <w:tcPr>
                  <w:tcW w:w="575" w:type="pct"/>
                  <w:vAlign w:val="center"/>
                </w:tcPr>
                <w:p w14:paraId="125D1D8F">
                  <w:pPr>
                    <w:pStyle w:val="22"/>
                    <w:spacing w:line="360" w:lineRule="exact"/>
                    <w:rPr>
                      <w:rFonts w:hint="default"/>
                      <w:b w:val="0"/>
                      <w:bCs/>
                      <w:color w:val="auto"/>
                      <w:sz w:val="21"/>
                      <w:szCs w:val="21"/>
                      <w:lang w:val="en-US" w:eastAsia="zh-CN"/>
                    </w:rPr>
                  </w:pPr>
                  <w:r>
                    <w:rPr>
                      <w:rFonts w:hint="eastAsia"/>
                      <w:b w:val="0"/>
                      <w:bCs/>
                      <w:color w:val="auto"/>
                      <w:sz w:val="21"/>
                      <w:szCs w:val="21"/>
                      <w:lang w:val="en-US" w:eastAsia="zh-CN"/>
                    </w:rPr>
                    <w:t>0.001</w:t>
                  </w:r>
                </w:p>
              </w:tc>
              <w:tc>
                <w:tcPr>
                  <w:tcW w:w="1498" w:type="pct"/>
                  <w:gridSpan w:val="2"/>
                  <w:vAlign w:val="center"/>
                </w:tcPr>
                <w:p w14:paraId="4B0D7091">
                  <w:pPr>
                    <w:pStyle w:val="22"/>
                    <w:spacing w:line="360" w:lineRule="exact"/>
                    <w:rPr>
                      <w:rFonts w:hint="eastAsia"/>
                      <w:b w:val="0"/>
                      <w:bCs/>
                      <w:color w:val="auto"/>
                      <w:sz w:val="21"/>
                      <w:szCs w:val="21"/>
                    </w:rPr>
                  </w:pPr>
                  <w:r>
                    <w:rPr>
                      <w:rFonts w:hint="eastAsia"/>
                      <w:b w:val="0"/>
                      <w:bCs/>
                      <w:color w:val="auto"/>
                      <w:sz w:val="21"/>
                      <w:szCs w:val="21"/>
                    </w:rPr>
                    <w:t>依托采石场一间5m</w:t>
                  </w:r>
                  <w:r>
                    <w:rPr>
                      <w:rFonts w:hint="eastAsia"/>
                      <w:b w:val="0"/>
                      <w:bCs/>
                      <w:color w:val="auto"/>
                      <w:sz w:val="21"/>
                      <w:szCs w:val="21"/>
                      <w:vertAlign w:val="superscript"/>
                      <w:lang w:val="en-US" w:eastAsia="zh-CN"/>
                    </w:rPr>
                    <w:t>2</w:t>
                  </w:r>
                  <w:r>
                    <w:rPr>
                      <w:rFonts w:hint="eastAsia"/>
                      <w:b w:val="0"/>
                      <w:bCs/>
                      <w:color w:val="auto"/>
                      <w:sz w:val="21"/>
                      <w:szCs w:val="21"/>
                    </w:rPr>
                    <w:t>危废暂存间暂存，定期委托有资质的单位进行清运处置。</w:t>
                  </w:r>
                </w:p>
              </w:tc>
            </w:tr>
            <w:tr w14:paraId="7ED8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278" w:type="pct"/>
                  <w:shd w:val="clear" w:color="auto" w:fill="auto"/>
                  <w:vAlign w:val="center"/>
                </w:tcPr>
                <w:p w14:paraId="6262C3E6">
                  <w:pPr>
                    <w:adjustRightInd w:val="0"/>
                    <w:snapToGrid w:val="0"/>
                    <w:spacing w:line="360" w:lineRule="exact"/>
                    <w:ind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7</w:t>
                  </w:r>
                </w:p>
              </w:tc>
              <w:tc>
                <w:tcPr>
                  <w:tcW w:w="522" w:type="pct"/>
                  <w:vAlign w:val="center"/>
                </w:tcPr>
                <w:p w14:paraId="4E0EEDEB">
                  <w:pPr>
                    <w:adjustRightInd w:val="0"/>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活性炭吸附装置</w:t>
                  </w:r>
                </w:p>
              </w:tc>
              <w:tc>
                <w:tcPr>
                  <w:tcW w:w="774" w:type="pct"/>
                  <w:vAlign w:val="center"/>
                </w:tcPr>
                <w:p w14:paraId="007643F6">
                  <w:pPr>
                    <w:adjustRightInd w:val="0"/>
                    <w:snapToGrid w:val="0"/>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废活性炭</w:t>
                  </w:r>
                </w:p>
              </w:tc>
              <w:tc>
                <w:tcPr>
                  <w:tcW w:w="341" w:type="pct"/>
                  <w:vMerge w:val="continue"/>
                  <w:vAlign w:val="center"/>
                </w:tcPr>
                <w:p w14:paraId="30697782">
                  <w:pPr>
                    <w:pStyle w:val="22"/>
                    <w:spacing w:line="360" w:lineRule="exact"/>
                    <w:rPr>
                      <w:b w:val="0"/>
                      <w:bCs/>
                      <w:color w:val="auto"/>
                      <w:sz w:val="21"/>
                      <w:szCs w:val="21"/>
                    </w:rPr>
                  </w:pPr>
                </w:p>
              </w:tc>
              <w:tc>
                <w:tcPr>
                  <w:tcW w:w="605" w:type="pct"/>
                  <w:vAlign w:val="center"/>
                </w:tcPr>
                <w:p w14:paraId="480ADFC8">
                  <w:pPr>
                    <w:pStyle w:val="22"/>
                    <w:spacing w:line="360" w:lineRule="exact"/>
                    <w:rPr>
                      <w:b w:val="0"/>
                      <w:bCs/>
                      <w:color w:val="auto"/>
                      <w:sz w:val="21"/>
                      <w:szCs w:val="21"/>
                    </w:rPr>
                  </w:pPr>
                  <w:r>
                    <w:rPr>
                      <w:rFonts w:hint="eastAsia"/>
                      <w:b w:val="0"/>
                      <w:bCs/>
                      <w:color w:val="auto"/>
                      <w:sz w:val="21"/>
                      <w:szCs w:val="21"/>
                    </w:rPr>
                    <w:t>900-039-49</w:t>
                  </w:r>
                </w:p>
              </w:tc>
              <w:tc>
                <w:tcPr>
                  <w:tcW w:w="403" w:type="pct"/>
                  <w:vAlign w:val="center"/>
                </w:tcPr>
                <w:p w14:paraId="491CCF2D">
                  <w:pPr>
                    <w:spacing w:line="360" w:lineRule="exact"/>
                    <w:ind w:firstLine="0" w:firstLineChars="0"/>
                    <w:jc w:val="center"/>
                    <w:rPr>
                      <w:bCs/>
                      <w:color w:val="auto"/>
                      <w:sz w:val="21"/>
                      <w:szCs w:val="21"/>
                    </w:rPr>
                  </w:pPr>
                  <w:r>
                    <w:rPr>
                      <w:rFonts w:hint="eastAsia"/>
                      <w:b w:val="0"/>
                      <w:bCs/>
                      <w:color w:val="auto"/>
                      <w:sz w:val="21"/>
                      <w:szCs w:val="21"/>
                      <w:lang w:val="en-US" w:eastAsia="zh-CN"/>
                    </w:rPr>
                    <w:t>固态</w:t>
                  </w:r>
                </w:p>
              </w:tc>
              <w:tc>
                <w:tcPr>
                  <w:tcW w:w="575" w:type="pct"/>
                  <w:vAlign w:val="center"/>
                </w:tcPr>
                <w:p w14:paraId="4E0F0198">
                  <w:pPr>
                    <w:pStyle w:val="22"/>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9.560</w:t>
                  </w:r>
                </w:p>
              </w:tc>
              <w:tc>
                <w:tcPr>
                  <w:tcW w:w="1498" w:type="pct"/>
                  <w:gridSpan w:val="2"/>
                  <w:vAlign w:val="center"/>
                </w:tcPr>
                <w:p w14:paraId="07EB37D5">
                  <w:pPr>
                    <w:pStyle w:val="22"/>
                    <w:spacing w:line="360" w:lineRule="exact"/>
                    <w:rPr>
                      <w:b w:val="0"/>
                      <w:bCs/>
                      <w:color w:val="auto"/>
                      <w:sz w:val="21"/>
                      <w:szCs w:val="21"/>
                    </w:rPr>
                  </w:pPr>
                  <w:r>
                    <w:rPr>
                      <w:rFonts w:hint="eastAsia" w:cs="Times New Roman"/>
                      <w:b w:val="0"/>
                      <w:bCs/>
                      <w:color w:val="auto"/>
                      <w:sz w:val="21"/>
                      <w:szCs w:val="21"/>
                      <w:highlight w:val="none"/>
                      <w:lang w:val="en-US" w:eastAsia="zh-CN"/>
                    </w:rPr>
                    <w:t>由更换厂家带走回收处置，不在厂区暂存</w:t>
                  </w:r>
                  <w:r>
                    <w:rPr>
                      <w:rFonts w:hint="eastAsia" w:ascii="Times New Roman" w:hAnsi="Times New Roman" w:eastAsia="宋体" w:cs="Times New Roman"/>
                      <w:b w:val="0"/>
                      <w:bCs/>
                      <w:color w:val="auto"/>
                      <w:sz w:val="21"/>
                      <w:szCs w:val="21"/>
                      <w:highlight w:val="none"/>
                      <w:lang w:val="en-US" w:eastAsia="zh-CN"/>
                    </w:rPr>
                    <w:t>。</w:t>
                  </w:r>
                </w:p>
              </w:tc>
            </w:tr>
            <w:tr w14:paraId="5572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78" w:type="pct"/>
                  <w:vMerge w:val="restart"/>
                  <w:vAlign w:val="center"/>
                </w:tcPr>
                <w:p w14:paraId="5CE649D1">
                  <w:pPr>
                    <w:adjustRightInd w:val="0"/>
                    <w:snapToGrid w:val="0"/>
                    <w:spacing w:line="360" w:lineRule="exact"/>
                    <w:ind w:firstLine="0" w:firstLineChars="0"/>
                    <w:jc w:val="center"/>
                    <w:rPr>
                      <w:rFonts w:hint="default" w:eastAsia="宋体"/>
                      <w:bCs/>
                      <w:sz w:val="21"/>
                      <w:szCs w:val="21"/>
                      <w:lang w:val="en-US" w:eastAsia="zh-CN"/>
                    </w:rPr>
                  </w:pPr>
                  <w:r>
                    <w:rPr>
                      <w:rFonts w:hint="eastAsia"/>
                      <w:bCs/>
                      <w:sz w:val="21"/>
                      <w:szCs w:val="21"/>
                      <w:lang w:val="en-US" w:eastAsia="zh-CN"/>
                    </w:rPr>
                    <w:t>8</w:t>
                  </w:r>
                </w:p>
              </w:tc>
              <w:tc>
                <w:tcPr>
                  <w:tcW w:w="522" w:type="pct"/>
                  <w:vMerge w:val="restart"/>
                  <w:vAlign w:val="center"/>
                </w:tcPr>
                <w:p w14:paraId="7026277F">
                  <w:pPr>
                    <w:adjustRightInd w:val="0"/>
                    <w:snapToGrid w:val="0"/>
                    <w:spacing w:line="360" w:lineRule="exact"/>
                    <w:ind w:firstLine="0" w:firstLineChars="0"/>
                    <w:jc w:val="center"/>
                    <w:rPr>
                      <w:rFonts w:hint="default"/>
                      <w:bCs/>
                      <w:sz w:val="21"/>
                      <w:szCs w:val="21"/>
                      <w:lang w:val="en-US" w:eastAsia="zh-CN"/>
                    </w:rPr>
                  </w:pPr>
                  <w:r>
                    <w:rPr>
                      <w:rFonts w:hint="eastAsia"/>
                      <w:bCs/>
                      <w:sz w:val="21"/>
                      <w:szCs w:val="21"/>
                      <w:lang w:val="en-US" w:eastAsia="zh-CN"/>
                    </w:rPr>
                    <w:t>设备维护</w:t>
                  </w:r>
                </w:p>
              </w:tc>
              <w:tc>
                <w:tcPr>
                  <w:tcW w:w="774" w:type="pct"/>
                  <w:vAlign w:val="center"/>
                </w:tcPr>
                <w:p w14:paraId="6736E432">
                  <w:pPr>
                    <w:adjustRightInd w:val="0"/>
                    <w:snapToGrid w:val="0"/>
                    <w:spacing w:line="360" w:lineRule="exact"/>
                    <w:ind w:firstLine="0" w:firstLineChars="0"/>
                    <w:jc w:val="center"/>
                    <w:rPr>
                      <w:rFonts w:hint="default"/>
                      <w:bCs/>
                      <w:color w:val="auto"/>
                      <w:sz w:val="21"/>
                      <w:szCs w:val="21"/>
                      <w:lang w:val="en-US" w:eastAsia="zh-CN"/>
                    </w:rPr>
                  </w:pPr>
                  <w:r>
                    <w:rPr>
                      <w:rFonts w:hint="eastAsia"/>
                      <w:bCs/>
                      <w:color w:val="auto"/>
                      <w:sz w:val="21"/>
                      <w:szCs w:val="21"/>
                      <w:lang w:val="en-US" w:eastAsia="zh-CN"/>
                    </w:rPr>
                    <w:t>废机油</w:t>
                  </w:r>
                </w:p>
              </w:tc>
              <w:tc>
                <w:tcPr>
                  <w:tcW w:w="341" w:type="pct"/>
                  <w:vMerge w:val="continue"/>
                  <w:vAlign w:val="center"/>
                </w:tcPr>
                <w:p w14:paraId="26105121">
                  <w:pPr>
                    <w:pStyle w:val="22"/>
                    <w:spacing w:line="360" w:lineRule="exact"/>
                    <w:rPr>
                      <w:rFonts w:hint="default" w:eastAsia="宋体"/>
                      <w:b w:val="0"/>
                      <w:bCs/>
                      <w:color w:val="auto"/>
                      <w:sz w:val="21"/>
                      <w:szCs w:val="21"/>
                      <w:lang w:val="en-US" w:eastAsia="zh-CN"/>
                    </w:rPr>
                  </w:pPr>
                </w:p>
              </w:tc>
              <w:tc>
                <w:tcPr>
                  <w:tcW w:w="605" w:type="pct"/>
                  <w:vAlign w:val="center"/>
                </w:tcPr>
                <w:p w14:paraId="77B332AF">
                  <w:pPr>
                    <w:pStyle w:val="22"/>
                    <w:spacing w:line="360" w:lineRule="exact"/>
                    <w:rPr>
                      <w:b w:val="0"/>
                      <w:bCs/>
                      <w:color w:val="auto"/>
                      <w:sz w:val="21"/>
                      <w:szCs w:val="21"/>
                    </w:rPr>
                  </w:pPr>
                  <w:r>
                    <w:rPr>
                      <w:rFonts w:hint="eastAsia"/>
                      <w:b w:val="0"/>
                      <w:bCs/>
                      <w:color w:val="auto"/>
                      <w:sz w:val="21"/>
                      <w:szCs w:val="21"/>
                    </w:rPr>
                    <w:t>900-249-08</w:t>
                  </w:r>
                </w:p>
              </w:tc>
              <w:tc>
                <w:tcPr>
                  <w:tcW w:w="403" w:type="pct"/>
                  <w:vAlign w:val="center"/>
                </w:tcPr>
                <w:p w14:paraId="6E5B8B6F">
                  <w:pPr>
                    <w:spacing w:line="360" w:lineRule="exact"/>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液态</w:t>
                  </w:r>
                </w:p>
              </w:tc>
              <w:tc>
                <w:tcPr>
                  <w:tcW w:w="575" w:type="pct"/>
                  <w:vAlign w:val="center"/>
                </w:tcPr>
                <w:p w14:paraId="5386147A">
                  <w:pPr>
                    <w:pStyle w:val="22"/>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0.01</w:t>
                  </w:r>
                </w:p>
              </w:tc>
              <w:tc>
                <w:tcPr>
                  <w:tcW w:w="1498" w:type="pct"/>
                  <w:gridSpan w:val="2"/>
                  <w:vMerge w:val="restart"/>
                  <w:vAlign w:val="center"/>
                </w:tcPr>
                <w:p w14:paraId="1C06B553">
                  <w:pPr>
                    <w:pStyle w:val="22"/>
                    <w:spacing w:line="360" w:lineRule="exact"/>
                    <w:rPr>
                      <w:b w:val="0"/>
                      <w:bCs/>
                      <w:color w:val="auto"/>
                      <w:sz w:val="21"/>
                      <w:szCs w:val="21"/>
                    </w:rPr>
                  </w:pPr>
                  <w:r>
                    <w:rPr>
                      <w:rFonts w:hint="eastAsia"/>
                      <w:b w:val="0"/>
                      <w:bCs/>
                      <w:color w:val="auto"/>
                      <w:sz w:val="21"/>
                      <w:szCs w:val="21"/>
                    </w:rPr>
                    <w:t>依托采石场一间5m</w:t>
                  </w:r>
                  <w:r>
                    <w:rPr>
                      <w:rFonts w:hint="eastAsia"/>
                      <w:b w:val="0"/>
                      <w:bCs/>
                      <w:color w:val="auto"/>
                      <w:sz w:val="21"/>
                      <w:szCs w:val="21"/>
                      <w:vertAlign w:val="superscript"/>
                      <w:lang w:val="en-US" w:eastAsia="zh-CN"/>
                    </w:rPr>
                    <w:t>2</w:t>
                  </w:r>
                  <w:r>
                    <w:rPr>
                      <w:rFonts w:hint="eastAsia"/>
                      <w:b w:val="0"/>
                      <w:bCs/>
                      <w:color w:val="auto"/>
                      <w:sz w:val="21"/>
                      <w:szCs w:val="21"/>
                    </w:rPr>
                    <w:t>危废暂存间暂存，定期委托有资质的单位进行清运处置。</w:t>
                  </w:r>
                </w:p>
              </w:tc>
            </w:tr>
            <w:tr w14:paraId="5E5F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278" w:type="pct"/>
                  <w:vMerge w:val="continue"/>
                  <w:vAlign w:val="center"/>
                </w:tcPr>
                <w:p w14:paraId="4096DB5E">
                  <w:pPr>
                    <w:adjustRightInd w:val="0"/>
                    <w:snapToGrid w:val="0"/>
                    <w:spacing w:line="360" w:lineRule="exact"/>
                    <w:ind w:firstLine="0" w:firstLineChars="0"/>
                    <w:jc w:val="center"/>
                    <w:rPr>
                      <w:bCs/>
                      <w:sz w:val="21"/>
                      <w:szCs w:val="21"/>
                    </w:rPr>
                  </w:pPr>
                </w:p>
              </w:tc>
              <w:tc>
                <w:tcPr>
                  <w:tcW w:w="522" w:type="pct"/>
                  <w:vMerge w:val="continue"/>
                  <w:vAlign w:val="center"/>
                </w:tcPr>
                <w:p w14:paraId="5DBA7F1D">
                  <w:pPr>
                    <w:adjustRightInd w:val="0"/>
                    <w:snapToGrid w:val="0"/>
                    <w:spacing w:line="360" w:lineRule="exact"/>
                    <w:ind w:firstLine="0" w:firstLineChars="0"/>
                    <w:jc w:val="center"/>
                    <w:rPr>
                      <w:rFonts w:hint="eastAsia"/>
                      <w:bCs/>
                      <w:sz w:val="21"/>
                      <w:szCs w:val="21"/>
                      <w:lang w:val="en-US" w:eastAsia="zh-CN"/>
                    </w:rPr>
                  </w:pPr>
                </w:p>
              </w:tc>
              <w:tc>
                <w:tcPr>
                  <w:tcW w:w="774" w:type="pct"/>
                  <w:vAlign w:val="center"/>
                </w:tcPr>
                <w:p w14:paraId="452E82F0">
                  <w:pPr>
                    <w:adjustRightInd w:val="0"/>
                    <w:snapToGrid w:val="0"/>
                    <w:spacing w:line="360" w:lineRule="exact"/>
                    <w:ind w:firstLine="0" w:firstLineChars="0"/>
                    <w:jc w:val="center"/>
                    <w:rPr>
                      <w:rFonts w:hint="default"/>
                      <w:bCs/>
                      <w:color w:val="auto"/>
                      <w:sz w:val="21"/>
                      <w:szCs w:val="21"/>
                      <w:lang w:val="en-US" w:eastAsia="zh-CN"/>
                    </w:rPr>
                  </w:pPr>
                  <w:r>
                    <w:rPr>
                      <w:rFonts w:hint="eastAsia"/>
                      <w:bCs/>
                      <w:color w:val="auto"/>
                      <w:sz w:val="21"/>
                      <w:szCs w:val="21"/>
                      <w:lang w:val="en-US" w:eastAsia="zh-CN"/>
                    </w:rPr>
                    <w:t>含机油废抹布和废手套</w:t>
                  </w:r>
                </w:p>
              </w:tc>
              <w:tc>
                <w:tcPr>
                  <w:tcW w:w="341" w:type="pct"/>
                  <w:vMerge w:val="continue"/>
                  <w:vAlign w:val="center"/>
                </w:tcPr>
                <w:p w14:paraId="179E76FC">
                  <w:pPr>
                    <w:pStyle w:val="22"/>
                    <w:spacing w:line="360" w:lineRule="exact"/>
                    <w:rPr>
                      <w:b w:val="0"/>
                      <w:bCs/>
                      <w:color w:val="auto"/>
                      <w:sz w:val="21"/>
                      <w:szCs w:val="21"/>
                    </w:rPr>
                  </w:pPr>
                </w:p>
              </w:tc>
              <w:tc>
                <w:tcPr>
                  <w:tcW w:w="605" w:type="pct"/>
                  <w:vAlign w:val="center"/>
                </w:tcPr>
                <w:p w14:paraId="242DCBE9">
                  <w:pPr>
                    <w:pStyle w:val="22"/>
                    <w:spacing w:line="360" w:lineRule="exact"/>
                    <w:rPr>
                      <w:b w:val="0"/>
                      <w:bCs/>
                      <w:color w:val="auto"/>
                      <w:sz w:val="21"/>
                      <w:szCs w:val="21"/>
                    </w:rPr>
                  </w:pPr>
                  <w:r>
                    <w:rPr>
                      <w:rFonts w:hint="eastAsia"/>
                      <w:b w:val="0"/>
                      <w:bCs/>
                      <w:color w:val="auto"/>
                      <w:sz w:val="21"/>
                      <w:szCs w:val="21"/>
                    </w:rPr>
                    <w:t>900-249-08</w:t>
                  </w:r>
                </w:p>
              </w:tc>
              <w:tc>
                <w:tcPr>
                  <w:tcW w:w="403" w:type="pct"/>
                  <w:vAlign w:val="center"/>
                </w:tcPr>
                <w:p w14:paraId="49D599D2">
                  <w:pPr>
                    <w:spacing w:line="360" w:lineRule="exact"/>
                    <w:ind w:firstLine="0" w:firstLineChars="0"/>
                    <w:jc w:val="center"/>
                    <w:rPr>
                      <w:bCs/>
                      <w:color w:val="auto"/>
                      <w:sz w:val="21"/>
                      <w:szCs w:val="21"/>
                    </w:rPr>
                  </w:pPr>
                  <w:r>
                    <w:rPr>
                      <w:rFonts w:hint="eastAsia"/>
                      <w:b w:val="0"/>
                      <w:bCs/>
                      <w:sz w:val="21"/>
                      <w:szCs w:val="21"/>
                      <w:lang w:val="en-US" w:eastAsia="zh-CN"/>
                    </w:rPr>
                    <w:t>固态</w:t>
                  </w:r>
                </w:p>
              </w:tc>
              <w:tc>
                <w:tcPr>
                  <w:tcW w:w="575" w:type="pct"/>
                  <w:vAlign w:val="center"/>
                </w:tcPr>
                <w:p w14:paraId="7B9232D6">
                  <w:pPr>
                    <w:pStyle w:val="22"/>
                    <w:spacing w:line="360" w:lineRule="exact"/>
                    <w:rPr>
                      <w:rFonts w:hint="default" w:eastAsia="宋体"/>
                      <w:b w:val="0"/>
                      <w:bCs/>
                      <w:color w:val="auto"/>
                      <w:sz w:val="21"/>
                      <w:szCs w:val="21"/>
                      <w:lang w:val="en-US" w:eastAsia="zh-CN"/>
                    </w:rPr>
                  </w:pPr>
                  <w:r>
                    <w:rPr>
                      <w:rFonts w:hint="eastAsia"/>
                      <w:b w:val="0"/>
                      <w:bCs/>
                      <w:color w:val="auto"/>
                      <w:sz w:val="21"/>
                      <w:szCs w:val="21"/>
                      <w:lang w:val="en-US" w:eastAsia="zh-CN"/>
                    </w:rPr>
                    <w:t>0.01</w:t>
                  </w:r>
                </w:p>
              </w:tc>
              <w:tc>
                <w:tcPr>
                  <w:tcW w:w="1498" w:type="pct"/>
                  <w:gridSpan w:val="2"/>
                  <w:vMerge w:val="continue"/>
                  <w:vAlign w:val="center"/>
                </w:tcPr>
                <w:p w14:paraId="78CAA32B">
                  <w:pPr>
                    <w:pStyle w:val="22"/>
                    <w:spacing w:line="360" w:lineRule="exact"/>
                    <w:rPr>
                      <w:b w:val="0"/>
                      <w:bCs/>
                      <w:color w:val="auto"/>
                      <w:sz w:val="21"/>
                      <w:szCs w:val="21"/>
                    </w:rPr>
                  </w:pPr>
                </w:p>
              </w:tc>
            </w:tr>
          </w:tbl>
          <w:p w14:paraId="7C5DFE43">
            <w:pPr>
              <w:adjustRightInd w:val="0"/>
              <w:snapToGrid w:val="0"/>
              <w:spacing w:before="156" w:beforeLines="50"/>
              <w:ind w:firstLine="482"/>
              <w:rPr>
                <w:b/>
                <w:szCs w:val="21"/>
              </w:rPr>
            </w:pPr>
            <w:r>
              <w:rPr>
                <w:b/>
                <w:szCs w:val="21"/>
              </w:rPr>
              <w:t>（二）固体废物产生情况</w:t>
            </w:r>
          </w:p>
          <w:p w14:paraId="1AAF6F80">
            <w:pPr>
              <w:adjustRightInd w:val="0"/>
              <w:snapToGrid w:val="0"/>
              <w:ind w:firstLine="482"/>
              <w:rPr>
                <w:b/>
                <w:szCs w:val="21"/>
              </w:rPr>
            </w:pPr>
            <w:r>
              <w:rPr>
                <w:rFonts w:hint="eastAsia"/>
                <w:b/>
                <w:szCs w:val="21"/>
              </w:rPr>
              <w:t>1、一般固体废物</w:t>
            </w:r>
          </w:p>
          <w:p w14:paraId="1F58935D">
            <w:pPr>
              <w:pStyle w:val="6"/>
              <w:keepNext w:val="0"/>
              <w:keepLines w:val="0"/>
              <w:pageBreakBefore w:val="0"/>
              <w:kinsoku/>
              <w:overflowPunct/>
              <w:topLinePunct w:val="0"/>
              <w:autoSpaceDE/>
              <w:autoSpaceDN/>
              <w:bidi w:val="0"/>
              <w:adjustRightInd/>
              <w:snapToGrid/>
              <w:spacing w:before="0" w:after="0" w:line="360" w:lineRule="auto"/>
              <w:ind w:left="0" w:leftChars="0" w:right="0" w:firstLine="480" w:firstLineChars="200"/>
              <w:jc w:val="left"/>
              <w:textAlignment w:val="auto"/>
              <w:rPr>
                <w:rFonts w:hint="default" w:ascii="Times New Roman" w:hAnsi="Times New Roman" w:eastAsia="宋体" w:cs="Times New Roman"/>
                <w:i w:val="0"/>
                <w:kern w:val="0"/>
                <w:sz w:val="24"/>
                <w:szCs w:val="22"/>
                <w:lang w:val="en-US" w:eastAsia="zh-CN" w:bidi="ar"/>
              </w:rPr>
            </w:pPr>
            <w:r>
              <w:rPr>
                <w:rFonts w:hint="eastAsia"/>
                <w:i w:val="0"/>
                <w:iCs/>
                <w:sz w:val="24"/>
                <w:szCs w:val="24"/>
                <w:vertAlign w:val="baseline"/>
                <w:lang w:eastAsia="zh-CN"/>
              </w:rPr>
              <w:t>（</w:t>
            </w:r>
            <w:r>
              <w:rPr>
                <w:rFonts w:hint="eastAsia"/>
                <w:i w:val="0"/>
                <w:iCs/>
                <w:sz w:val="24"/>
                <w:szCs w:val="24"/>
                <w:vertAlign w:val="baseline"/>
                <w:lang w:val="en-US" w:eastAsia="zh-CN"/>
              </w:rPr>
              <w:t>1</w:t>
            </w:r>
            <w:r>
              <w:rPr>
                <w:rFonts w:hint="eastAsia" w:ascii="Times New Roman" w:hAnsi="Times New Roman" w:eastAsia="宋体" w:cs="Times New Roman"/>
                <w:i w:val="0"/>
                <w:kern w:val="0"/>
                <w:sz w:val="24"/>
                <w:szCs w:val="22"/>
                <w:lang w:val="en-US" w:eastAsia="zh-CN" w:bidi="ar"/>
              </w:rPr>
              <w:t>）</w:t>
            </w:r>
            <w:r>
              <w:rPr>
                <w:rFonts w:hint="eastAsia" w:cs="Times New Roman"/>
                <w:i w:val="0"/>
                <w:kern w:val="0"/>
                <w:sz w:val="24"/>
                <w:szCs w:val="22"/>
                <w:lang w:val="en-US" w:eastAsia="zh-CN" w:bidi="ar"/>
              </w:rPr>
              <w:t>生活垃圾</w:t>
            </w:r>
          </w:p>
          <w:p w14:paraId="663EA8D0">
            <w:pPr>
              <w:snapToGrid w:val="0"/>
              <w:ind w:firstLine="440"/>
              <w:rPr>
                <w:rFonts w:hint="eastAsia" w:ascii="Times New Roman" w:hAnsi="Times New Roman" w:eastAsia="宋体" w:cs="Times New Roman"/>
                <w:i w:val="0"/>
                <w:color w:val="auto"/>
                <w:kern w:val="0"/>
                <w:sz w:val="24"/>
                <w:szCs w:val="22"/>
                <w:lang w:val="en-US" w:eastAsia="zh-CN" w:bidi="ar"/>
              </w:rPr>
            </w:pPr>
            <w:r>
              <w:rPr>
                <w:rFonts w:hint="eastAsia" w:hAnsi="宋体"/>
                <w:bCs/>
                <w:color w:val="auto"/>
                <w:spacing w:val="-10"/>
                <w:lang w:val="en-US" w:eastAsia="zh-CN"/>
              </w:rPr>
              <w:t>项目劳动定员4</w:t>
            </w:r>
            <w:r>
              <w:rPr>
                <w:rFonts w:hint="eastAsia" w:hAnsi="宋体"/>
                <w:bCs/>
                <w:color w:val="auto"/>
                <w:spacing w:val="-10"/>
              </w:rPr>
              <w:t>人，</w:t>
            </w:r>
            <w:r>
              <w:rPr>
                <w:rFonts w:hint="eastAsia" w:hAnsi="宋体"/>
                <w:bCs/>
                <w:color w:val="auto"/>
                <w:spacing w:val="-10"/>
                <w:lang w:val="en-US" w:eastAsia="zh-CN"/>
              </w:rPr>
              <w:t>不设食宿，</w:t>
            </w:r>
            <w:r>
              <w:rPr>
                <w:rFonts w:hint="eastAsia" w:hAnsi="宋体"/>
                <w:bCs/>
                <w:color w:val="auto"/>
                <w:spacing w:val="-10"/>
              </w:rPr>
              <w:t>年工作180天，员工生活垃圾产生量按0.5kg/人·d，则生活垃圾产生量</w:t>
            </w:r>
            <w:r>
              <w:rPr>
                <w:rFonts w:hint="eastAsia" w:hAnsi="宋体"/>
                <w:bCs/>
                <w:color w:val="auto"/>
                <w:spacing w:val="-10"/>
                <w:lang w:val="en-US" w:eastAsia="zh-CN"/>
              </w:rPr>
              <w:t>2</w:t>
            </w:r>
            <w:r>
              <w:rPr>
                <w:rFonts w:hint="eastAsia" w:hAnsi="宋体"/>
                <w:bCs/>
                <w:color w:val="auto"/>
                <w:spacing w:val="-10"/>
              </w:rPr>
              <w:t>kg/ d、0.</w:t>
            </w:r>
            <w:r>
              <w:rPr>
                <w:rFonts w:hint="eastAsia" w:hAnsi="宋体"/>
                <w:bCs/>
                <w:color w:val="auto"/>
                <w:spacing w:val="-10"/>
                <w:lang w:val="en-US" w:eastAsia="zh-CN"/>
              </w:rPr>
              <w:t>36</w:t>
            </w:r>
            <w:r>
              <w:rPr>
                <w:rFonts w:hint="eastAsia" w:hAnsi="宋体"/>
                <w:bCs/>
                <w:color w:val="auto"/>
                <w:spacing w:val="-10"/>
              </w:rPr>
              <w:t>t/ a，</w:t>
            </w:r>
            <w:r>
              <w:rPr>
                <w:rFonts w:hint="eastAsia" w:hAnsi="宋体"/>
                <w:bCs/>
                <w:color w:val="auto"/>
                <w:spacing w:val="-10"/>
                <w:lang w:val="en-US" w:eastAsia="zh-CN"/>
              </w:rPr>
              <w:t>由垃圾桶</w:t>
            </w:r>
            <w:r>
              <w:rPr>
                <w:rFonts w:hint="eastAsia" w:hAnsi="宋体"/>
                <w:bCs/>
                <w:color w:val="auto"/>
                <w:spacing w:val="-10"/>
              </w:rPr>
              <w:t>统一收集后由环卫部门清运处置。</w:t>
            </w:r>
          </w:p>
          <w:p w14:paraId="3BA51CC5">
            <w:pPr>
              <w:pStyle w:val="6"/>
              <w:keepNext w:val="0"/>
              <w:keepLines w:val="0"/>
              <w:pageBreakBefore w:val="0"/>
              <w:kinsoku/>
              <w:overflowPunct/>
              <w:topLinePunct w:val="0"/>
              <w:autoSpaceDE/>
              <w:autoSpaceDN/>
              <w:bidi w:val="0"/>
              <w:adjustRightInd/>
              <w:snapToGrid/>
              <w:spacing w:before="0" w:after="0" w:line="360" w:lineRule="auto"/>
              <w:ind w:left="0" w:leftChars="0" w:right="0" w:firstLine="480" w:firstLineChars="200"/>
              <w:jc w:val="left"/>
              <w:textAlignment w:val="auto"/>
              <w:rPr>
                <w:rFonts w:hint="eastAsia" w:ascii="Times New Roman" w:hAnsi="Times New Roman" w:eastAsia="宋体" w:cs="Times New Roman"/>
                <w:i w:val="0"/>
                <w:kern w:val="0"/>
                <w:sz w:val="24"/>
                <w:szCs w:val="22"/>
                <w:lang w:val="en-US" w:eastAsia="zh-CN" w:bidi="ar"/>
              </w:rPr>
            </w:pPr>
            <w:r>
              <w:rPr>
                <w:rFonts w:hint="eastAsia" w:cs="Times New Roman"/>
                <w:i w:val="0"/>
                <w:kern w:val="0"/>
                <w:sz w:val="24"/>
                <w:szCs w:val="22"/>
                <w:lang w:val="en-US" w:eastAsia="zh-CN" w:bidi="ar"/>
              </w:rPr>
              <w:t>（2）</w:t>
            </w:r>
            <w:r>
              <w:rPr>
                <w:rFonts w:hint="eastAsia" w:ascii="Times New Roman" w:hAnsi="Times New Roman" w:eastAsia="宋体" w:cs="Times New Roman"/>
                <w:i w:val="0"/>
                <w:kern w:val="0"/>
                <w:sz w:val="24"/>
                <w:szCs w:val="22"/>
                <w:lang w:val="en-US" w:eastAsia="zh-CN" w:bidi="ar"/>
              </w:rPr>
              <w:t>收集</w:t>
            </w:r>
            <w:r>
              <w:rPr>
                <w:rFonts w:hint="eastAsia" w:cs="Times New Roman"/>
                <w:i w:val="0"/>
                <w:kern w:val="0"/>
                <w:sz w:val="24"/>
                <w:szCs w:val="22"/>
                <w:lang w:val="en-US" w:eastAsia="zh-CN" w:bidi="ar"/>
              </w:rPr>
              <w:t>粉尘</w:t>
            </w:r>
          </w:p>
          <w:p w14:paraId="47EF17C6">
            <w:pPr>
              <w:keepNext w:val="0"/>
              <w:keepLines w:val="0"/>
              <w:pageBreakBefore w:val="0"/>
              <w:widowControl w:val="0"/>
              <w:kinsoku/>
              <w:wordWrap/>
              <w:overflowPunct/>
              <w:topLinePunct w:val="0"/>
              <w:autoSpaceDE/>
              <w:autoSpaceDN/>
              <w:bidi w:val="0"/>
              <w:adjustRightInd w:val="0"/>
              <w:snapToGrid w:val="0"/>
              <w:ind w:firstLine="440"/>
              <w:textAlignment w:val="auto"/>
              <w:rPr>
                <w:rFonts w:hint="default" w:hAnsi="宋体" w:eastAsia="宋体"/>
                <w:bCs/>
                <w:color w:val="0000FF"/>
                <w:spacing w:val="-10"/>
                <w:lang w:val="en-US" w:eastAsia="zh-CN"/>
              </w:rPr>
            </w:pPr>
            <w:r>
              <w:rPr>
                <w:rFonts w:hint="eastAsia"/>
                <w:b w:val="0"/>
                <w:bCs/>
                <w:color w:val="auto"/>
                <w:kern w:val="44"/>
                <w:szCs w:val="30"/>
                <w:lang w:val="en-US" w:eastAsia="zh-CN"/>
              </w:rPr>
              <w:t>根据前文废气处理源强核算分析，</w:t>
            </w:r>
            <w:r>
              <w:rPr>
                <w:rFonts w:hint="eastAsia" w:ascii="Times New Roman" w:hAnsi="Times New Roman" w:eastAsia="宋体" w:cs="Times New Roman"/>
                <w:i w:val="0"/>
                <w:color w:val="auto"/>
                <w:kern w:val="0"/>
                <w:sz w:val="24"/>
                <w:szCs w:val="22"/>
                <w:lang w:val="en-US" w:eastAsia="zh-CN" w:bidi="ar"/>
              </w:rPr>
              <w:t>上料粉尘、烘干滚筒废气、筛分粉尘</w:t>
            </w:r>
            <w:r>
              <w:rPr>
                <w:rFonts w:hint="eastAsia" w:cs="Times New Roman"/>
                <w:i w:val="0"/>
                <w:color w:val="auto"/>
                <w:kern w:val="0"/>
                <w:sz w:val="24"/>
                <w:szCs w:val="22"/>
                <w:lang w:val="en-US" w:eastAsia="zh-CN" w:bidi="ar"/>
              </w:rPr>
              <w:t>工序废气处理旋风除尘、布袋除尘粉尘产生量为15.691t/a，</w:t>
            </w:r>
            <w:r>
              <w:rPr>
                <w:rFonts w:hint="eastAsia"/>
                <w:b w:val="0"/>
                <w:bCs/>
                <w:color w:val="auto"/>
                <w:kern w:val="44"/>
                <w:szCs w:val="30"/>
                <w:lang w:val="en-US" w:eastAsia="zh-CN"/>
              </w:rPr>
              <w:t>定期</w:t>
            </w:r>
            <w:r>
              <w:rPr>
                <w:rFonts w:hint="eastAsia"/>
                <w:b w:val="0"/>
                <w:bCs/>
                <w:color w:val="auto"/>
                <w:kern w:val="44"/>
                <w:szCs w:val="30"/>
              </w:rPr>
              <w:t>收集后作为矿粉（原料）填料回用</w:t>
            </w:r>
            <w:r>
              <w:rPr>
                <w:rFonts w:hint="eastAsia"/>
                <w:b w:val="0"/>
                <w:bCs/>
                <w:color w:val="auto"/>
                <w:kern w:val="44"/>
                <w:szCs w:val="30"/>
                <w:lang w:val="en-US" w:eastAsia="zh-CN"/>
              </w:rPr>
              <w:t>与生产</w:t>
            </w:r>
            <w:r>
              <w:rPr>
                <w:rFonts w:hAnsi="宋体"/>
                <w:bCs/>
                <w:color w:val="auto"/>
                <w:spacing w:val="-10"/>
              </w:rPr>
              <w:t>。根据《一般固体废物分类与代码》（GB/T 39198-2020）</w:t>
            </w:r>
            <w:r>
              <w:rPr>
                <w:rFonts w:hint="eastAsia" w:hAnsi="宋体"/>
                <w:bCs/>
                <w:color w:val="auto"/>
                <w:spacing w:val="-10"/>
                <w:lang w:eastAsia="zh-CN"/>
              </w:rPr>
              <w:t>，</w:t>
            </w:r>
            <w:r>
              <w:rPr>
                <w:rFonts w:hint="eastAsia" w:hAnsi="宋体"/>
                <w:bCs/>
                <w:color w:val="auto"/>
                <w:spacing w:val="-10"/>
                <w:lang w:val="en-US" w:eastAsia="zh-CN"/>
              </w:rPr>
              <w:t>布袋除尘器除尘</w:t>
            </w:r>
            <w:r>
              <w:rPr>
                <w:rFonts w:hint="eastAsia" w:cs="Times New Roman"/>
                <w:i w:val="0"/>
                <w:kern w:val="0"/>
                <w:sz w:val="24"/>
                <w:szCs w:val="22"/>
                <w:lang w:val="en-US" w:eastAsia="zh-CN" w:bidi="ar"/>
              </w:rPr>
              <w:t>粉尘</w:t>
            </w:r>
            <w:r>
              <w:rPr>
                <w:rFonts w:hint="eastAsia" w:hAnsi="宋体"/>
                <w:bCs/>
                <w:color w:val="auto"/>
                <w:spacing w:val="-10"/>
                <w:lang w:val="en-US" w:eastAsia="zh-CN"/>
              </w:rPr>
              <w:t>属于</w:t>
            </w:r>
            <w:r>
              <w:rPr>
                <w:rFonts w:hint="eastAsia" w:hAnsi="宋体"/>
                <w:bCs/>
                <w:color w:val="auto"/>
                <w:spacing w:val="-10"/>
                <w:lang w:eastAsia="zh-CN"/>
              </w:rPr>
              <w:t>“</w:t>
            </w:r>
            <w:r>
              <w:rPr>
                <w:rFonts w:hint="eastAsia" w:hAnsi="宋体"/>
                <w:bCs/>
                <w:color w:val="auto"/>
                <w:spacing w:val="-10"/>
                <w:lang w:val="en-US" w:eastAsia="zh-CN"/>
              </w:rPr>
              <w:t>SW59其他工业固体废物</w:t>
            </w:r>
            <w:r>
              <w:rPr>
                <w:rFonts w:hint="eastAsia" w:hAnsi="宋体"/>
                <w:bCs/>
                <w:color w:val="auto"/>
                <w:spacing w:val="-10"/>
                <w:lang w:eastAsia="zh-CN"/>
              </w:rPr>
              <w:t>”</w:t>
            </w:r>
            <w:r>
              <w:rPr>
                <w:rFonts w:hAnsi="宋体"/>
                <w:bCs/>
                <w:color w:val="auto"/>
                <w:spacing w:val="-10"/>
              </w:rPr>
              <w:t>“非特定行业，</w:t>
            </w:r>
            <w:r>
              <w:rPr>
                <w:rFonts w:hint="eastAsia" w:hAnsi="宋体"/>
                <w:bCs/>
                <w:color w:val="auto"/>
                <w:spacing w:val="-10"/>
                <w:lang w:val="en-US" w:eastAsia="zh-CN"/>
              </w:rPr>
              <w:t>其他工业</w:t>
            </w:r>
            <w:r>
              <w:rPr>
                <w:rFonts w:hAnsi="宋体"/>
                <w:bCs/>
                <w:color w:val="auto"/>
                <w:spacing w:val="-10"/>
              </w:rPr>
              <w:t>生产过程中产生的其他废物”，废物代码为</w:t>
            </w:r>
            <w:r>
              <w:rPr>
                <w:rFonts w:hint="eastAsia" w:hAnsi="宋体"/>
                <w:bCs/>
                <w:color w:val="auto"/>
                <w:spacing w:val="-10"/>
                <w:lang w:val="en-US" w:eastAsia="zh-CN"/>
              </w:rPr>
              <w:t>900-099-S59。</w:t>
            </w:r>
          </w:p>
          <w:p w14:paraId="04E9336D">
            <w:pPr>
              <w:keepNext w:val="0"/>
              <w:keepLines w:val="0"/>
              <w:pageBreakBefore w:val="0"/>
              <w:widowControl w:val="0"/>
              <w:kinsoku/>
              <w:wordWrap/>
              <w:overflowPunct/>
              <w:topLinePunct w:val="0"/>
              <w:autoSpaceDE/>
              <w:autoSpaceDN/>
              <w:bidi w:val="0"/>
              <w:adjustRightInd w:val="0"/>
              <w:snapToGrid w:val="0"/>
              <w:ind w:firstLine="440"/>
              <w:textAlignment w:val="auto"/>
              <w:rPr>
                <w:rFonts w:hint="default" w:hAnsi="宋体" w:eastAsia="宋体"/>
                <w:bCs/>
                <w:color w:val="auto"/>
                <w:spacing w:val="-10"/>
                <w:lang w:val="en-US" w:eastAsia="zh-CN"/>
              </w:rPr>
            </w:pPr>
            <w:r>
              <w:rPr>
                <w:rFonts w:hint="eastAsia" w:hAnsi="宋体"/>
                <w:bCs/>
                <w:color w:val="auto"/>
                <w:spacing w:val="-10"/>
                <w:lang w:eastAsia="zh-CN"/>
              </w:rPr>
              <w:t>（</w:t>
            </w:r>
            <w:r>
              <w:rPr>
                <w:rFonts w:hint="eastAsia" w:hAnsi="宋体"/>
                <w:bCs/>
                <w:color w:val="auto"/>
                <w:spacing w:val="-10"/>
                <w:lang w:val="en-US" w:eastAsia="zh-CN"/>
              </w:rPr>
              <w:t>3</w:t>
            </w:r>
            <w:r>
              <w:rPr>
                <w:rFonts w:hint="eastAsia" w:hAnsi="宋体"/>
                <w:bCs/>
                <w:color w:val="auto"/>
                <w:spacing w:val="-10"/>
                <w:lang w:eastAsia="zh-CN"/>
              </w:rPr>
              <w:t>）</w:t>
            </w:r>
            <w:r>
              <w:rPr>
                <w:rFonts w:hint="eastAsia" w:hAnsi="宋体"/>
                <w:bCs/>
                <w:color w:val="auto"/>
                <w:spacing w:val="-10"/>
                <w:lang w:val="en-US" w:eastAsia="zh-CN"/>
              </w:rPr>
              <w:t>废布袋</w:t>
            </w:r>
          </w:p>
          <w:p w14:paraId="2E4FE513">
            <w:pPr>
              <w:pStyle w:val="2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b w:val="0"/>
                <w:bCs/>
                <w:color w:val="0000FF"/>
                <w:kern w:val="44"/>
                <w:szCs w:val="30"/>
              </w:rPr>
            </w:pPr>
            <w:r>
              <w:rPr>
                <w:rFonts w:hint="eastAsia" w:ascii="Times New Roman" w:hAnsi="Times New Roman" w:eastAsia="宋体" w:cs="Times New Roman"/>
                <w:b w:val="0"/>
                <w:i w:val="0"/>
                <w:kern w:val="0"/>
                <w:sz w:val="24"/>
                <w:szCs w:val="22"/>
                <w:lang w:val="en-US" w:eastAsia="zh-CN" w:bidi="ar"/>
              </w:rPr>
              <w:t>项目废气处理系统中布袋除尘器为保障废气处理效率，需要定期更换布袋，更换产生量为0.2t/a，产生的废布袋由厂家带走回收处置，不在厂区暂存。根据《一般固体废物分类与代码》（GB/T 39198-2020），布袋除尘器</w:t>
            </w:r>
            <w:r>
              <w:rPr>
                <w:rFonts w:hint="eastAsia" w:cs="Times New Roman"/>
                <w:b w:val="0"/>
                <w:i w:val="0"/>
                <w:kern w:val="0"/>
                <w:sz w:val="24"/>
                <w:szCs w:val="22"/>
                <w:lang w:val="en-US" w:eastAsia="zh-CN" w:bidi="ar"/>
              </w:rPr>
              <w:t>产生的废布袋</w:t>
            </w:r>
            <w:r>
              <w:rPr>
                <w:rFonts w:hint="eastAsia" w:ascii="Times New Roman" w:hAnsi="Times New Roman" w:eastAsia="宋体" w:cs="Times New Roman"/>
                <w:b w:val="0"/>
                <w:i w:val="0"/>
                <w:kern w:val="0"/>
                <w:sz w:val="24"/>
                <w:szCs w:val="22"/>
                <w:lang w:val="en-US" w:eastAsia="zh-CN" w:bidi="ar"/>
              </w:rPr>
              <w:t>属于“SW59其他工业固体废物”“非特定行业，其他工业生产过程中产生的其他废物”， 废物</w:t>
            </w:r>
            <w:r>
              <w:rPr>
                <w:rFonts w:hint="eastAsia"/>
                <w:b w:val="0"/>
                <w:bCs/>
                <w:color w:val="auto"/>
                <w:kern w:val="44"/>
                <w:szCs w:val="30"/>
              </w:rPr>
              <w:t xml:space="preserve">代码为 </w:t>
            </w:r>
            <w:r>
              <w:rPr>
                <w:rFonts w:hint="eastAsia"/>
                <w:b w:val="0"/>
                <w:bCs/>
                <w:color w:val="auto"/>
                <w:kern w:val="44"/>
                <w:szCs w:val="30"/>
                <w:lang w:val="en-US" w:eastAsia="zh-CN"/>
              </w:rPr>
              <w:t>900-099-S59。</w:t>
            </w:r>
          </w:p>
          <w:p w14:paraId="3B0E1114">
            <w:pPr>
              <w:keepNext w:val="0"/>
              <w:keepLines w:val="0"/>
              <w:pageBreakBefore w:val="0"/>
              <w:widowControl w:val="0"/>
              <w:kinsoku/>
              <w:wordWrap/>
              <w:overflowPunct/>
              <w:topLinePunct w:val="0"/>
              <w:autoSpaceDE/>
              <w:autoSpaceDN/>
              <w:bidi w:val="0"/>
              <w:adjustRightInd w:val="0"/>
              <w:snapToGrid w:val="0"/>
              <w:ind w:firstLine="440"/>
              <w:textAlignment w:val="auto"/>
              <w:rPr>
                <w:rFonts w:hint="default" w:ascii="Times New Roman" w:hAnsi="Times New Roman" w:eastAsia="宋体" w:cs="Times New Roman"/>
                <w:b/>
                <w:bCs/>
                <w:i w:val="0"/>
                <w:kern w:val="0"/>
                <w:sz w:val="24"/>
                <w:szCs w:val="22"/>
                <w:lang w:val="en-US" w:eastAsia="zh-CN" w:bidi="ar"/>
              </w:rPr>
            </w:pPr>
            <w:r>
              <w:rPr>
                <w:rFonts w:hint="eastAsia" w:hAnsi="宋体"/>
                <w:bCs/>
                <w:color w:val="auto"/>
                <w:spacing w:val="-10"/>
                <w:lang w:eastAsia="zh-CN"/>
              </w:rPr>
              <w:t>（</w:t>
            </w:r>
            <w:r>
              <w:rPr>
                <w:rFonts w:hint="eastAsia" w:hAnsi="宋体"/>
                <w:bCs/>
                <w:color w:val="auto"/>
                <w:spacing w:val="-10"/>
                <w:lang w:val="en-US" w:eastAsia="zh-CN"/>
              </w:rPr>
              <w:t>4</w:t>
            </w:r>
            <w:r>
              <w:rPr>
                <w:rFonts w:hint="eastAsia" w:hAnsi="宋体"/>
                <w:bCs/>
                <w:color w:val="auto"/>
                <w:spacing w:val="-10"/>
                <w:lang w:eastAsia="zh-CN"/>
              </w:rPr>
              <w:t>）</w:t>
            </w:r>
            <w:r>
              <w:rPr>
                <w:rFonts w:hint="eastAsia" w:hAnsi="宋体"/>
                <w:bCs/>
                <w:color w:val="auto"/>
                <w:spacing w:val="-10"/>
                <w:lang w:val="en-US" w:eastAsia="zh-CN"/>
              </w:rPr>
              <w:t>滴漏沥青及拌合残渣</w:t>
            </w:r>
          </w:p>
          <w:p w14:paraId="1849DDA6">
            <w:pPr>
              <w:keepNext w:val="0"/>
              <w:keepLines w:val="0"/>
              <w:pageBreakBefore w:val="0"/>
              <w:widowControl w:val="0"/>
              <w:kinsoku/>
              <w:wordWrap/>
              <w:overflowPunct/>
              <w:topLinePunct w:val="0"/>
              <w:autoSpaceDE/>
              <w:autoSpaceDN/>
              <w:bidi w:val="0"/>
              <w:adjustRightInd w:val="0"/>
              <w:snapToGrid w:val="0"/>
              <w:ind w:firstLine="440"/>
              <w:textAlignment w:val="auto"/>
              <w:rPr>
                <w:rFonts w:hint="eastAsia" w:hAnsi="宋体"/>
                <w:bCs/>
                <w:color w:val="auto"/>
                <w:spacing w:val="-10"/>
              </w:rPr>
            </w:pPr>
            <w:r>
              <w:rPr>
                <w:rFonts w:hAnsi="宋体"/>
                <w:bCs/>
                <w:color w:val="auto"/>
                <w:spacing w:val="-10"/>
              </w:rPr>
              <w:t>搅拌</w:t>
            </w:r>
            <w:r>
              <w:rPr>
                <w:rFonts w:hint="eastAsia" w:hAnsi="宋体"/>
                <w:bCs/>
                <w:color w:val="auto"/>
                <w:spacing w:val="-10"/>
                <w:lang w:val="en-US" w:eastAsia="zh-CN"/>
              </w:rPr>
              <w:t>器</w:t>
            </w:r>
            <w:r>
              <w:rPr>
                <w:rFonts w:hAnsi="宋体"/>
                <w:bCs/>
                <w:color w:val="auto"/>
                <w:spacing w:val="-10"/>
              </w:rPr>
              <w:t>底部定期清理出的沥青残渣，每月清理一次，</w:t>
            </w:r>
            <w:r>
              <w:rPr>
                <w:rFonts w:hint="eastAsia" w:hAnsi="宋体"/>
                <w:bCs/>
                <w:color w:val="auto"/>
                <w:spacing w:val="-10"/>
                <w:lang w:val="en-US" w:eastAsia="zh-CN"/>
              </w:rPr>
              <w:t>根据同类项目，</w:t>
            </w:r>
            <w:r>
              <w:rPr>
                <w:rFonts w:hAnsi="宋体"/>
                <w:bCs/>
                <w:color w:val="auto"/>
                <w:spacing w:val="-10"/>
              </w:rPr>
              <w:t>沥青残渣产生量约为</w:t>
            </w:r>
            <w:r>
              <w:rPr>
                <w:rFonts w:hint="eastAsia" w:hAnsi="宋体"/>
                <w:bCs/>
                <w:color w:val="auto"/>
                <w:spacing w:val="-10"/>
                <w:lang w:val="en-US" w:eastAsia="zh-CN"/>
              </w:rPr>
              <w:t>5t/</w:t>
            </w:r>
            <w:r>
              <w:rPr>
                <w:rFonts w:hAnsi="宋体"/>
                <w:bCs/>
                <w:color w:val="auto"/>
                <w:spacing w:val="-10"/>
              </w:rPr>
              <w:t>a，</w:t>
            </w:r>
            <w:r>
              <w:rPr>
                <w:rFonts w:hint="eastAsia" w:hAnsi="宋体"/>
                <w:bCs/>
                <w:color w:val="auto"/>
                <w:spacing w:val="-10"/>
                <w:lang w:val="en-US" w:eastAsia="zh-CN"/>
              </w:rPr>
              <w:t>收集后暂存于密闭的塑料桶内，</w:t>
            </w:r>
            <w:r>
              <w:rPr>
                <w:rFonts w:hAnsi="宋体"/>
                <w:bCs/>
                <w:color w:val="auto"/>
                <w:spacing w:val="-10"/>
              </w:rPr>
              <w:t>外售作为建筑材料。根据《一般固体废物分类与代码》（GB/T 39198-2020）项目</w:t>
            </w:r>
            <w:r>
              <w:rPr>
                <w:rFonts w:hint="eastAsia" w:hAnsi="宋体"/>
                <w:bCs/>
                <w:color w:val="auto"/>
                <w:spacing w:val="-10"/>
                <w:lang w:val="en-US" w:eastAsia="zh-CN"/>
              </w:rPr>
              <w:t>滴漏沥青及拌合残渣</w:t>
            </w:r>
            <w:r>
              <w:rPr>
                <w:rFonts w:hAnsi="宋体"/>
                <w:bCs/>
                <w:color w:val="auto"/>
                <w:spacing w:val="-10"/>
              </w:rPr>
              <w:t>属于</w:t>
            </w:r>
            <w:r>
              <w:rPr>
                <w:rFonts w:hint="eastAsia" w:hAnsi="宋体"/>
                <w:bCs/>
                <w:color w:val="auto"/>
                <w:spacing w:val="-10"/>
                <w:lang w:eastAsia="zh-CN"/>
              </w:rPr>
              <w:t>“</w:t>
            </w:r>
            <w:r>
              <w:rPr>
                <w:rFonts w:hint="eastAsia" w:hAnsi="宋体"/>
                <w:bCs/>
                <w:color w:val="auto"/>
                <w:spacing w:val="-10"/>
                <w:lang w:val="en-US" w:eastAsia="zh-CN"/>
              </w:rPr>
              <w:t>SW59其他工业固体废物</w:t>
            </w:r>
            <w:r>
              <w:rPr>
                <w:rFonts w:hint="eastAsia" w:hAnsi="宋体"/>
                <w:bCs/>
                <w:color w:val="auto"/>
                <w:spacing w:val="-10"/>
                <w:lang w:eastAsia="zh-CN"/>
              </w:rPr>
              <w:t>”</w:t>
            </w:r>
            <w:r>
              <w:rPr>
                <w:rFonts w:hAnsi="宋体"/>
                <w:bCs/>
                <w:color w:val="auto"/>
                <w:spacing w:val="-10"/>
              </w:rPr>
              <w:t>“非特定行业，</w:t>
            </w:r>
            <w:r>
              <w:rPr>
                <w:rFonts w:hint="eastAsia" w:hAnsi="宋体"/>
                <w:bCs/>
                <w:color w:val="auto"/>
                <w:spacing w:val="-10"/>
                <w:lang w:val="en-US" w:eastAsia="zh-CN"/>
              </w:rPr>
              <w:t>其他工业</w:t>
            </w:r>
            <w:r>
              <w:rPr>
                <w:rFonts w:hAnsi="宋体"/>
                <w:bCs/>
                <w:color w:val="auto"/>
                <w:spacing w:val="-10"/>
              </w:rPr>
              <w:t xml:space="preserve">生产过程中产生的其他废物”， 废物代码为 </w:t>
            </w:r>
            <w:r>
              <w:rPr>
                <w:rFonts w:hint="eastAsia" w:hAnsi="宋体"/>
                <w:bCs/>
                <w:color w:val="auto"/>
                <w:spacing w:val="-10"/>
                <w:lang w:val="en-US" w:eastAsia="zh-CN"/>
              </w:rPr>
              <w:t>900-099-S59</w:t>
            </w:r>
            <w:r>
              <w:rPr>
                <w:rFonts w:hint="eastAsia" w:hAnsi="宋体"/>
                <w:bCs/>
                <w:color w:val="auto"/>
                <w:spacing w:val="-10"/>
              </w:rPr>
              <w:t>。</w:t>
            </w:r>
          </w:p>
          <w:p w14:paraId="0FD8EAE1">
            <w:pPr>
              <w:adjustRightInd w:val="0"/>
              <w:snapToGrid w:val="0"/>
              <w:ind w:firstLine="482"/>
              <w:rPr>
                <w:rFonts w:hint="eastAsia" w:hAnsi="宋体"/>
                <w:bCs/>
                <w:color w:val="auto"/>
                <w:spacing w:val="-10"/>
                <w:lang w:eastAsia="zh-CN"/>
              </w:rPr>
            </w:pPr>
            <w:r>
              <w:rPr>
                <w:rFonts w:hint="eastAsia"/>
                <w:b/>
                <w:szCs w:val="21"/>
                <w:lang w:val="en-US" w:eastAsia="zh-CN"/>
              </w:rPr>
              <w:t>2</w:t>
            </w:r>
            <w:r>
              <w:rPr>
                <w:rFonts w:hint="eastAsia"/>
                <w:b/>
                <w:szCs w:val="21"/>
              </w:rPr>
              <w:t>、</w:t>
            </w:r>
            <w:r>
              <w:rPr>
                <w:rFonts w:hint="eastAsia"/>
                <w:b/>
                <w:szCs w:val="21"/>
                <w:lang w:val="en-US" w:eastAsia="zh-CN"/>
              </w:rPr>
              <w:t>危险</w:t>
            </w:r>
            <w:r>
              <w:rPr>
                <w:rFonts w:hint="eastAsia"/>
                <w:b/>
                <w:szCs w:val="21"/>
              </w:rPr>
              <w:t>废物</w:t>
            </w:r>
          </w:p>
          <w:p w14:paraId="373247C4">
            <w:pPr>
              <w:keepNext w:val="0"/>
              <w:keepLines w:val="0"/>
              <w:pageBreakBefore w:val="0"/>
              <w:widowControl w:val="0"/>
              <w:kinsoku/>
              <w:wordWrap/>
              <w:overflowPunct/>
              <w:topLinePunct w:val="0"/>
              <w:autoSpaceDE/>
              <w:autoSpaceDN/>
              <w:bidi w:val="0"/>
              <w:adjustRightInd w:val="0"/>
              <w:snapToGrid w:val="0"/>
              <w:ind w:firstLine="440"/>
              <w:textAlignment w:val="auto"/>
              <w:rPr>
                <w:rFonts w:hint="default" w:hAnsi="宋体" w:eastAsia="宋体"/>
                <w:bCs/>
                <w:color w:val="auto"/>
                <w:spacing w:val="-10"/>
                <w:lang w:val="en-US" w:eastAsia="zh-CN"/>
              </w:rPr>
            </w:pPr>
            <w:r>
              <w:rPr>
                <w:rFonts w:hint="eastAsia" w:hAnsi="宋体"/>
                <w:bCs/>
                <w:color w:val="auto"/>
                <w:spacing w:val="-10"/>
                <w:lang w:eastAsia="zh-CN"/>
              </w:rPr>
              <w:t>（</w:t>
            </w:r>
            <w:r>
              <w:rPr>
                <w:rFonts w:hint="eastAsia" w:hAnsi="宋体"/>
                <w:bCs/>
                <w:color w:val="auto"/>
                <w:spacing w:val="-10"/>
                <w:lang w:val="en-US" w:eastAsia="zh-CN"/>
              </w:rPr>
              <w:t>1</w:t>
            </w:r>
            <w:r>
              <w:rPr>
                <w:rFonts w:hint="eastAsia" w:hAnsi="宋体"/>
                <w:bCs/>
                <w:color w:val="auto"/>
                <w:spacing w:val="-10"/>
                <w:lang w:eastAsia="zh-CN"/>
              </w:rPr>
              <w:t>）</w:t>
            </w:r>
            <w:r>
              <w:rPr>
                <w:rFonts w:hint="eastAsia" w:hAnsi="宋体"/>
                <w:bCs/>
                <w:color w:val="auto"/>
                <w:spacing w:val="-10"/>
                <w:lang w:val="en-US" w:eastAsia="zh-CN"/>
              </w:rPr>
              <w:t>废导热油</w:t>
            </w:r>
          </w:p>
          <w:p w14:paraId="5188417C">
            <w:pPr>
              <w:widowControl/>
              <w:ind w:firstLine="480"/>
              <w:jc w:val="left"/>
              <w:rPr>
                <w:kern w:val="0"/>
                <w:lang w:bidi="ar"/>
              </w:rPr>
            </w:pPr>
            <w:r>
              <w:rPr>
                <w:rFonts w:hint="eastAsia"/>
                <w:kern w:val="0"/>
                <w:lang w:bidi="ar"/>
              </w:rPr>
              <w:t>项目沥青混凝土生产线所用的导热油循环使用</w:t>
            </w:r>
            <w:r>
              <w:rPr>
                <w:rFonts w:hint="eastAsia"/>
                <w:color w:val="auto"/>
                <w:kern w:val="0"/>
                <w:lang w:bidi="ar"/>
              </w:rPr>
              <w:t>，</w:t>
            </w:r>
            <w:r>
              <w:rPr>
                <w:rFonts w:hint="eastAsia"/>
                <w:color w:val="auto"/>
                <w:kern w:val="0"/>
                <w:lang w:val="en-US" w:eastAsia="zh-CN" w:bidi="ar"/>
              </w:rPr>
              <w:t>约5年更换一次</w:t>
            </w:r>
            <w:r>
              <w:rPr>
                <w:rFonts w:hint="eastAsia"/>
                <w:color w:val="auto"/>
                <w:kern w:val="0"/>
                <w:lang w:bidi="ar"/>
              </w:rPr>
              <w:t>，废导热油产生量约</w:t>
            </w:r>
            <w:r>
              <w:rPr>
                <w:rFonts w:hint="eastAsia"/>
                <w:color w:val="auto"/>
                <w:kern w:val="0"/>
                <w:lang w:val="en-US" w:eastAsia="zh-CN" w:bidi="ar"/>
              </w:rPr>
              <w:t>2t/5a（0.4t/a）</w:t>
            </w:r>
            <w:r>
              <w:rPr>
                <w:rFonts w:hint="eastAsia"/>
                <w:color w:val="auto"/>
                <w:kern w:val="0"/>
                <w:lang w:bidi="ar"/>
              </w:rPr>
              <w:t>。</w:t>
            </w:r>
            <w:r>
              <w:rPr>
                <w:rFonts w:hint="eastAsia"/>
                <w:color w:val="auto"/>
                <w:kern w:val="0"/>
                <w:lang w:val="en-US" w:eastAsia="zh-CN" w:bidi="ar"/>
              </w:rPr>
              <w:t>产生的</w:t>
            </w:r>
            <w:r>
              <w:rPr>
                <w:rFonts w:hint="eastAsia"/>
                <w:color w:val="auto"/>
                <w:kern w:val="0"/>
                <w:lang w:bidi="ar"/>
              </w:rPr>
              <w:t>废导热油</w:t>
            </w:r>
            <w:r>
              <w:rPr>
                <w:rFonts w:hint="eastAsia"/>
                <w:color w:val="auto"/>
                <w:kern w:val="0"/>
                <w:lang w:val="en-US" w:eastAsia="zh-CN" w:bidi="ar"/>
              </w:rPr>
              <w:t>由更换厂家带走回收处置，不在厂区暂存</w:t>
            </w:r>
            <w:r>
              <w:rPr>
                <w:rFonts w:hint="eastAsia"/>
                <w:color w:val="auto"/>
                <w:kern w:val="0"/>
                <w:lang w:bidi="ar"/>
              </w:rPr>
              <w:t>。根据《国家危险废物名录》</w:t>
            </w:r>
            <w:r>
              <w:rPr>
                <w:rFonts w:hint="eastAsia"/>
                <w:color w:val="auto"/>
                <w:kern w:val="0"/>
                <w:lang w:eastAsia="zh-CN" w:bidi="ar"/>
              </w:rPr>
              <w:t>（</w:t>
            </w:r>
            <w:r>
              <w:rPr>
                <w:rFonts w:hint="eastAsia"/>
                <w:color w:val="auto"/>
                <w:kern w:val="0"/>
                <w:lang w:bidi="ar"/>
              </w:rPr>
              <w:t>202</w:t>
            </w:r>
            <w:r>
              <w:rPr>
                <w:rFonts w:hint="eastAsia"/>
                <w:color w:val="auto"/>
                <w:kern w:val="0"/>
                <w:lang w:val="en-US" w:eastAsia="zh-CN" w:bidi="ar"/>
              </w:rPr>
              <w:t>5年</w:t>
            </w:r>
            <w:r>
              <w:rPr>
                <w:rFonts w:hint="eastAsia"/>
                <w:color w:val="auto"/>
                <w:kern w:val="0"/>
                <w:lang w:bidi="ar"/>
              </w:rPr>
              <w:t>版</w:t>
            </w:r>
            <w:r>
              <w:rPr>
                <w:rFonts w:hint="eastAsia"/>
                <w:color w:val="auto"/>
                <w:kern w:val="0"/>
                <w:lang w:eastAsia="zh-CN" w:bidi="ar"/>
              </w:rPr>
              <w:t>）</w:t>
            </w:r>
            <w:r>
              <w:rPr>
                <w:rFonts w:hint="eastAsia"/>
                <w:color w:val="auto"/>
                <w:kern w:val="0"/>
                <w:lang w:bidi="ar"/>
              </w:rPr>
              <w:t>，废导热油属于</w:t>
            </w:r>
            <w:r>
              <w:rPr>
                <w:rFonts w:hint="eastAsia"/>
                <w:color w:val="auto"/>
                <w:kern w:val="0"/>
                <w:lang w:eastAsia="zh-CN" w:bidi="ar"/>
              </w:rPr>
              <w:t>“</w:t>
            </w:r>
            <w:r>
              <w:rPr>
                <w:rFonts w:hint="eastAsia"/>
                <w:color w:val="auto"/>
                <w:kern w:val="0"/>
                <w:lang w:bidi="ar"/>
              </w:rPr>
              <w:t>HW08废矿物油与含矿物油废物</w:t>
            </w:r>
            <w:r>
              <w:rPr>
                <w:rFonts w:hint="eastAsia"/>
                <w:color w:val="auto"/>
                <w:kern w:val="0"/>
                <w:lang w:eastAsia="zh-CN" w:bidi="ar"/>
              </w:rPr>
              <w:t>”</w:t>
            </w:r>
            <w:r>
              <w:rPr>
                <w:rFonts w:hint="eastAsia"/>
                <w:color w:val="auto"/>
                <w:kern w:val="0"/>
                <w:lang w:bidi="ar"/>
              </w:rPr>
              <w:t>，废物代码为 900-249-08</w:t>
            </w:r>
            <w:r>
              <w:rPr>
                <w:rFonts w:hint="eastAsia"/>
                <w:color w:val="auto"/>
                <w:kern w:val="0"/>
                <w:lang w:eastAsia="zh-CN" w:bidi="ar"/>
              </w:rPr>
              <w:t>“</w:t>
            </w:r>
            <w:r>
              <w:rPr>
                <w:rFonts w:hint="eastAsia"/>
                <w:color w:val="auto"/>
                <w:kern w:val="0"/>
                <w:lang w:val="en-US" w:eastAsia="zh-CN" w:bidi="ar"/>
              </w:rPr>
              <w:t>其他生产、销售、使用过程中产生的废矿物油及沾染矿物油的废弃包装物</w:t>
            </w:r>
            <w:r>
              <w:rPr>
                <w:rFonts w:hint="eastAsia"/>
                <w:color w:val="auto"/>
                <w:kern w:val="0"/>
                <w:lang w:eastAsia="zh-CN" w:bidi="ar"/>
              </w:rPr>
              <w:t>”</w:t>
            </w:r>
            <w:r>
              <w:rPr>
                <w:rFonts w:hint="eastAsia"/>
                <w:color w:val="auto"/>
                <w:kern w:val="0"/>
                <w:lang w:bidi="ar"/>
              </w:rPr>
              <w:t>。</w:t>
            </w:r>
          </w:p>
          <w:p w14:paraId="01DCC26D">
            <w:pPr>
              <w:keepNext w:val="0"/>
              <w:keepLines w:val="0"/>
              <w:pageBreakBefore w:val="0"/>
              <w:widowControl w:val="0"/>
              <w:numPr>
                <w:ilvl w:val="0"/>
                <w:numId w:val="4"/>
              </w:numPr>
              <w:kinsoku/>
              <w:wordWrap/>
              <w:overflowPunct/>
              <w:topLinePunct w:val="0"/>
              <w:autoSpaceDE/>
              <w:autoSpaceDN/>
              <w:bidi w:val="0"/>
              <w:adjustRightInd w:val="0"/>
              <w:snapToGrid w:val="0"/>
              <w:ind w:firstLine="480" w:firstLineChars="200"/>
              <w:textAlignment w:val="auto"/>
              <w:rPr>
                <w:rFonts w:hint="eastAsia"/>
                <w:bCs/>
                <w:szCs w:val="21"/>
                <w:lang w:val="en-US" w:eastAsia="zh-CN"/>
              </w:rPr>
            </w:pPr>
            <w:r>
              <w:rPr>
                <w:rFonts w:hint="eastAsia"/>
                <w:bCs/>
                <w:szCs w:val="21"/>
                <w:lang w:val="en-US" w:eastAsia="zh-CN"/>
              </w:rPr>
              <w:t>焦油渣</w:t>
            </w:r>
          </w:p>
          <w:p w14:paraId="3AF8FEB0">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bCs/>
                <w:szCs w:val="21"/>
                <w:lang w:val="en-US" w:eastAsia="zh-CN"/>
              </w:rPr>
            </w:pPr>
            <w:r>
              <w:rPr>
                <w:rFonts w:hint="eastAsia"/>
                <w:bCs/>
                <w:szCs w:val="21"/>
                <w:lang w:val="en-US" w:eastAsia="zh-CN"/>
              </w:rPr>
              <w:t>电捕焦油器主要利用放电极和沉淀极收集焦油粉尘。设备运行时，将高压DC放置在两极之间，在空间中产生阴阳离子，使带电颗粒作用于带电颗粒，使焦油颗粒吸附在静电场焦油颗粒表面，使焦油颗粒带电。在电场的作用下，带电焦油颗粒向极性反电极移动，较后沉积在电极表面，实现集尘。电极板安装在电路板上，当电极表面的灰尘和焦油沉积达到一定数量时，电动刮板移动，清除电极板。在高温和刮板的作用下，焦油渣（沉积物和焦油）落入灰斗。根据《危险废物环境管理指南 炼焦》，焦油渣产污系数为2.0kg/t焦油，焦油渣产生量为0.001</w:t>
            </w:r>
            <w:r>
              <w:rPr>
                <w:rFonts w:hint="eastAsia"/>
                <w:color w:val="auto"/>
                <w:kern w:val="0"/>
                <w:lang w:val="en-US" w:eastAsia="zh-CN" w:bidi="ar"/>
              </w:rPr>
              <w:t>t/a，</w:t>
            </w:r>
            <w:r>
              <w:rPr>
                <w:rFonts w:hint="eastAsia"/>
                <w:color w:val="auto"/>
                <w:kern w:val="0"/>
                <w:lang w:bidi="ar"/>
              </w:rPr>
              <w:t>根据《国家危险废物名录》</w:t>
            </w:r>
            <w:r>
              <w:rPr>
                <w:rFonts w:hint="eastAsia"/>
                <w:color w:val="auto"/>
                <w:kern w:val="0"/>
                <w:lang w:eastAsia="zh-CN" w:bidi="ar"/>
              </w:rPr>
              <w:t>（</w:t>
            </w:r>
            <w:r>
              <w:rPr>
                <w:rFonts w:hint="eastAsia"/>
                <w:color w:val="auto"/>
                <w:kern w:val="0"/>
                <w:lang w:bidi="ar"/>
              </w:rPr>
              <w:t>202</w:t>
            </w:r>
            <w:r>
              <w:rPr>
                <w:rFonts w:hint="eastAsia"/>
                <w:color w:val="auto"/>
                <w:kern w:val="0"/>
                <w:lang w:val="en-US" w:eastAsia="zh-CN" w:bidi="ar"/>
              </w:rPr>
              <w:t>5年</w:t>
            </w:r>
            <w:r>
              <w:rPr>
                <w:rFonts w:hint="eastAsia"/>
                <w:color w:val="auto"/>
                <w:kern w:val="0"/>
                <w:lang w:bidi="ar"/>
              </w:rPr>
              <w:t>版</w:t>
            </w:r>
            <w:r>
              <w:rPr>
                <w:rFonts w:hint="eastAsia"/>
                <w:color w:val="auto"/>
                <w:kern w:val="0"/>
                <w:lang w:eastAsia="zh-CN" w:bidi="ar"/>
              </w:rPr>
              <w:t>）</w:t>
            </w:r>
            <w:r>
              <w:rPr>
                <w:rFonts w:hint="eastAsia"/>
                <w:color w:val="auto"/>
                <w:kern w:val="0"/>
                <w:lang w:bidi="ar"/>
              </w:rPr>
              <w:t>，</w:t>
            </w:r>
            <w:r>
              <w:rPr>
                <w:rFonts w:hint="eastAsia"/>
                <w:bCs/>
                <w:szCs w:val="21"/>
                <w:lang w:val="en-US" w:eastAsia="zh-CN"/>
              </w:rPr>
              <w:t>焦油渣</w:t>
            </w:r>
            <w:r>
              <w:rPr>
                <w:rFonts w:hint="eastAsia"/>
                <w:color w:val="auto"/>
                <w:kern w:val="0"/>
                <w:lang w:bidi="ar"/>
              </w:rPr>
              <w:t>属于</w:t>
            </w:r>
            <w:r>
              <w:rPr>
                <w:rFonts w:hint="eastAsia"/>
                <w:color w:val="auto"/>
                <w:kern w:val="0"/>
                <w:lang w:eastAsia="zh-CN" w:bidi="ar"/>
              </w:rPr>
              <w:t>“</w:t>
            </w:r>
            <w:r>
              <w:rPr>
                <w:rFonts w:hint="eastAsia"/>
                <w:color w:val="auto"/>
                <w:kern w:val="0"/>
                <w:lang w:bidi="ar"/>
              </w:rPr>
              <w:t>HW</w:t>
            </w:r>
            <w:r>
              <w:rPr>
                <w:rFonts w:hint="eastAsia"/>
                <w:color w:val="auto"/>
                <w:kern w:val="0"/>
                <w:lang w:val="en-US" w:eastAsia="zh-CN" w:bidi="ar"/>
              </w:rPr>
              <w:t>11精（蒸）馏残渣</w:t>
            </w:r>
            <w:r>
              <w:rPr>
                <w:rFonts w:hint="eastAsia"/>
                <w:color w:val="auto"/>
                <w:kern w:val="0"/>
                <w:lang w:eastAsia="zh-CN" w:bidi="ar"/>
              </w:rPr>
              <w:t>”</w:t>
            </w:r>
            <w:r>
              <w:rPr>
                <w:rFonts w:hint="eastAsia"/>
                <w:color w:val="auto"/>
                <w:kern w:val="0"/>
                <w:lang w:bidi="ar"/>
              </w:rPr>
              <w:t>，废物代码为</w:t>
            </w:r>
            <w:r>
              <w:rPr>
                <w:rFonts w:hint="eastAsia"/>
                <w:color w:val="auto"/>
                <w:kern w:val="0"/>
                <w:lang w:val="en-US" w:eastAsia="zh-CN" w:bidi="ar"/>
              </w:rPr>
              <w:t>252-002-11。</w:t>
            </w:r>
          </w:p>
          <w:p w14:paraId="792A5BE6">
            <w:pPr>
              <w:keepNext w:val="0"/>
              <w:keepLines w:val="0"/>
              <w:pageBreakBefore w:val="0"/>
              <w:widowControl w:val="0"/>
              <w:kinsoku/>
              <w:wordWrap/>
              <w:overflowPunct/>
              <w:topLinePunct w:val="0"/>
              <w:autoSpaceDE/>
              <w:autoSpaceDN/>
              <w:bidi w:val="0"/>
              <w:adjustRightInd w:val="0"/>
              <w:snapToGrid w:val="0"/>
              <w:ind w:firstLine="440"/>
              <w:textAlignment w:val="auto"/>
              <w:rPr>
                <w:rFonts w:hint="default" w:hAnsi="宋体"/>
                <w:bCs/>
                <w:color w:val="auto"/>
                <w:spacing w:val="-10"/>
                <w:lang w:val="en-US" w:eastAsia="zh-CN"/>
              </w:rPr>
            </w:pPr>
            <w:r>
              <w:rPr>
                <w:rFonts w:hint="eastAsia"/>
                <w:bCs/>
                <w:szCs w:val="21"/>
                <w:lang w:eastAsia="zh-CN"/>
              </w:rPr>
              <w:t>（</w:t>
            </w:r>
            <w:r>
              <w:rPr>
                <w:rFonts w:hint="eastAsia"/>
                <w:bCs/>
                <w:szCs w:val="21"/>
                <w:lang w:val="en-US" w:eastAsia="zh-CN"/>
              </w:rPr>
              <w:t>3</w:t>
            </w:r>
            <w:r>
              <w:rPr>
                <w:rFonts w:hint="eastAsia"/>
                <w:bCs/>
                <w:szCs w:val="21"/>
                <w:lang w:eastAsia="zh-CN"/>
              </w:rPr>
              <w:t>）</w:t>
            </w:r>
            <w:r>
              <w:rPr>
                <w:rFonts w:hint="eastAsia" w:hAnsi="宋体"/>
                <w:bCs/>
                <w:color w:val="auto"/>
                <w:spacing w:val="-10"/>
                <w:lang w:val="en-US" w:eastAsia="zh-CN"/>
              </w:rPr>
              <w:t>废活性炭</w:t>
            </w:r>
          </w:p>
          <w:p w14:paraId="7A6DC6AA">
            <w:pPr>
              <w:adjustRightInd w:val="0"/>
              <w:snapToGrid w:val="0"/>
              <w:ind w:firstLine="480"/>
              <w:rPr>
                <w:rFonts w:hint="eastAsia"/>
                <w:bCs/>
                <w:szCs w:val="21"/>
                <w:lang w:eastAsia="zh-CN"/>
              </w:rPr>
            </w:pPr>
            <w:r>
              <w:rPr>
                <w:rFonts w:hint="eastAsia"/>
                <w:bCs/>
                <w:szCs w:val="21"/>
              </w:rPr>
              <w:t>项目有机废气采用活性炭进行吸附处理，参考陆良杰、王京刚在《化工环保》2007年05期发表的《挥发性有机物的物化性质与活性炭饱和吸附量的相关性研究》，</w:t>
            </w:r>
            <w:r>
              <w:rPr>
                <w:rFonts w:hint="eastAsia"/>
                <w:bCs/>
                <w:szCs w:val="21"/>
                <w:highlight w:val="none"/>
              </w:rPr>
              <w:t>活性炭对有机废气的饱和吸附量为280mg/g，项目吸附有机废气量</w:t>
            </w:r>
            <w:r>
              <w:rPr>
                <w:rFonts w:hint="eastAsia"/>
                <w:bCs/>
                <w:color w:val="auto"/>
                <w:szCs w:val="21"/>
                <w:highlight w:val="none"/>
                <w:lang w:val="en-US" w:eastAsia="zh-CN"/>
              </w:rPr>
              <w:t>约</w:t>
            </w:r>
            <w:r>
              <w:rPr>
                <w:rFonts w:hint="eastAsia"/>
                <w:bCs/>
                <w:color w:val="auto"/>
                <w:szCs w:val="21"/>
                <w:highlight w:val="none"/>
              </w:rPr>
              <w:t>为</w:t>
            </w:r>
            <w:r>
              <w:rPr>
                <w:rFonts w:hint="eastAsia"/>
                <w:bCs/>
                <w:color w:val="auto"/>
                <w:szCs w:val="21"/>
                <w:highlight w:val="none"/>
                <w:lang w:val="en-US" w:eastAsia="zh-CN"/>
              </w:rPr>
              <w:t>2.0914t</w:t>
            </w:r>
            <w:r>
              <w:rPr>
                <w:rFonts w:hint="eastAsia"/>
                <w:bCs/>
                <w:color w:val="auto"/>
                <w:szCs w:val="21"/>
                <w:highlight w:val="none"/>
              </w:rPr>
              <w:t>/a，则活性炭用量</w:t>
            </w:r>
            <w:r>
              <w:rPr>
                <w:rFonts w:hint="eastAsia"/>
                <w:bCs/>
                <w:color w:val="auto"/>
                <w:szCs w:val="21"/>
                <w:highlight w:val="none"/>
                <w:lang w:val="en-US" w:eastAsia="zh-CN"/>
              </w:rPr>
              <w:t>约</w:t>
            </w:r>
            <w:r>
              <w:rPr>
                <w:rFonts w:hint="eastAsia"/>
                <w:bCs/>
                <w:color w:val="auto"/>
                <w:szCs w:val="21"/>
                <w:highlight w:val="none"/>
              </w:rPr>
              <w:t>为</w:t>
            </w:r>
            <w:r>
              <w:rPr>
                <w:rFonts w:hint="eastAsia"/>
                <w:bCs/>
                <w:color w:val="auto"/>
                <w:szCs w:val="21"/>
                <w:highlight w:val="none"/>
                <w:lang w:val="en-US" w:eastAsia="zh-CN"/>
              </w:rPr>
              <w:t>7.469</w:t>
            </w:r>
            <w:r>
              <w:rPr>
                <w:rFonts w:hint="eastAsia"/>
                <w:bCs/>
                <w:color w:val="auto"/>
                <w:szCs w:val="21"/>
                <w:highlight w:val="none"/>
              </w:rPr>
              <w:t>t/a，废弃活性炭产生量等于活性炭使用量+吸附有机物的量（即有组织有机废气去除量），则项目废活性炭总量约为</w:t>
            </w:r>
            <w:r>
              <w:rPr>
                <w:rFonts w:hint="eastAsia"/>
                <w:bCs/>
                <w:color w:val="auto"/>
                <w:szCs w:val="21"/>
                <w:highlight w:val="none"/>
                <w:lang w:val="en-US" w:eastAsia="zh-CN"/>
              </w:rPr>
              <w:t>9.560</w:t>
            </w:r>
            <w:r>
              <w:rPr>
                <w:rFonts w:hint="eastAsia"/>
                <w:bCs/>
                <w:color w:val="auto"/>
                <w:szCs w:val="21"/>
                <w:highlight w:val="none"/>
              </w:rPr>
              <w:t>t/a</w:t>
            </w:r>
            <w:r>
              <w:rPr>
                <w:rFonts w:hint="eastAsia"/>
                <w:bCs/>
                <w:color w:val="auto"/>
                <w:szCs w:val="21"/>
                <w:highlight w:val="none"/>
                <w:lang w:eastAsia="zh-CN"/>
              </w:rPr>
              <w:t>，</w:t>
            </w:r>
            <w:r>
              <w:rPr>
                <w:rFonts w:hint="eastAsia"/>
                <w:bCs/>
                <w:color w:val="auto"/>
                <w:szCs w:val="21"/>
                <w:highlight w:val="none"/>
                <w:lang w:val="en-US" w:eastAsia="zh-CN"/>
              </w:rPr>
              <w:t>产生的废活性炭由更换厂家带走回收处置，不在厂区暂存。</w:t>
            </w:r>
            <w:r>
              <w:rPr>
                <w:rFonts w:hint="eastAsia"/>
                <w:bCs/>
                <w:szCs w:val="21"/>
                <w:lang w:val="en-US" w:eastAsia="zh-CN"/>
              </w:rPr>
              <w:t>由更换厂家带走回收处置</w:t>
            </w:r>
            <w:r>
              <w:rPr>
                <w:rFonts w:hint="eastAsia"/>
                <w:bCs/>
                <w:szCs w:val="21"/>
              </w:rPr>
              <w:t>。根据《国家危险废物名录》（2025年版），废活性炭属于危险废物，废物类别为HW49，废物代码为900-039-49</w:t>
            </w:r>
            <w:r>
              <w:rPr>
                <w:rFonts w:hint="eastAsia"/>
                <w:bCs/>
                <w:szCs w:val="21"/>
                <w:lang w:eastAsia="zh-CN"/>
              </w:rPr>
              <w:t>。</w:t>
            </w:r>
          </w:p>
          <w:p w14:paraId="7B1955AE">
            <w:pPr>
              <w:adjustRightInd w:val="0"/>
              <w:snapToGrid w:val="0"/>
              <w:ind w:firstLine="480"/>
              <w:rPr>
                <w:rFonts w:hint="default"/>
                <w:bCs/>
                <w:szCs w:val="21"/>
                <w:lang w:val="en-US" w:eastAsia="zh-CN"/>
              </w:rPr>
            </w:pPr>
            <w:r>
              <w:rPr>
                <w:rFonts w:hint="eastAsia"/>
                <w:bCs/>
                <w:szCs w:val="21"/>
                <w:lang w:eastAsia="zh-CN"/>
              </w:rPr>
              <w:t>（</w:t>
            </w:r>
            <w:r>
              <w:rPr>
                <w:rFonts w:hint="eastAsia"/>
                <w:bCs/>
                <w:szCs w:val="21"/>
                <w:lang w:val="en-US" w:eastAsia="zh-CN"/>
              </w:rPr>
              <w:t>4</w:t>
            </w:r>
            <w:r>
              <w:rPr>
                <w:rFonts w:hint="eastAsia"/>
                <w:bCs/>
                <w:szCs w:val="21"/>
                <w:lang w:eastAsia="zh-CN"/>
              </w:rPr>
              <w:t>）</w:t>
            </w:r>
            <w:r>
              <w:rPr>
                <w:rFonts w:hint="eastAsia"/>
                <w:bCs/>
                <w:szCs w:val="21"/>
                <w:lang w:val="en-US" w:eastAsia="zh-CN"/>
              </w:rPr>
              <w:t>废机油</w:t>
            </w:r>
          </w:p>
          <w:p w14:paraId="38BFC5E8">
            <w:pPr>
              <w:keepNext w:val="0"/>
              <w:keepLines w:val="0"/>
              <w:pageBreakBefore w:val="0"/>
              <w:widowControl/>
              <w:kinsoku/>
              <w:wordWrap/>
              <w:overflowPunct/>
              <w:topLinePunct w:val="0"/>
              <w:autoSpaceDE/>
              <w:autoSpaceDN/>
              <w:bidi w:val="0"/>
              <w:ind w:firstLine="480"/>
              <w:jc w:val="left"/>
              <w:textAlignment w:val="auto"/>
              <w:rPr>
                <w:kern w:val="0"/>
                <w:lang w:bidi="ar"/>
              </w:rPr>
            </w:pPr>
            <w:r>
              <w:rPr>
                <w:rFonts w:hint="eastAsia"/>
                <w:kern w:val="0"/>
                <w:lang w:bidi="ar"/>
              </w:rPr>
              <w:t>项目在生产过程中设备维修养护会产生少量废</w:t>
            </w:r>
            <w:r>
              <w:rPr>
                <w:rFonts w:hint="eastAsia"/>
                <w:kern w:val="0"/>
                <w:lang w:val="en-US" w:eastAsia="zh-CN" w:bidi="ar"/>
              </w:rPr>
              <w:t>机</w:t>
            </w:r>
            <w:r>
              <w:rPr>
                <w:rFonts w:hint="eastAsia"/>
                <w:kern w:val="0"/>
                <w:lang w:bidi="ar"/>
              </w:rPr>
              <w:t>油，</w:t>
            </w:r>
            <w:r>
              <w:rPr>
                <w:rFonts w:hint="eastAsia"/>
                <w:szCs w:val="24"/>
              </w:rPr>
              <w:t>类比同类</w:t>
            </w:r>
            <w:r>
              <w:rPr>
                <w:rFonts w:hint="eastAsia"/>
                <w:szCs w:val="24"/>
                <w:lang w:val="en-US" w:eastAsia="zh-CN"/>
              </w:rPr>
              <w:t>沥青混凝土生产项目</w:t>
            </w:r>
            <w:r>
              <w:rPr>
                <w:rFonts w:hint="eastAsia"/>
                <w:szCs w:val="24"/>
              </w:rPr>
              <w:t>，废机油产生量约为</w:t>
            </w:r>
            <w:r>
              <w:rPr>
                <w:rFonts w:hint="eastAsia"/>
                <w:szCs w:val="24"/>
                <w:lang w:val="en-US" w:eastAsia="zh-CN"/>
              </w:rPr>
              <w:t>0.01t</w:t>
            </w:r>
            <w:r>
              <w:rPr>
                <w:rFonts w:hint="eastAsia"/>
                <w:szCs w:val="24"/>
              </w:rPr>
              <w:t>/a</w:t>
            </w:r>
            <w:r>
              <w:rPr>
                <w:rFonts w:hint="eastAsia"/>
                <w:szCs w:val="24"/>
                <w:lang w:eastAsia="zh-CN"/>
              </w:rPr>
              <w:t>，</w:t>
            </w:r>
            <w:r>
              <w:rPr>
                <w:rFonts w:hint="eastAsia"/>
                <w:szCs w:val="24"/>
                <w:lang w:val="en-US" w:eastAsia="zh-CN"/>
              </w:rPr>
              <w:t>产生的废机油使用空机油桶收集，</w:t>
            </w:r>
            <w:r>
              <w:rPr>
                <w:rFonts w:hint="eastAsia"/>
                <w:bCs/>
                <w:szCs w:val="21"/>
                <w:lang w:val="en-US" w:eastAsia="zh-CN"/>
              </w:rPr>
              <w:t>依托采石场西南侧办公区1间5m</w:t>
            </w:r>
            <w:r>
              <w:rPr>
                <w:rFonts w:hint="eastAsia"/>
                <w:bCs/>
                <w:szCs w:val="21"/>
                <w:vertAlign w:val="superscript"/>
                <w:lang w:val="en-US" w:eastAsia="zh-CN"/>
              </w:rPr>
              <w:t>2</w:t>
            </w:r>
            <w:r>
              <w:rPr>
                <w:rFonts w:hint="eastAsia"/>
                <w:bCs/>
                <w:szCs w:val="21"/>
              </w:rPr>
              <w:t>危废</w:t>
            </w:r>
            <w:r>
              <w:rPr>
                <w:rFonts w:hint="eastAsia"/>
                <w:bCs/>
                <w:szCs w:val="21"/>
                <w:lang w:val="en-US" w:eastAsia="zh-CN"/>
              </w:rPr>
              <w:t>暂存间</w:t>
            </w:r>
            <w:r>
              <w:rPr>
                <w:rFonts w:hint="eastAsia"/>
                <w:bCs/>
                <w:szCs w:val="21"/>
              </w:rPr>
              <w:t>暂存，定期委托有资质的单位进行清运处置</w:t>
            </w:r>
            <w:r>
              <w:rPr>
                <w:rFonts w:hint="eastAsia"/>
                <w:color w:val="auto"/>
                <w:szCs w:val="24"/>
              </w:rPr>
              <w:t>。</w:t>
            </w:r>
            <w:r>
              <w:rPr>
                <w:rFonts w:hint="eastAsia"/>
                <w:color w:val="auto"/>
                <w:kern w:val="0"/>
                <w:lang w:bidi="ar"/>
              </w:rPr>
              <w:t>根据《国家危险废物名录》</w:t>
            </w:r>
            <w:r>
              <w:rPr>
                <w:rFonts w:hint="eastAsia"/>
                <w:color w:val="auto"/>
                <w:kern w:val="0"/>
                <w:lang w:eastAsia="zh-CN" w:bidi="ar"/>
              </w:rPr>
              <w:t>（</w:t>
            </w:r>
            <w:r>
              <w:rPr>
                <w:rFonts w:hint="eastAsia"/>
                <w:color w:val="auto"/>
                <w:kern w:val="0"/>
                <w:lang w:bidi="ar"/>
              </w:rPr>
              <w:t>202</w:t>
            </w:r>
            <w:r>
              <w:rPr>
                <w:rFonts w:hint="eastAsia"/>
                <w:color w:val="auto"/>
                <w:kern w:val="0"/>
                <w:lang w:val="en-US" w:eastAsia="zh-CN" w:bidi="ar"/>
              </w:rPr>
              <w:t>5年</w:t>
            </w:r>
            <w:r>
              <w:rPr>
                <w:rFonts w:hint="eastAsia"/>
                <w:color w:val="auto"/>
                <w:kern w:val="0"/>
                <w:lang w:bidi="ar"/>
              </w:rPr>
              <w:t>版</w:t>
            </w:r>
            <w:r>
              <w:rPr>
                <w:rFonts w:hint="eastAsia"/>
                <w:color w:val="auto"/>
                <w:kern w:val="0"/>
                <w:lang w:eastAsia="zh-CN" w:bidi="ar"/>
              </w:rPr>
              <w:t>）</w:t>
            </w:r>
            <w:r>
              <w:rPr>
                <w:rFonts w:hint="eastAsia"/>
                <w:color w:val="auto"/>
                <w:kern w:val="0"/>
                <w:lang w:bidi="ar"/>
              </w:rPr>
              <w:t>，</w:t>
            </w:r>
            <w:r>
              <w:rPr>
                <w:rFonts w:hint="eastAsia"/>
                <w:color w:val="auto"/>
                <w:kern w:val="0"/>
                <w:lang w:val="en-US" w:eastAsia="zh-CN" w:bidi="ar"/>
              </w:rPr>
              <w:t>属于</w:t>
            </w:r>
            <w:r>
              <w:rPr>
                <w:rFonts w:hint="eastAsia"/>
                <w:color w:val="auto"/>
                <w:kern w:val="0"/>
                <w:lang w:eastAsia="zh-CN" w:bidi="ar"/>
              </w:rPr>
              <w:t>“</w:t>
            </w:r>
            <w:r>
              <w:rPr>
                <w:rFonts w:hint="eastAsia"/>
                <w:color w:val="auto"/>
                <w:kern w:val="0"/>
                <w:lang w:bidi="ar"/>
              </w:rPr>
              <w:t>HW08废矿物油与含矿物油废物</w:t>
            </w:r>
            <w:r>
              <w:rPr>
                <w:rFonts w:hint="eastAsia"/>
                <w:color w:val="auto"/>
                <w:kern w:val="0"/>
                <w:lang w:eastAsia="zh-CN" w:bidi="ar"/>
              </w:rPr>
              <w:t>”</w:t>
            </w:r>
            <w:r>
              <w:rPr>
                <w:rFonts w:hint="eastAsia"/>
                <w:color w:val="auto"/>
                <w:kern w:val="0"/>
                <w:lang w:bidi="ar"/>
              </w:rPr>
              <w:t>，废物代码900-249-08</w:t>
            </w:r>
            <w:r>
              <w:rPr>
                <w:rFonts w:hint="eastAsia"/>
                <w:color w:val="auto"/>
                <w:kern w:val="0"/>
                <w:lang w:eastAsia="zh-CN" w:bidi="ar"/>
              </w:rPr>
              <w:t>“</w:t>
            </w:r>
            <w:r>
              <w:rPr>
                <w:rFonts w:hint="eastAsia"/>
                <w:color w:val="auto"/>
                <w:kern w:val="0"/>
                <w:lang w:val="en-US" w:eastAsia="zh-CN" w:bidi="ar"/>
              </w:rPr>
              <w:t>其他生产、销售、使用过程中产生的废矿物油及沾染矿物油的废弃包装物</w:t>
            </w:r>
            <w:r>
              <w:rPr>
                <w:rFonts w:hint="eastAsia"/>
                <w:color w:val="auto"/>
                <w:kern w:val="0"/>
                <w:lang w:eastAsia="zh-CN" w:bidi="ar"/>
              </w:rPr>
              <w:t>”</w:t>
            </w:r>
            <w:r>
              <w:rPr>
                <w:rFonts w:hint="eastAsia"/>
                <w:color w:val="auto"/>
                <w:kern w:val="0"/>
                <w:lang w:bidi="ar"/>
              </w:rPr>
              <w:t>。</w:t>
            </w:r>
          </w:p>
          <w:p w14:paraId="07418A40">
            <w:pPr>
              <w:keepNext w:val="0"/>
              <w:keepLines w:val="0"/>
              <w:pageBreakBefore w:val="0"/>
              <w:kinsoku/>
              <w:wordWrap/>
              <w:overflowPunct/>
              <w:topLinePunct w:val="0"/>
              <w:autoSpaceDE/>
              <w:autoSpaceDN/>
              <w:bidi w:val="0"/>
              <w:adjustRightInd w:val="0"/>
              <w:snapToGrid w:val="0"/>
              <w:ind w:firstLine="480"/>
              <w:jc w:val="left"/>
              <w:textAlignment w:val="auto"/>
              <w:rPr>
                <w:rFonts w:hint="eastAsia"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w:t>
            </w:r>
            <w:r>
              <w:rPr>
                <w:rFonts w:hint="eastAsia" w:cs="Times New Roman"/>
                <w:bCs/>
                <w:szCs w:val="21"/>
                <w:lang w:val="en-US" w:eastAsia="zh-CN"/>
              </w:rPr>
              <w:t>5</w:t>
            </w:r>
            <w:r>
              <w:rPr>
                <w:rFonts w:hint="eastAsia" w:ascii="Times New Roman" w:hAnsi="Times New Roman" w:eastAsia="宋体" w:cs="Times New Roman"/>
                <w:bCs/>
                <w:szCs w:val="21"/>
                <w:lang w:val="en-US" w:eastAsia="zh-CN"/>
              </w:rPr>
              <w:t>）含机油废抹布和废手套</w:t>
            </w:r>
          </w:p>
          <w:p w14:paraId="6416A3E5">
            <w:pPr>
              <w:adjustRightInd w:val="0"/>
              <w:snapToGrid w:val="0"/>
              <w:ind w:firstLine="480"/>
              <w:rPr>
                <w:bCs/>
                <w:szCs w:val="21"/>
              </w:rPr>
            </w:pPr>
            <w:r>
              <w:rPr>
                <w:rFonts w:hint="eastAsia"/>
                <w:bCs/>
                <w:szCs w:val="21"/>
              </w:rPr>
              <w:t>项目机加工设备会采用机油进行润滑，机油属亏损消耗，会少量挥发，在机修过程粘在废棉纱手套上。机修过程产生的含油废劳保用品产生量约为0.01t/a</w:t>
            </w:r>
            <w:r>
              <w:rPr>
                <w:rFonts w:hint="eastAsia"/>
                <w:bCs/>
                <w:szCs w:val="21"/>
                <w:lang w:eastAsia="zh-CN"/>
              </w:rPr>
              <w:t>，</w:t>
            </w:r>
            <w:r>
              <w:rPr>
                <w:rFonts w:hint="eastAsia"/>
                <w:bCs/>
                <w:szCs w:val="21"/>
                <w:lang w:val="en-US" w:eastAsia="zh-CN"/>
              </w:rPr>
              <w:t>统一</w:t>
            </w:r>
            <w:r>
              <w:rPr>
                <w:rFonts w:hint="eastAsia"/>
                <w:bCs/>
                <w:szCs w:val="21"/>
              </w:rPr>
              <w:t>收集后</w:t>
            </w:r>
            <w:r>
              <w:rPr>
                <w:rFonts w:hint="eastAsia"/>
                <w:bCs/>
                <w:szCs w:val="21"/>
                <w:lang w:val="en-US" w:eastAsia="zh-CN"/>
              </w:rPr>
              <w:t>依托采石场西南侧办公区1间5m</w:t>
            </w:r>
            <w:r>
              <w:rPr>
                <w:rFonts w:hint="eastAsia"/>
                <w:bCs/>
                <w:szCs w:val="21"/>
                <w:vertAlign w:val="superscript"/>
                <w:lang w:val="en-US" w:eastAsia="zh-CN"/>
              </w:rPr>
              <w:t>2</w:t>
            </w:r>
            <w:r>
              <w:rPr>
                <w:rFonts w:hint="eastAsia"/>
                <w:bCs/>
                <w:szCs w:val="21"/>
              </w:rPr>
              <w:t>危废</w:t>
            </w:r>
            <w:r>
              <w:rPr>
                <w:rFonts w:hint="eastAsia"/>
                <w:bCs/>
                <w:szCs w:val="21"/>
                <w:lang w:val="en-US" w:eastAsia="zh-CN"/>
              </w:rPr>
              <w:t>暂存间</w:t>
            </w:r>
            <w:r>
              <w:rPr>
                <w:rFonts w:hint="eastAsia"/>
                <w:bCs/>
                <w:szCs w:val="21"/>
              </w:rPr>
              <w:t>暂存，定期委托有资质的单位进行清运处置。根据《国家危险废物名录》（2025年版），属于HW08其他生产、销售、使用过程中产生的废矿物油及沾染矿物油的废弃包装物，废物代码为900-249-08；</w:t>
            </w:r>
          </w:p>
          <w:p w14:paraId="2585C8AD">
            <w:pPr>
              <w:ind w:firstLine="482"/>
              <w:rPr>
                <w:bCs/>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三</w:t>
            </w:r>
            <w:r>
              <w:rPr>
                <w:b/>
                <w:color w:val="000000" w:themeColor="text1"/>
                <w14:textFill>
                  <w14:solidFill>
                    <w14:schemeClr w14:val="tx1"/>
                  </w14:solidFill>
                </w14:textFill>
              </w:rPr>
              <w:t>）固废防治措施</w:t>
            </w:r>
          </w:p>
          <w:p w14:paraId="736C7C07">
            <w:pPr>
              <w:keepNext w:val="0"/>
              <w:keepLines w:val="0"/>
              <w:pageBreakBefore w:val="0"/>
              <w:kinsoku/>
              <w:overflowPunct/>
              <w:topLinePunct w:val="0"/>
              <w:autoSpaceDE/>
              <w:autoSpaceDN/>
              <w:bidi w:val="0"/>
              <w:adjustRightInd/>
              <w:snapToGrid/>
              <w:spacing w:line="360" w:lineRule="auto"/>
              <w:ind w:right="0" w:firstLine="480" w:firstLineChars="200"/>
              <w:jc w:val="left"/>
              <w:textAlignment w:val="auto"/>
              <w:rPr>
                <w:rFonts w:hint="eastAsia" w:hAnsi="宋体"/>
                <w:bCs/>
                <w:color w:val="auto"/>
                <w:spacing w:val="-10"/>
                <w:lang w:eastAsia="zh-CN"/>
              </w:rPr>
            </w:pPr>
            <w:r>
              <w:rPr>
                <w:rFonts w:hint="eastAsia" w:cs="Times New Roman"/>
                <w:i w:val="0"/>
                <w:kern w:val="0"/>
                <w:sz w:val="24"/>
                <w:szCs w:val="22"/>
                <w:lang w:val="en-US" w:eastAsia="zh-CN" w:bidi="ar"/>
              </w:rPr>
              <w:t>（1）生活</w:t>
            </w:r>
            <w:r>
              <w:rPr>
                <w:rFonts w:hint="eastAsia" w:cs="Times New Roman"/>
                <w:i w:val="0"/>
                <w:color w:val="auto"/>
                <w:kern w:val="0"/>
                <w:sz w:val="24"/>
                <w:szCs w:val="22"/>
                <w:lang w:val="en-US" w:eastAsia="zh-CN" w:bidi="ar"/>
              </w:rPr>
              <w:t>垃圾</w:t>
            </w:r>
            <w:r>
              <w:rPr>
                <w:rFonts w:hint="eastAsia" w:hAnsi="宋体"/>
                <w:bCs/>
                <w:color w:val="auto"/>
                <w:spacing w:val="-10"/>
                <w:lang w:val="en-US" w:eastAsia="zh-CN"/>
              </w:rPr>
              <w:t>由垃圾桶</w:t>
            </w:r>
            <w:r>
              <w:rPr>
                <w:rFonts w:hint="eastAsia" w:hAnsi="宋体"/>
                <w:bCs/>
                <w:color w:val="auto"/>
                <w:spacing w:val="-10"/>
              </w:rPr>
              <w:t>统一收集后由环卫部门清运处置</w:t>
            </w:r>
            <w:r>
              <w:rPr>
                <w:rFonts w:hint="eastAsia" w:hAnsi="宋体"/>
                <w:bCs/>
                <w:color w:val="auto"/>
                <w:spacing w:val="-10"/>
                <w:lang w:eastAsia="zh-CN"/>
              </w:rPr>
              <w:t>；</w:t>
            </w:r>
          </w:p>
          <w:p w14:paraId="1566FE0E">
            <w:pPr>
              <w:keepNext w:val="0"/>
              <w:keepLines w:val="0"/>
              <w:pageBreakBefore w:val="0"/>
              <w:kinsoku/>
              <w:overflowPunct/>
              <w:topLinePunct w:val="0"/>
              <w:autoSpaceDE/>
              <w:autoSpaceDN/>
              <w:bidi w:val="0"/>
              <w:adjustRightInd/>
              <w:snapToGrid/>
              <w:spacing w:line="360" w:lineRule="auto"/>
              <w:ind w:right="0" w:firstLine="440" w:firstLineChars="200"/>
              <w:jc w:val="left"/>
              <w:textAlignment w:val="auto"/>
              <w:rPr>
                <w:rFonts w:hint="eastAsia" w:hAnsi="宋体"/>
                <w:bCs/>
                <w:color w:val="auto"/>
                <w:spacing w:val="-10"/>
                <w:lang w:eastAsia="zh-CN"/>
              </w:rPr>
            </w:pPr>
            <w:r>
              <w:rPr>
                <w:rFonts w:hint="eastAsia" w:hAnsi="宋体"/>
                <w:bCs/>
                <w:color w:val="auto"/>
                <w:spacing w:val="-10"/>
                <w:lang w:eastAsia="zh-CN"/>
              </w:rPr>
              <w:t>（</w:t>
            </w:r>
            <w:r>
              <w:rPr>
                <w:rFonts w:hint="eastAsia" w:hAnsi="宋体"/>
                <w:bCs/>
                <w:color w:val="auto"/>
                <w:spacing w:val="-10"/>
                <w:lang w:val="en-US" w:eastAsia="zh-CN"/>
              </w:rPr>
              <w:t>2</w:t>
            </w:r>
            <w:r>
              <w:rPr>
                <w:rFonts w:hint="eastAsia" w:hAnsi="宋体"/>
                <w:bCs/>
                <w:color w:val="auto"/>
                <w:spacing w:val="-10"/>
                <w:lang w:eastAsia="zh-CN"/>
              </w:rPr>
              <w:t>）</w:t>
            </w:r>
            <w:r>
              <w:rPr>
                <w:rFonts w:hint="eastAsia" w:hAnsi="宋体"/>
                <w:bCs/>
                <w:color w:val="auto"/>
                <w:spacing w:val="-10"/>
                <w:lang w:val="en-US" w:eastAsia="zh-CN"/>
              </w:rPr>
              <w:t>旋风除尘器和布袋除尘器</w:t>
            </w:r>
            <w:r>
              <w:rPr>
                <w:rFonts w:hint="eastAsia" w:ascii="Times New Roman" w:hAnsi="Times New Roman" w:eastAsia="宋体" w:cs="Times New Roman"/>
                <w:i w:val="0"/>
                <w:kern w:val="0"/>
                <w:sz w:val="24"/>
                <w:szCs w:val="22"/>
                <w:lang w:val="en-US" w:eastAsia="zh-CN" w:bidi="ar"/>
              </w:rPr>
              <w:t>收集的粉尘</w:t>
            </w:r>
            <w:r>
              <w:rPr>
                <w:rFonts w:hint="eastAsia"/>
                <w:b w:val="0"/>
                <w:bCs/>
                <w:color w:val="auto"/>
                <w:kern w:val="44"/>
                <w:szCs w:val="30"/>
                <w:lang w:val="en-US" w:eastAsia="zh-CN"/>
              </w:rPr>
              <w:t>定期</w:t>
            </w:r>
            <w:r>
              <w:rPr>
                <w:rFonts w:hint="eastAsia"/>
                <w:b w:val="0"/>
                <w:bCs/>
                <w:color w:val="auto"/>
                <w:kern w:val="44"/>
                <w:szCs w:val="30"/>
              </w:rPr>
              <w:t>收集后作为矿粉（原料）填料回用</w:t>
            </w:r>
            <w:r>
              <w:rPr>
                <w:rFonts w:hint="eastAsia"/>
                <w:b w:val="0"/>
                <w:bCs/>
                <w:color w:val="auto"/>
                <w:kern w:val="44"/>
                <w:szCs w:val="30"/>
                <w:lang w:val="en-US" w:eastAsia="zh-CN"/>
              </w:rPr>
              <w:t>与生产</w:t>
            </w:r>
            <w:r>
              <w:rPr>
                <w:rFonts w:hint="eastAsia" w:hAnsi="宋体"/>
                <w:bCs/>
                <w:color w:val="auto"/>
                <w:spacing w:val="-10"/>
                <w:lang w:eastAsia="zh-CN"/>
              </w:rPr>
              <w:t>；</w:t>
            </w:r>
          </w:p>
          <w:p w14:paraId="1A819C7A">
            <w:pPr>
              <w:keepNext w:val="0"/>
              <w:keepLines w:val="0"/>
              <w:pageBreakBefore w:val="0"/>
              <w:kinsoku/>
              <w:overflowPunct/>
              <w:topLinePunct w:val="0"/>
              <w:autoSpaceDE/>
              <w:autoSpaceDN/>
              <w:bidi w:val="0"/>
              <w:adjustRightInd/>
              <w:snapToGrid/>
              <w:spacing w:line="360" w:lineRule="auto"/>
              <w:ind w:right="0" w:firstLine="440" w:firstLineChars="200"/>
              <w:jc w:val="left"/>
              <w:textAlignment w:val="auto"/>
              <w:rPr>
                <w:rFonts w:hint="eastAsia" w:ascii="Times New Roman" w:hAnsi="Times New Roman" w:eastAsia="宋体" w:cs="Times New Roman"/>
                <w:b w:val="0"/>
                <w:i w:val="0"/>
                <w:kern w:val="0"/>
                <w:sz w:val="24"/>
                <w:szCs w:val="22"/>
                <w:lang w:val="en-US" w:eastAsia="zh-CN" w:bidi="ar"/>
              </w:rPr>
            </w:pPr>
            <w:r>
              <w:rPr>
                <w:rFonts w:hint="eastAsia" w:hAnsi="宋体"/>
                <w:bCs/>
                <w:color w:val="auto"/>
                <w:spacing w:val="-10"/>
                <w:lang w:eastAsia="zh-CN"/>
              </w:rPr>
              <w:t>（</w:t>
            </w:r>
            <w:r>
              <w:rPr>
                <w:rFonts w:hint="eastAsia" w:hAnsi="宋体"/>
                <w:bCs/>
                <w:color w:val="auto"/>
                <w:spacing w:val="-10"/>
                <w:lang w:val="en-US" w:eastAsia="zh-CN"/>
              </w:rPr>
              <w:t>3</w:t>
            </w:r>
            <w:r>
              <w:rPr>
                <w:rFonts w:hint="eastAsia" w:hAnsi="宋体"/>
                <w:bCs/>
                <w:color w:val="auto"/>
                <w:spacing w:val="-10"/>
                <w:lang w:eastAsia="zh-CN"/>
              </w:rPr>
              <w:t>）</w:t>
            </w:r>
            <w:r>
              <w:rPr>
                <w:rFonts w:hint="eastAsia" w:ascii="Times New Roman" w:hAnsi="Times New Roman" w:eastAsia="宋体" w:cs="Times New Roman"/>
                <w:b w:val="0"/>
                <w:i w:val="0"/>
                <w:kern w:val="0"/>
                <w:sz w:val="24"/>
                <w:szCs w:val="22"/>
                <w:lang w:val="en-US" w:eastAsia="zh-CN" w:bidi="ar"/>
              </w:rPr>
              <w:t>布袋除尘器更换布袋产生的废布袋由厂家带走回收处置，不在厂区暂存；</w:t>
            </w:r>
          </w:p>
          <w:p w14:paraId="3E1B4E4A">
            <w:pPr>
              <w:keepNext w:val="0"/>
              <w:keepLines w:val="0"/>
              <w:pageBreakBefore w:val="0"/>
              <w:kinsoku/>
              <w:overflowPunct/>
              <w:topLinePunct w:val="0"/>
              <w:autoSpaceDE/>
              <w:autoSpaceDN/>
              <w:bidi w:val="0"/>
              <w:adjustRightInd/>
              <w:snapToGrid/>
              <w:spacing w:line="360" w:lineRule="auto"/>
              <w:ind w:right="0" w:firstLine="480" w:firstLineChars="200"/>
              <w:jc w:val="left"/>
              <w:textAlignment w:val="auto"/>
              <w:rPr>
                <w:rFonts w:hint="eastAsia" w:hAnsi="宋体"/>
                <w:bCs/>
                <w:color w:val="auto"/>
                <w:spacing w:val="-10"/>
                <w:lang w:eastAsia="zh-CN"/>
              </w:rPr>
            </w:pPr>
            <w:r>
              <w:rPr>
                <w:rFonts w:hint="eastAsia" w:ascii="Times New Roman" w:hAnsi="Times New Roman" w:eastAsia="宋体" w:cs="Times New Roman"/>
                <w:b w:val="0"/>
                <w:i w:val="0"/>
                <w:kern w:val="0"/>
                <w:sz w:val="24"/>
                <w:szCs w:val="22"/>
                <w:lang w:val="en-US" w:eastAsia="zh-CN" w:bidi="ar"/>
              </w:rPr>
              <w:t>（4）</w:t>
            </w:r>
            <w:r>
              <w:rPr>
                <w:rFonts w:hAnsi="宋体"/>
                <w:bCs/>
                <w:color w:val="auto"/>
                <w:spacing w:val="-10"/>
              </w:rPr>
              <w:t>搅拌</w:t>
            </w:r>
            <w:r>
              <w:rPr>
                <w:rFonts w:hint="eastAsia" w:hAnsi="宋体"/>
                <w:bCs/>
                <w:color w:val="auto"/>
                <w:spacing w:val="-10"/>
                <w:lang w:val="en-US" w:eastAsia="zh-CN"/>
              </w:rPr>
              <w:t>器</w:t>
            </w:r>
            <w:r>
              <w:rPr>
                <w:rFonts w:hAnsi="宋体"/>
                <w:bCs/>
                <w:color w:val="auto"/>
                <w:spacing w:val="-10"/>
              </w:rPr>
              <w:t>底部定期清理出的沥青残渣</w:t>
            </w:r>
            <w:r>
              <w:rPr>
                <w:rFonts w:hint="eastAsia" w:hAnsi="宋体"/>
                <w:bCs/>
                <w:color w:val="auto"/>
                <w:spacing w:val="-10"/>
                <w:lang w:val="en-US" w:eastAsia="zh-CN"/>
              </w:rPr>
              <w:t>收集后暂存于密闭的塑料桶内，</w:t>
            </w:r>
            <w:r>
              <w:rPr>
                <w:rFonts w:hAnsi="宋体"/>
                <w:bCs/>
                <w:color w:val="auto"/>
                <w:spacing w:val="-10"/>
              </w:rPr>
              <w:t>外售作为建筑材料</w:t>
            </w:r>
            <w:r>
              <w:rPr>
                <w:rFonts w:hint="eastAsia" w:hAnsi="宋体"/>
                <w:bCs/>
                <w:color w:val="auto"/>
                <w:spacing w:val="-10"/>
                <w:lang w:eastAsia="zh-CN"/>
              </w:rPr>
              <w:t>；</w:t>
            </w:r>
          </w:p>
          <w:p w14:paraId="753A912D">
            <w:pPr>
              <w:keepNext w:val="0"/>
              <w:keepLines w:val="0"/>
              <w:pageBreakBefore w:val="0"/>
              <w:kinsoku/>
              <w:overflowPunct/>
              <w:topLinePunct w:val="0"/>
              <w:autoSpaceDE/>
              <w:autoSpaceDN/>
              <w:bidi w:val="0"/>
              <w:adjustRightInd/>
              <w:snapToGrid/>
              <w:spacing w:line="360" w:lineRule="auto"/>
              <w:ind w:right="0" w:firstLine="440" w:firstLineChars="200"/>
              <w:jc w:val="left"/>
              <w:textAlignment w:val="auto"/>
              <w:rPr>
                <w:rFonts w:hint="eastAsia" w:hAnsi="宋体"/>
                <w:bCs/>
                <w:color w:val="auto"/>
                <w:spacing w:val="-10"/>
                <w:lang w:val="en-US" w:eastAsia="zh-CN"/>
              </w:rPr>
            </w:pPr>
            <w:r>
              <w:rPr>
                <w:rFonts w:hint="eastAsia" w:hAnsi="宋体"/>
                <w:bCs/>
                <w:color w:val="auto"/>
                <w:spacing w:val="-10"/>
                <w:lang w:eastAsia="zh-CN"/>
              </w:rPr>
              <w:t>（</w:t>
            </w:r>
            <w:r>
              <w:rPr>
                <w:rFonts w:hint="eastAsia" w:hAnsi="宋体"/>
                <w:bCs/>
                <w:color w:val="auto"/>
                <w:spacing w:val="-10"/>
                <w:lang w:val="en-US" w:eastAsia="zh-CN"/>
              </w:rPr>
              <w:t>5</w:t>
            </w:r>
            <w:r>
              <w:rPr>
                <w:rFonts w:hint="eastAsia" w:hAnsi="宋体"/>
                <w:bCs/>
                <w:color w:val="auto"/>
                <w:spacing w:val="-10"/>
                <w:lang w:eastAsia="zh-CN"/>
              </w:rPr>
              <w:t>）</w:t>
            </w:r>
            <w:r>
              <w:rPr>
                <w:rFonts w:hint="eastAsia"/>
                <w:kern w:val="0"/>
                <w:lang w:val="en-US" w:eastAsia="zh-CN" w:bidi="ar"/>
              </w:rPr>
              <w:t>产生的</w:t>
            </w:r>
            <w:r>
              <w:rPr>
                <w:rFonts w:hint="eastAsia"/>
                <w:color w:val="auto"/>
                <w:kern w:val="0"/>
                <w:lang w:bidi="ar"/>
              </w:rPr>
              <w:t>废导热油</w:t>
            </w:r>
            <w:r>
              <w:rPr>
                <w:rFonts w:hint="eastAsia"/>
                <w:color w:val="auto"/>
                <w:kern w:val="0"/>
                <w:lang w:val="en-US" w:eastAsia="zh-CN" w:bidi="ar"/>
              </w:rPr>
              <w:t>由更换厂家带走回收处置，不在厂区暂存；</w:t>
            </w:r>
          </w:p>
          <w:p w14:paraId="058776F9">
            <w:pPr>
              <w:pStyle w:val="6"/>
              <w:keepNext w:val="0"/>
              <w:keepLines w:val="0"/>
              <w:pageBreakBefore w:val="0"/>
              <w:kinsoku/>
              <w:overflowPunct/>
              <w:topLinePunct w:val="0"/>
              <w:autoSpaceDE/>
              <w:autoSpaceDN/>
              <w:bidi w:val="0"/>
              <w:adjustRightInd/>
              <w:snapToGrid/>
              <w:spacing w:before="0" w:after="0" w:line="360" w:lineRule="auto"/>
              <w:ind w:left="0" w:right="0" w:firstLine="480" w:firstLineChars="200"/>
              <w:jc w:val="left"/>
              <w:textAlignment w:val="auto"/>
              <w:rPr>
                <w:rFonts w:hint="eastAsia" w:cs="Times New Roman"/>
                <w:i w:val="0"/>
                <w:color w:val="auto"/>
                <w:kern w:val="0"/>
                <w:sz w:val="24"/>
                <w:szCs w:val="22"/>
                <w:lang w:val="en-US" w:eastAsia="zh-CN" w:bidi="ar"/>
              </w:rPr>
            </w:pPr>
            <w:r>
              <w:rPr>
                <w:rFonts w:hint="eastAsia" w:cs="Times New Roman"/>
                <w:i w:val="0"/>
                <w:color w:val="auto"/>
                <w:kern w:val="0"/>
                <w:sz w:val="24"/>
                <w:szCs w:val="22"/>
                <w:lang w:val="en-US" w:eastAsia="zh-CN" w:bidi="ar"/>
              </w:rPr>
              <w:t>（</w:t>
            </w:r>
            <w:r>
              <w:rPr>
                <w:rFonts w:hint="eastAsia" w:ascii="Times New Roman" w:hAnsi="Times New Roman" w:eastAsia="宋体" w:cs="Times New Roman"/>
                <w:i w:val="0"/>
                <w:color w:val="auto"/>
                <w:kern w:val="0"/>
                <w:sz w:val="24"/>
                <w:szCs w:val="22"/>
                <w:lang w:val="en-US" w:eastAsia="zh-CN" w:bidi="ar"/>
              </w:rPr>
              <w:t>6）产生的</w:t>
            </w:r>
            <w:r>
              <w:rPr>
                <w:rFonts w:hint="eastAsia" w:cs="Times New Roman"/>
                <w:i w:val="0"/>
                <w:color w:val="auto"/>
                <w:kern w:val="0"/>
                <w:sz w:val="24"/>
                <w:szCs w:val="22"/>
                <w:lang w:val="en-US" w:eastAsia="zh-CN" w:bidi="ar"/>
              </w:rPr>
              <w:t>焦油渣</w:t>
            </w:r>
            <w:r>
              <w:rPr>
                <w:rFonts w:hint="eastAsia" w:ascii="Times New Roman" w:hAnsi="Times New Roman" w:eastAsia="宋体" w:cs="Times New Roman"/>
                <w:i w:val="0"/>
                <w:color w:val="auto"/>
                <w:kern w:val="0"/>
                <w:sz w:val="24"/>
                <w:szCs w:val="22"/>
                <w:lang w:val="en-US" w:eastAsia="zh-CN" w:bidi="ar"/>
              </w:rPr>
              <w:t>使用专用收集容器收集，依托采石场一间5m</w:t>
            </w:r>
            <w:r>
              <w:rPr>
                <w:rFonts w:hint="eastAsia" w:cs="Times New Roman"/>
                <w:i w:val="0"/>
                <w:color w:val="auto"/>
                <w:kern w:val="0"/>
                <w:sz w:val="24"/>
                <w:szCs w:val="22"/>
                <w:vertAlign w:val="superscript"/>
                <w:lang w:val="en-US" w:eastAsia="zh-CN" w:bidi="ar"/>
              </w:rPr>
              <w:t>2</w:t>
            </w:r>
            <w:r>
              <w:rPr>
                <w:rFonts w:hint="eastAsia" w:ascii="Times New Roman" w:hAnsi="Times New Roman" w:eastAsia="宋体" w:cs="Times New Roman"/>
                <w:i w:val="0"/>
                <w:color w:val="auto"/>
                <w:kern w:val="0"/>
                <w:sz w:val="24"/>
                <w:szCs w:val="22"/>
                <w:lang w:val="en-US" w:eastAsia="zh-CN" w:bidi="ar"/>
              </w:rPr>
              <w:t>危废暂存间暂存，定期委托有资质的单位进行清运处置；</w:t>
            </w:r>
          </w:p>
          <w:p w14:paraId="4621C289">
            <w:pPr>
              <w:pStyle w:val="6"/>
              <w:keepNext w:val="0"/>
              <w:keepLines w:val="0"/>
              <w:pageBreakBefore w:val="0"/>
              <w:kinsoku/>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i w:val="0"/>
                <w:color w:val="auto"/>
                <w:kern w:val="0"/>
                <w:sz w:val="24"/>
                <w:szCs w:val="22"/>
                <w:lang w:val="en-US" w:eastAsia="zh-CN" w:bidi="ar"/>
              </w:rPr>
            </w:pPr>
            <w:r>
              <w:rPr>
                <w:rFonts w:hint="eastAsia" w:cs="Times New Roman"/>
                <w:i w:val="0"/>
                <w:color w:val="auto"/>
                <w:kern w:val="0"/>
                <w:sz w:val="24"/>
                <w:szCs w:val="22"/>
                <w:lang w:val="en-US" w:eastAsia="zh-CN" w:bidi="ar"/>
              </w:rPr>
              <w:t>（7）</w:t>
            </w:r>
            <w:r>
              <w:rPr>
                <w:rFonts w:hint="eastAsia" w:ascii="Times New Roman" w:hAnsi="Times New Roman" w:eastAsia="宋体" w:cs="Times New Roman"/>
                <w:i w:val="0"/>
                <w:color w:val="auto"/>
                <w:kern w:val="0"/>
                <w:sz w:val="24"/>
                <w:szCs w:val="22"/>
                <w:lang w:val="en-US" w:eastAsia="zh-CN" w:bidi="ar"/>
              </w:rPr>
              <w:t>废活性炭由更换厂家带走回收处置；</w:t>
            </w:r>
          </w:p>
          <w:p w14:paraId="176FA630">
            <w:pPr>
              <w:pStyle w:val="6"/>
              <w:keepNext w:val="0"/>
              <w:keepLines w:val="0"/>
              <w:pageBreakBefore w:val="0"/>
              <w:kinsoku/>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i w:val="0"/>
                <w:color w:val="auto"/>
                <w:kern w:val="0"/>
                <w:sz w:val="24"/>
                <w:szCs w:val="22"/>
                <w:lang w:val="en-US" w:eastAsia="zh-CN" w:bidi="ar"/>
              </w:rPr>
            </w:pPr>
            <w:r>
              <w:rPr>
                <w:rFonts w:hint="eastAsia" w:ascii="Times New Roman" w:hAnsi="Times New Roman" w:eastAsia="宋体" w:cs="Times New Roman"/>
                <w:i w:val="0"/>
                <w:color w:val="auto"/>
                <w:kern w:val="0"/>
                <w:sz w:val="24"/>
                <w:szCs w:val="22"/>
                <w:lang w:val="en-US" w:eastAsia="zh-CN" w:bidi="ar"/>
              </w:rPr>
              <w:t>（</w:t>
            </w:r>
            <w:r>
              <w:rPr>
                <w:rFonts w:hint="eastAsia" w:cs="Times New Roman"/>
                <w:i w:val="0"/>
                <w:color w:val="auto"/>
                <w:kern w:val="0"/>
                <w:sz w:val="24"/>
                <w:szCs w:val="22"/>
                <w:lang w:val="en-US" w:eastAsia="zh-CN" w:bidi="ar"/>
              </w:rPr>
              <w:t>8</w:t>
            </w:r>
            <w:r>
              <w:rPr>
                <w:rFonts w:hint="eastAsia" w:ascii="Times New Roman" w:hAnsi="Times New Roman" w:eastAsia="宋体" w:cs="Times New Roman"/>
                <w:i w:val="0"/>
                <w:color w:val="auto"/>
                <w:kern w:val="0"/>
                <w:sz w:val="24"/>
                <w:szCs w:val="22"/>
                <w:lang w:val="en-US" w:eastAsia="zh-CN" w:bidi="ar"/>
              </w:rPr>
              <w:t>）产生的废机油使用空机油桶收集后依托采石场一间5m</w:t>
            </w:r>
            <w:r>
              <w:rPr>
                <w:rFonts w:hint="eastAsia" w:cs="Times New Roman"/>
                <w:i w:val="0"/>
                <w:color w:val="auto"/>
                <w:kern w:val="0"/>
                <w:sz w:val="24"/>
                <w:szCs w:val="22"/>
                <w:vertAlign w:val="superscript"/>
                <w:lang w:val="en-US" w:eastAsia="zh-CN" w:bidi="ar"/>
              </w:rPr>
              <w:t>2</w:t>
            </w:r>
            <w:r>
              <w:rPr>
                <w:rFonts w:hint="eastAsia" w:ascii="Times New Roman" w:hAnsi="Times New Roman" w:eastAsia="宋体" w:cs="Times New Roman"/>
                <w:i w:val="0"/>
                <w:color w:val="auto"/>
                <w:kern w:val="0"/>
                <w:sz w:val="24"/>
                <w:szCs w:val="22"/>
                <w:lang w:val="en-US" w:eastAsia="zh-CN" w:bidi="ar"/>
              </w:rPr>
              <w:t>危废暂存间暂存，定期委托有资质的单位进行清运处置；</w:t>
            </w:r>
          </w:p>
          <w:p w14:paraId="0DDE5ECA">
            <w:pPr>
              <w:rPr>
                <w:rFonts w:hint="eastAsia"/>
                <w:bCs/>
                <w:szCs w:val="21"/>
                <w:lang w:eastAsia="zh-CN"/>
              </w:rPr>
            </w:pPr>
            <w:r>
              <w:rPr>
                <w:rFonts w:hint="eastAsia"/>
                <w:bCs/>
                <w:szCs w:val="21"/>
                <w:lang w:eastAsia="zh-CN"/>
              </w:rPr>
              <w:t>（</w:t>
            </w:r>
            <w:r>
              <w:rPr>
                <w:rFonts w:hint="eastAsia"/>
                <w:bCs/>
                <w:szCs w:val="21"/>
                <w:lang w:val="en-US" w:eastAsia="zh-CN"/>
              </w:rPr>
              <w:t>9</w:t>
            </w:r>
            <w:r>
              <w:rPr>
                <w:rFonts w:hint="eastAsia"/>
                <w:bCs/>
                <w:szCs w:val="21"/>
                <w:lang w:eastAsia="zh-CN"/>
              </w:rPr>
              <w:t>）</w:t>
            </w:r>
            <w:r>
              <w:rPr>
                <w:rFonts w:hint="eastAsia"/>
                <w:bCs/>
                <w:szCs w:val="21"/>
                <w:lang w:val="en-US" w:eastAsia="zh-CN"/>
              </w:rPr>
              <w:t>产生的</w:t>
            </w:r>
            <w:r>
              <w:rPr>
                <w:rFonts w:hint="eastAsia" w:cs="Times New Roman"/>
                <w:i w:val="0"/>
                <w:kern w:val="0"/>
                <w:sz w:val="24"/>
                <w:szCs w:val="22"/>
                <w:lang w:val="en-US" w:eastAsia="zh-CN" w:bidi="ar"/>
              </w:rPr>
              <w:t>含机油废抹布和废手套</w:t>
            </w:r>
            <w:r>
              <w:rPr>
                <w:rFonts w:hint="eastAsia"/>
                <w:bCs/>
                <w:szCs w:val="21"/>
                <w:lang w:val="en-US" w:eastAsia="zh-CN"/>
              </w:rPr>
              <w:t>依托采石场一间5m</w:t>
            </w:r>
            <w:r>
              <w:rPr>
                <w:rFonts w:hint="eastAsia"/>
                <w:bCs/>
                <w:szCs w:val="21"/>
                <w:vertAlign w:val="superscript"/>
                <w:lang w:val="en-US" w:eastAsia="zh-CN"/>
              </w:rPr>
              <w:t>2</w:t>
            </w:r>
            <w:r>
              <w:rPr>
                <w:rFonts w:hint="eastAsia"/>
                <w:bCs/>
                <w:szCs w:val="21"/>
              </w:rPr>
              <w:t>危废</w:t>
            </w:r>
            <w:r>
              <w:rPr>
                <w:rFonts w:hint="eastAsia"/>
                <w:bCs/>
                <w:szCs w:val="21"/>
                <w:lang w:val="en-US" w:eastAsia="zh-CN"/>
              </w:rPr>
              <w:t>暂存间</w:t>
            </w:r>
            <w:r>
              <w:rPr>
                <w:rFonts w:hint="eastAsia"/>
                <w:bCs/>
                <w:szCs w:val="21"/>
              </w:rPr>
              <w:t>暂存，定期委托有资质的单位进行清运处置</w:t>
            </w:r>
            <w:r>
              <w:rPr>
                <w:rFonts w:hint="eastAsia"/>
                <w:bCs/>
                <w:szCs w:val="21"/>
                <w:lang w:eastAsia="zh-CN"/>
              </w:rPr>
              <w:t>。</w:t>
            </w:r>
          </w:p>
          <w:p w14:paraId="2843A51E">
            <w:pPr>
              <w:rPr>
                <w:rFonts w:hint="default" w:eastAsia="宋体"/>
                <w:bCs/>
                <w:szCs w:val="21"/>
                <w:lang w:val="en-US" w:eastAsia="zh-CN"/>
              </w:rPr>
            </w:pPr>
            <w:r>
              <w:rPr>
                <w:b/>
                <w:color w:val="000000" w:themeColor="text1"/>
                <w14:textFill>
                  <w14:solidFill>
                    <w14:schemeClr w14:val="tx1"/>
                  </w14:solidFill>
                </w14:textFill>
              </w:rPr>
              <w:t>（</w:t>
            </w:r>
            <w:r>
              <w:rPr>
                <w:rFonts w:hint="eastAsia"/>
                <w:b/>
                <w:color w:val="000000" w:themeColor="text1"/>
                <w:lang w:val="en-US" w:eastAsia="zh-CN"/>
                <w14:textFill>
                  <w14:solidFill>
                    <w14:schemeClr w14:val="tx1"/>
                  </w14:solidFill>
                </w14:textFill>
              </w:rPr>
              <w:t>四</w:t>
            </w:r>
            <w:r>
              <w:rPr>
                <w:b/>
                <w:color w:val="000000" w:themeColor="text1"/>
                <w14:textFill>
                  <w14:solidFill>
                    <w14:schemeClr w14:val="tx1"/>
                  </w14:solidFill>
                </w14:textFill>
              </w:rPr>
              <w:t>）固废</w:t>
            </w:r>
            <w:r>
              <w:rPr>
                <w:rFonts w:hint="eastAsia"/>
                <w:b/>
                <w:color w:val="000000" w:themeColor="text1"/>
                <w:lang w:val="en-US" w:eastAsia="zh-CN"/>
                <w14:textFill>
                  <w14:solidFill>
                    <w14:schemeClr w14:val="tx1"/>
                  </w14:solidFill>
                </w14:textFill>
              </w:rPr>
              <w:t>环境影响分析</w:t>
            </w:r>
          </w:p>
          <w:p w14:paraId="23B07256">
            <w:pPr>
              <w:ind w:firstLine="480"/>
            </w:pPr>
            <w:r>
              <w:rPr>
                <w:rFonts w:hint="eastAsia"/>
                <w:lang w:val="en-US" w:eastAsia="zh-CN"/>
              </w:rPr>
              <w:t>经上文分析，项目产生的固体废物均得到</w:t>
            </w:r>
            <w:r>
              <w:t>有效处置，处置率100%，对周围环境影响不大。</w:t>
            </w:r>
          </w:p>
          <w:p w14:paraId="271B1B06">
            <w:pPr>
              <w:ind w:firstLine="480"/>
              <w:rPr>
                <w:rFonts w:hint="default" w:eastAsia="宋体"/>
                <w:lang w:val="en-US" w:eastAsia="zh-CN"/>
              </w:rPr>
            </w:pPr>
            <w:r>
              <w:rPr>
                <w:rFonts w:hint="eastAsia"/>
                <w:lang w:val="en-US" w:eastAsia="zh-CN"/>
              </w:rPr>
              <w:t>本项目产生危险废物焦油渣、废机油、</w:t>
            </w:r>
            <w:r>
              <w:rPr>
                <w:rFonts w:hint="eastAsia" w:cs="Times New Roman"/>
                <w:i w:val="0"/>
                <w:kern w:val="0"/>
                <w:sz w:val="24"/>
                <w:szCs w:val="22"/>
                <w:lang w:val="en-US" w:eastAsia="zh-CN" w:bidi="ar"/>
              </w:rPr>
              <w:t>含机油废抹布和废手套</w:t>
            </w:r>
            <w:r>
              <w:rPr>
                <w:rFonts w:hint="eastAsia"/>
                <w:bCs/>
                <w:szCs w:val="21"/>
                <w:lang w:val="en-US" w:eastAsia="zh-CN"/>
              </w:rPr>
              <w:t>依托采石场一间5m</w:t>
            </w:r>
            <w:r>
              <w:rPr>
                <w:rFonts w:hint="eastAsia"/>
                <w:bCs/>
                <w:szCs w:val="21"/>
                <w:vertAlign w:val="superscript"/>
                <w:lang w:val="en-US" w:eastAsia="zh-CN"/>
              </w:rPr>
              <w:t>2</w:t>
            </w:r>
            <w:r>
              <w:rPr>
                <w:rFonts w:hint="eastAsia"/>
                <w:bCs/>
                <w:szCs w:val="21"/>
              </w:rPr>
              <w:t>危废</w:t>
            </w:r>
            <w:r>
              <w:rPr>
                <w:rFonts w:hint="eastAsia"/>
                <w:bCs/>
                <w:szCs w:val="21"/>
                <w:lang w:val="en-US" w:eastAsia="zh-CN"/>
              </w:rPr>
              <w:t>暂存间</w:t>
            </w:r>
            <w:r>
              <w:rPr>
                <w:rFonts w:hint="eastAsia"/>
                <w:bCs/>
                <w:szCs w:val="21"/>
              </w:rPr>
              <w:t>暂存</w:t>
            </w:r>
            <w:r>
              <w:rPr>
                <w:rFonts w:hint="eastAsia"/>
                <w:bCs/>
                <w:szCs w:val="21"/>
                <w:lang w:eastAsia="zh-CN"/>
              </w:rPr>
              <w:t>。</w:t>
            </w:r>
            <w:r>
              <w:rPr>
                <w:rFonts w:hint="eastAsia"/>
                <w:bCs/>
                <w:szCs w:val="21"/>
                <w:lang w:val="en-US" w:eastAsia="zh-CN"/>
              </w:rPr>
              <w:t>根据“45万吨/年普通建筑材料用石灰岩露天开采技术改造项目竣工环境保护验收组意见”，项目废机油储存量为0.0025t/a，在项目办公区设1个5m</w:t>
            </w:r>
            <w:r>
              <w:rPr>
                <w:rFonts w:hint="eastAsia"/>
                <w:bCs/>
                <w:szCs w:val="21"/>
                <w:vertAlign w:val="superscript"/>
                <w:lang w:val="en-US" w:eastAsia="zh-CN"/>
              </w:rPr>
              <w:t>2</w:t>
            </w:r>
            <w:r>
              <w:rPr>
                <w:rFonts w:hint="eastAsia"/>
                <w:bCs/>
                <w:szCs w:val="21"/>
                <w:lang w:val="en-US" w:eastAsia="zh-CN"/>
              </w:rPr>
              <w:t>危废暂存间并设置有危废标志牌，</w:t>
            </w:r>
            <w:r>
              <w:rPr>
                <w:rFonts w:hint="eastAsia"/>
                <w:bCs/>
                <w:color w:val="auto"/>
                <w:szCs w:val="21"/>
                <w:lang w:val="en-US" w:eastAsia="zh-CN"/>
              </w:rPr>
              <w:t>能满足本项目危险废物暂存条件。</w:t>
            </w:r>
          </w:p>
          <w:p w14:paraId="618CDB2D">
            <w:pPr>
              <w:widowControl/>
              <w:ind w:firstLine="482"/>
              <w:jc w:val="left"/>
              <w:rPr>
                <w:b/>
                <w:bCs/>
                <w:kern w:val="0"/>
                <w:lang w:bidi="ar"/>
              </w:rPr>
            </w:pPr>
            <w:r>
              <w:rPr>
                <w:rFonts w:hint="eastAsia"/>
                <w:b/>
                <w:bCs/>
                <w:kern w:val="0"/>
                <w:lang w:bidi="ar"/>
              </w:rPr>
              <w:t>五、地下水、土壤环境</w:t>
            </w:r>
          </w:p>
          <w:p w14:paraId="6062CE7C">
            <w:pPr>
              <w:widowControl/>
              <w:ind w:firstLine="480"/>
              <w:jc w:val="left"/>
              <w:rPr>
                <w:kern w:val="0"/>
                <w:lang w:bidi="ar"/>
              </w:rPr>
            </w:pPr>
            <w:r>
              <w:rPr>
                <w:rFonts w:hint="eastAsia"/>
                <w:color w:val="auto"/>
                <w:kern w:val="0"/>
                <w:lang w:bidi="ar"/>
              </w:rPr>
              <w:t>本项目主要对</w:t>
            </w:r>
            <w:r>
              <w:rPr>
                <w:rFonts w:hint="eastAsia"/>
                <w:color w:val="auto"/>
                <w:kern w:val="0"/>
                <w:lang w:val="en-US" w:eastAsia="zh-CN" w:bidi="ar"/>
              </w:rPr>
              <w:t>地下水、</w:t>
            </w:r>
            <w:r>
              <w:rPr>
                <w:rFonts w:hint="eastAsia"/>
                <w:color w:val="auto"/>
                <w:kern w:val="0"/>
                <w:lang w:bidi="ar"/>
              </w:rPr>
              <w:t>土壤环境产生影响的情形为：</w:t>
            </w:r>
            <w:r>
              <w:rPr>
                <w:rFonts w:hint="eastAsia" w:cs="Times New Roman"/>
                <w:i w:val="0"/>
                <w:iCs/>
                <w:color w:val="auto"/>
                <w:sz w:val="24"/>
                <w:lang w:val="en-US" w:eastAsia="zh-CN"/>
              </w:rPr>
              <w:t>柴</w:t>
            </w:r>
            <w:r>
              <w:rPr>
                <w:rFonts w:hint="eastAsia"/>
                <w:color w:val="auto"/>
                <w:kern w:val="0"/>
                <w:lang w:bidi="ar"/>
              </w:rPr>
              <w:t>油储</w:t>
            </w:r>
            <w:r>
              <w:rPr>
                <w:rFonts w:hint="eastAsia"/>
                <w:kern w:val="0"/>
                <w:lang w:bidi="ar"/>
              </w:rPr>
              <w:t>罐、沥青储罐、</w:t>
            </w:r>
            <w:r>
              <w:rPr>
                <w:rFonts w:hint="eastAsia"/>
                <w:kern w:val="0"/>
                <w:lang w:val="en-US" w:eastAsia="zh-CN" w:bidi="ar"/>
              </w:rPr>
              <w:t>有机热载体</w:t>
            </w:r>
            <w:r>
              <w:rPr>
                <w:rFonts w:hint="eastAsia"/>
                <w:kern w:val="0"/>
                <w:lang w:bidi="ar"/>
              </w:rPr>
              <w:t>炉区域、搅拌区域等若没有适当的防渗漏措施，油品</w:t>
            </w:r>
            <w:r>
              <w:rPr>
                <w:rFonts w:hint="eastAsia"/>
                <w:kern w:val="0"/>
                <w:lang w:eastAsia="zh-CN" w:bidi="ar"/>
              </w:rPr>
              <w:t>、</w:t>
            </w:r>
            <w:r>
              <w:rPr>
                <w:rFonts w:hint="eastAsia"/>
                <w:kern w:val="0"/>
                <w:lang w:val="en-US" w:eastAsia="zh-CN" w:bidi="ar"/>
              </w:rPr>
              <w:t>沥青</w:t>
            </w:r>
            <w:r>
              <w:rPr>
                <w:rFonts w:hint="eastAsia"/>
                <w:kern w:val="0"/>
                <w:lang w:bidi="ar"/>
              </w:rPr>
              <w:t>发生泄露，导致其中的有害组分渗入土壤，杀死土壤中的微生物，破坏微生物与周围环境系统的平衡，对周边土壤环境造成影响，同时这些污染物经土壤渗入地下水，对地下水水质也会造成污染。</w:t>
            </w:r>
          </w:p>
          <w:p w14:paraId="37DBD36A">
            <w:pPr>
              <w:widowControl/>
              <w:ind w:firstLine="480"/>
              <w:jc w:val="left"/>
              <w:rPr>
                <w:rFonts w:hint="eastAsia"/>
                <w:b w:val="0"/>
                <w:bCs w:val="0"/>
                <w:color w:val="auto"/>
                <w:lang w:val="en-US" w:eastAsia="zh-CN"/>
              </w:rPr>
            </w:pPr>
            <w:r>
              <w:rPr>
                <w:rFonts w:hint="eastAsia"/>
                <w:b w:val="0"/>
                <w:bCs w:val="0"/>
                <w:color w:val="auto"/>
                <w:lang w:val="en-US" w:eastAsia="zh-CN"/>
              </w:rPr>
              <w:t>项目</w:t>
            </w:r>
            <w:r>
              <w:rPr>
                <w:b w:val="0"/>
                <w:bCs w:val="0"/>
                <w:color w:val="auto"/>
              </w:rPr>
              <w:t>通过采取合理的防渗措施及过程控制等以降低项目对</w:t>
            </w:r>
            <w:r>
              <w:rPr>
                <w:rFonts w:hint="eastAsia"/>
                <w:b w:val="0"/>
                <w:bCs w:val="0"/>
                <w:color w:val="auto"/>
                <w:lang w:val="en-US" w:eastAsia="zh-CN"/>
              </w:rPr>
              <w:t>土壤、</w:t>
            </w:r>
            <w:r>
              <w:rPr>
                <w:b w:val="0"/>
                <w:bCs w:val="0"/>
                <w:color w:val="auto"/>
              </w:rPr>
              <w:t>地下水的影响</w:t>
            </w:r>
            <w:r>
              <w:rPr>
                <w:rFonts w:hint="eastAsia"/>
                <w:b w:val="0"/>
                <w:bCs w:val="0"/>
                <w:color w:val="auto"/>
                <w:lang w:eastAsia="zh-CN"/>
              </w:rPr>
              <w:t>，</w:t>
            </w:r>
            <w:r>
              <w:rPr>
                <w:b w:val="0"/>
                <w:bCs w:val="0"/>
                <w:color w:val="auto"/>
              </w:rPr>
              <w:t>根据《环境影响评价技术导则</w:t>
            </w:r>
            <w:r>
              <w:rPr>
                <w:rFonts w:hint="eastAsia"/>
                <w:b w:val="0"/>
                <w:bCs w:val="0"/>
                <w:color w:val="auto"/>
                <w:lang w:val="en-US" w:eastAsia="zh-CN"/>
              </w:rPr>
              <w:t xml:space="preserve"> </w:t>
            </w:r>
            <w:r>
              <w:rPr>
                <w:b w:val="0"/>
                <w:bCs w:val="0"/>
                <w:color w:val="auto"/>
              </w:rPr>
              <w:t>地下水环境》（HJ 610-2016），</w:t>
            </w:r>
            <w:r>
              <w:rPr>
                <w:rFonts w:hint="eastAsia"/>
                <w:b w:val="0"/>
                <w:bCs w:val="0"/>
                <w:color w:val="auto"/>
                <w:lang w:val="en-US" w:eastAsia="zh-CN"/>
              </w:rPr>
              <w:t>结合本项目实际情况，建设单位对项目区分区防渗措施情况详见下表4-20。</w:t>
            </w:r>
          </w:p>
          <w:p w14:paraId="0DB9B166">
            <w:pPr>
              <w:widowControl/>
              <w:ind w:left="0" w:leftChars="0" w:firstLine="0" w:firstLineChars="0"/>
              <w:jc w:val="center"/>
              <w:rPr>
                <w:b/>
                <w:bCs/>
                <w:sz w:val="21"/>
                <w:szCs w:val="21"/>
              </w:rPr>
            </w:pPr>
            <w:r>
              <w:rPr>
                <w:rFonts w:hint="eastAsia"/>
                <w:b/>
                <w:bCs/>
                <w:sz w:val="21"/>
                <w:szCs w:val="21"/>
              </w:rPr>
              <w:t>表4-</w:t>
            </w:r>
            <w:r>
              <w:rPr>
                <w:rFonts w:hint="eastAsia"/>
                <w:b/>
                <w:bCs/>
                <w:sz w:val="21"/>
                <w:szCs w:val="21"/>
                <w:lang w:val="en-US" w:eastAsia="zh-CN"/>
              </w:rPr>
              <w:t xml:space="preserve">20 </w:t>
            </w:r>
            <w:r>
              <w:rPr>
                <w:rFonts w:hint="eastAsia"/>
                <w:b/>
                <w:bCs/>
                <w:sz w:val="21"/>
                <w:szCs w:val="21"/>
              </w:rPr>
              <w:t xml:space="preserve"> </w:t>
            </w:r>
            <w:r>
              <w:rPr>
                <w:rFonts w:hint="eastAsia"/>
                <w:b/>
                <w:bCs/>
                <w:sz w:val="21"/>
                <w:szCs w:val="21"/>
                <w:lang w:val="en-US" w:eastAsia="zh-CN"/>
              </w:rPr>
              <w:t>本项目</w:t>
            </w:r>
            <w:r>
              <w:rPr>
                <w:rFonts w:hint="eastAsia"/>
                <w:b/>
                <w:bCs/>
                <w:sz w:val="21"/>
                <w:szCs w:val="21"/>
              </w:rPr>
              <w:t>污染防治分区情况一览表</w:t>
            </w:r>
          </w:p>
          <w:tbl>
            <w:tblPr>
              <w:tblStyle w:val="15"/>
              <w:tblW w:w="7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754"/>
              <w:gridCol w:w="2307"/>
              <w:gridCol w:w="1687"/>
              <w:gridCol w:w="731"/>
            </w:tblGrid>
            <w:tr w14:paraId="79EB6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19" w:type="dxa"/>
                  <w:shd w:val="clear" w:color="auto" w:fill="auto"/>
                  <w:vAlign w:val="center"/>
                </w:tcPr>
                <w:p w14:paraId="4F31EA67">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b/>
                      <w:bCs/>
                      <w:sz w:val="21"/>
                      <w:szCs w:val="21"/>
                    </w:rPr>
                  </w:pPr>
                  <w:r>
                    <w:rPr>
                      <w:rFonts w:hint="eastAsia"/>
                      <w:b/>
                      <w:bCs/>
                      <w:sz w:val="21"/>
                      <w:szCs w:val="21"/>
                    </w:rPr>
                    <w:t>区域名称</w:t>
                  </w:r>
                </w:p>
              </w:tc>
              <w:tc>
                <w:tcPr>
                  <w:tcW w:w="754" w:type="dxa"/>
                  <w:shd w:val="clear" w:color="auto" w:fill="auto"/>
                  <w:vAlign w:val="center"/>
                </w:tcPr>
                <w:p w14:paraId="112A5C66">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b/>
                      <w:bCs/>
                      <w:sz w:val="21"/>
                      <w:szCs w:val="21"/>
                    </w:rPr>
                  </w:pPr>
                  <w:r>
                    <w:rPr>
                      <w:rFonts w:hint="eastAsia"/>
                      <w:b/>
                      <w:bCs/>
                      <w:sz w:val="21"/>
                      <w:szCs w:val="21"/>
                    </w:rPr>
                    <w:t>分区类别</w:t>
                  </w:r>
                </w:p>
              </w:tc>
              <w:tc>
                <w:tcPr>
                  <w:tcW w:w="2307" w:type="dxa"/>
                  <w:shd w:val="clear" w:color="auto" w:fill="auto"/>
                  <w:vAlign w:val="center"/>
                </w:tcPr>
                <w:p w14:paraId="040C36F8">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rPr>
                    <w:t>措施</w:t>
                  </w:r>
                  <w:r>
                    <w:rPr>
                      <w:rFonts w:hint="eastAsia"/>
                      <w:b/>
                      <w:bCs/>
                      <w:color w:val="auto"/>
                      <w:sz w:val="21"/>
                      <w:szCs w:val="21"/>
                      <w:lang w:val="en-US" w:eastAsia="zh-CN"/>
                    </w:rPr>
                    <w:t>要求</w:t>
                  </w:r>
                </w:p>
              </w:tc>
              <w:tc>
                <w:tcPr>
                  <w:tcW w:w="1687" w:type="dxa"/>
                  <w:shd w:val="clear" w:color="auto" w:fill="auto"/>
                  <w:vAlign w:val="center"/>
                </w:tcPr>
                <w:p w14:paraId="19CA821B">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现状防渗措施</w:t>
                  </w:r>
                </w:p>
              </w:tc>
              <w:tc>
                <w:tcPr>
                  <w:tcW w:w="731" w:type="dxa"/>
                  <w:shd w:val="clear" w:color="auto" w:fill="auto"/>
                  <w:vAlign w:val="center"/>
                </w:tcPr>
                <w:p w14:paraId="0A92E97C">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符合情况</w:t>
                  </w:r>
                </w:p>
              </w:tc>
            </w:tr>
            <w:tr w14:paraId="6469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819" w:type="dxa"/>
                  <w:shd w:val="clear" w:color="auto" w:fill="auto"/>
                  <w:vAlign w:val="center"/>
                </w:tcPr>
                <w:p w14:paraId="34E83F83">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left="0" w:leftChars="0" w:firstLine="0" w:firstLineChars="0"/>
                    <w:jc w:val="center"/>
                    <w:textAlignment w:val="auto"/>
                    <w:rPr>
                      <w:sz w:val="21"/>
                      <w:szCs w:val="21"/>
                    </w:rPr>
                  </w:pPr>
                  <w:r>
                    <w:rPr>
                      <w:rFonts w:hint="eastAsia"/>
                      <w:sz w:val="21"/>
                      <w:szCs w:val="21"/>
                      <w:lang w:val="en-US" w:eastAsia="zh-CN"/>
                    </w:rPr>
                    <w:t>柴</w:t>
                  </w:r>
                  <w:r>
                    <w:rPr>
                      <w:rFonts w:hint="eastAsia"/>
                      <w:sz w:val="21"/>
                      <w:szCs w:val="21"/>
                    </w:rPr>
                    <w:t>油储罐区</w:t>
                  </w:r>
                </w:p>
              </w:tc>
              <w:tc>
                <w:tcPr>
                  <w:tcW w:w="754" w:type="dxa"/>
                  <w:vMerge w:val="restart"/>
                  <w:shd w:val="clear" w:color="auto" w:fill="auto"/>
                  <w:vAlign w:val="center"/>
                </w:tcPr>
                <w:p w14:paraId="36DCAA38">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sz w:val="21"/>
                      <w:szCs w:val="21"/>
                    </w:rPr>
                  </w:pPr>
                  <w:r>
                    <w:rPr>
                      <w:rFonts w:hint="eastAsia"/>
                      <w:sz w:val="21"/>
                      <w:szCs w:val="21"/>
                    </w:rPr>
                    <w:t>重点防渗</w:t>
                  </w:r>
                </w:p>
              </w:tc>
              <w:tc>
                <w:tcPr>
                  <w:tcW w:w="2307" w:type="dxa"/>
                  <w:vMerge w:val="restart"/>
                  <w:shd w:val="clear" w:color="auto" w:fill="auto"/>
                  <w:vAlign w:val="center"/>
                </w:tcPr>
                <w:p w14:paraId="2B7B713D">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eastAsia="宋体"/>
                      <w:color w:val="auto"/>
                      <w:sz w:val="21"/>
                      <w:szCs w:val="18"/>
                      <w:highlight w:val="yellow"/>
                      <w:lang w:eastAsia="zh-CN"/>
                    </w:rPr>
                  </w:pPr>
                  <w:r>
                    <w:rPr>
                      <w:color w:val="auto"/>
                      <w:sz w:val="21"/>
                      <w:szCs w:val="18"/>
                    </w:rPr>
                    <w:t>按</w:t>
                  </w:r>
                  <w:r>
                    <w:rPr>
                      <w:color w:val="auto"/>
                      <w:kern w:val="0"/>
                      <w:sz w:val="21"/>
                      <w:szCs w:val="18"/>
                    </w:rPr>
                    <w:t>《环境影响评价技术导则 地下水环境》（HJ610-2016）重点防渗区要求建设：</w:t>
                  </w:r>
                  <w:r>
                    <w:rPr>
                      <w:color w:val="auto"/>
                      <w:spacing w:val="10"/>
                      <w:sz w:val="21"/>
                      <w:szCs w:val="18"/>
                    </w:rPr>
                    <w:t>防渗区等效黏土防渗层厚度Mb≥6m，渗透系数K≤1.0×10</w:t>
                  </w:r>
                  <w:r>
                    <w:rPr>
                      <w:color w:val="auto"/>
                      <w:spacing w:val="10"/>
                      <w:sz w:val="21"/>
                      <w:szCs w:val="18"/>
                      <w:vertAlign w:val="superscript"/>
                    </w:rPr>
                    <w:t>-7</w:t>
                  </w:r>
                  <w:r>
                    <w:rPr>
                      <w:color w:val="auto"/>
                      <w:spacing w:val="10"/>
                      <w:sz w:val="21"/>
                      <w:szCs w:val="18"/>
                    </w:rPr>
                    <w:t>cm/s的黏土层的防渗性能</w:t>
                  </w:r>
                  <w:r>
                    <w:rPr>
                      <w:rFonts w:hint="eastAsia"/>
                      <w:color w:val="auto"/>
                      <w:spacing w:val="10"/>
                      <w:sz w:val="21"/>
                      <w:szCs w:val="18"/>
                      <w:lang w:eastAsia="zh-CN"/>
                    </w:rPr>
                    <w:t>。</w:t>
                  </w:r>
                </w:p>
              </w:tc>
              <w:tc>
                <w:tcPr>
                  <w:tcW w:w="1687" w:type="dxa"/>
                  <w:vMerge w:val="restart"/>
                  <w:shd w:val="clear" w:color="auto" w:fill="auto"/>
                  <w:vAlign w:val="center"/>
                </w:tcPr>
                <w:p w14:paraId="38E05AF2">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default" w:ascii="Times New Roman" w:hAnsi="Times New Roman" w:eastAsia="宋体" w:cs="Times New Roman"/>
                      <w:color w:val="auto"/>
                      <w:kern w:val="2"/>
                      <w:sz w:val="21"/>
                      <w:szCs w:val="18"/>
                      <w:lang w:val="en-US" w:eastAsia="zh-CN" w:bidi="ar-SA"/>
                    </w:rPr>
                  </w:pPr>
                  <w:r>
                    <w:rPr>
                      <w:rFonts w:hint="eastAsia" w:cs="Times New Roman"/>
                      <w:color w:val="auto"/>
                      <w:kern w:val="2"/>
                      <w:sz w:val="21"/>
                      <w:szCs w:val="18"/>
                      <w:lang w:val="en-US" w:eastAsia="zh-CN" w:bidi="ar-SA"/>
                    </w:rPr>
                    <w:t>黏土层6m，</w:t>
                  </w:r>
                  <w:r>
                    <w:rPr>
                      <w:rFonts w:hint="eastAsia"/>
                      <w:color w:val="auto"/>
                      <w:spacing w:val="10"/>
                      <w:sz w:val="21"/>
                      <w:szCs w:val="18"/>
                      <w:highlight w:val="none"/>
                      <w:lang w:val="en-US" w:eastAsia="zh-CN"/>
                    </w:rPr>
                    <w:t>抗渗混凝土浇灌10cm，抗渗等级为P8。</w:t>
                  </w:r>
                </w:p>
              </w:tc>
              <w:tc>
                <w:tcPr>
                  <w:tcW w:w="731" w:type="dxa"/>
                  <w:vMerge w:val="restart"/>
                  <w:shd w:val="clear" w:color="auto" w:fill="auto"/>
                  <w:vAlign w:val="center"/>
                </w:tcPr>
                <w:p w14:paraId="0AF450B0">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eastAsia="宋体"/>
                      <w:color w:val="auto"/>
                      <w:sz w:val="21"/>
                      <w:szCs w:val="18"/>
                      <w:lang w:val="en-US" w:eastAsia="zh-CN"/>
                    </w:rPr>
                  </w:pPr>
                  <w:r>
                    <w:rPr>
                      <w:rFonts w:hint="eastAsia"/>
                      <w:color w:val="auto"/>
                      <w:sz w:val="21"/>
                      <w:szCs w:val="18"/>
                      <w:lang w:val="en-US" w:eastAsia="zh-CN"/>
                    </w:rPr>
                    <w:t>满足</w:t>
                  </w:r>
                </w:p>
              </w:tc>
            </w:tr>
            <w:tr w14:paraId="2697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819" w:type="dxa"/>
                  <w:shd w:val="clear" w:color="auto" w:fill="auto"/>
                  <w:vAlign w:val="center"/>
                </w:tcPr>
                <w:p w14:paraId="1074DB0A">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sz w:val="21"/>
                      <w:szCs w:val="21"/>
                    </w:rPr>
                  </w:pPr>
                  <w:r>
                    <w:rPr>
                      <w:rFonts w:hint="eastAsia"/>
                      <w:sz w:val="21"/>
                      <w:szCs w:val="21"/>
                    </w:rPr>
                    <w:t>沥青储罐区</w:t>
                  </w:r>
                </w:p>
              </w:tc>
              <w:tc>
                <w:tcPr>
                  <w:tcW w:w="754" w:type="dxa"/>
                  <w:vMerge w:val="continue"/>
                  <w:shd w:val="clear" w:color="auto" w:fill="auto"/>
                  <w:vAlign w:val="center"/>
                </w:tcPr>
                <w:p w14:paraId="0013BFF7">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sz w:val="21"/>
                      <w:szCs w:val="21"/>
                    </w:rPr>
                  </w:pPr>
                </w:p>
              </w:tc>
              <w:tc>
                <w:tcPr>
                  <w:tcW w:w="2307" w:type="dxa"/>
                  <w:vMerge w:val="continue"/>
                  <w:shd w:val="clear" w:color="auto" w:fill="auto"/>
                  <w:vAlign w:val="center"/>
                </w:tcPr>
                <w:p w14:paraId="40642930">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highlight w:val="yellow"/>
                    </w:rPr>
                  </w:pPr>
                </w:p>
              </w:tc>
              <w:tc>
                <w:tcPr>
                  <w:tcW w:w="1687" w:type="dxa"/>
                  <w:vMerge w:val="continue"/>
                  <w:shd w:val="clear" w:color="auto" w:fill="auto"/>
                  <w:vAlign w:val="center"/>
                </w:tcPr>
                <w:p w14:paraId="57492776">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rPr>
                  </w:pPr>
                </w:p>
              </w:tc>
              <w:tc>
                <w:tcPr>
                  <w:tcW w:w="731" w:type="dxa"/>
                  <w:vMerge w:val="continue"/>
                  <w:shd w:val="clear" w:color="auto" w:fill="auto"/>
                  <w:vAlign w:val="center"/>
                </w:tcPr>
                <w:p w14:paraId="34A13146">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rPr>
                  </w:pPr>
                </w:p>
              </w:tc>
            </w:tr>
            <w:tr w14:paraId="36F9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9" w:type="dxa"/>
                  <w:shd w:val="clear" w:color="auto" w:fill="auto"/>
                  <w:vAlign w:val="center"/>
                </w:tcPr>
                <w:p w14:paraId="52C81A31">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default" w:eastAsia="宋体"/>
                      <w:sz w:val="21"/>
                      <w:szCs w:val="21"/>
                      <w:lang w:val="en-US" w:eastAsia="zh-CN"/>
                    </w:rPr>
                  </w:pPr>
                  <w:r>
                    <w:rPr>
                      <w:rFonts w:hint="eastAsia"/>
                      <w:sz w:val="21"/>
                      <w:szCs w:val="21"/>
                      <w:lang w:val="en-US" w:eastAsia="zh-CN"/>
                    </w:rPr>
                    <w:t>导热油循环系统周围</w:t>
                  </w:r>
                </w:p>
              </w:tc>
              <w:tc>
                <w:tcPr>
                  <w:tcW w:w="754" w:type="dxa"/>
                  <w:vMerge w:val="continue"/>
                  <w:shd w:val="clear" w:color="auto" w:fill="auto"/>
                  <w:vAlign w:val="center"/>
                </w:tcPr>
                <w:p w14:paraId="56DD2EE0">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sz w:val="21"/>
                      <w:szCs w:val="21"/>
                    </w:rPr>
                  </w:pPr>
                </w:p>
              </w:tc>
              <w:tc>
                <w:tcPr>
                  <w:tcW w:w="2307" w:type="dxa"/>
                  <w:vMerge w:val="continue"/>
                  <w:shd w:val="clear" w:color="auto" w:fill="auto"/>
                  <w:vAlign w:val="center"/>
                </w:tcPr>
                <w:p w14:paraId="38D0E991">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highlight w:val="yellow"/>
                    </w:rPr>
                  </w:pPr>
                </w:p>
              </w:tc>
              <w:tc>
                <w:tcPr>
                  <w:tcW w:w="1687" w:type="dxa"/>
                  <w:vMerge w:val="continue"/>
                  <w:shd w:val="clear" w:color="auto" w:fill="auto"/>
                  <w:vAlign w:val="center"/>
                </w:tcPr>
                <w:p w14:paraId="58AB1202">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rPr>
                  </w:pPr>
                </w:p>
              </w:tc>
              <w:tc>
                <w:tcPr>
                  <w:tcW w:w="731" w:type="dxa"/>
                  <w:vMerge w:val="continue"/>
                  <w:shd w:val="clear" w:color="auto" w:fill="auto"/>
                  <w:vAlign w:val="center"/>
                </w:tcPr>
                <w:p w14:paraId="2FE3D175">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rPr>
                  </w:pPr>
                </w:p>
              </w:tc>
            </w:tr>
            <w:tr w14:paraId="32AA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819" w:type="dxa"/>
                  <w:shd w:val="clear" w:color="auto" w:fill="auto"/>
                  <w:vAlign w:val="center"/>
                </w:tcPr>
                <w:p w14:paraId="43F87839">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有机热载体</w:t>
                  </w:r>
                  <w:r>
                    <w:rPr>
                      <w:rFonts w:hint="eastAsia"/>
                      <w:sz w:val="21"/>
                      <w:szCs w:val="21"/>
                    </w:rPr>
                    <w:t>炉区</w:t>
                  </w:r>
                </w:p>
              </w:tc>
              <w:tc>
                <w:tcPr>
                  <w:tcW w:w="754" w:type="dxa"/>
                  <w:vMerge w:val="continue"/>
                  <w:shd w:val="clear" w:color="auto" w:fill="auto"/>
                  <w:vAlign w:val="center"/>
                </w:tcPr>
                <w:p w14:paraId="194C4D71">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sz w:val="21"/>
                      <w:szCs w:val="21"/>
                    </w:rPr>
                  </w:pPr>
                </w:p>
              </w:tc>
              <w:tc>
                <w:tcPr>
                  <w:tcW w:w="2307" w:type="dxa"/>
                  <w:vMerge w:val="continue"/>
                  <w:shd w:val="clear" w:color="auto" w:fill="auto"/>
                  <w:vAlign w:val="center"/>
                </w:tcPr>
                <w:p w14:paraId="76CF0413">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highlight w:val="yellow"/>
                    </w:rPr>
                  </w:pPr>
                </w:p>
              </w:tc>
              <w:tc>
                <w:tcPr>
                  <w:tcW w:w="1687" w:type="dxa"/>
                  <w:vMerge w:val="continue"/>
                  <w:shd w:val="clear" w:color="auto" w:fill="auto"/>
                  <w:vAlign w:val="center"/>
                </w:tcPr>
                <w:p w14:paraId="49D4ADDA">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rPr>
                  </w:pPr>
                </w:p>
              </w:tc>
              <w:tc>
                <w:tcPr>
                  <w:tcW w:w="731" w:type="dxa"/>
                  <w:vMerge w:val="continue"/>
                  <w:shd w:val="clear" w:color="auto" w:fill="auto"/>
                  <w:vAlign w:val="center"/>
                </w:tcPr>
                <w:p w14:paraId="695DAAE1">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rPr>
                  </w:pPr>
                </w:p>
              </w:tc>
            </w:tr>
            <w:tr w14:paraId="41B6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819" w:type="dxa"/>
                  <w:shd w:val="clear" w:color="auto" w:fill="auto"/>
                  <w:vAlign w:val="center"/>
                </w:tcPr>
                <w:p w14:paraId="2575F4B7">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sz w:val="21"/>
                      <w:szCs w:val="21"/>
                      <w:lang w:val="en-US" w:eastAsia="zh-CN"/>
                    </w:rPr>
                  </w:pPr>
                  <w:r>
                    <w:rPr>
                      <w:rFonts w:hint="eastAsia"/>
                      <w:sz w:val="21"/>
                      <w:szCs w:val="21"/>
                      <w:lang w:val="en-US" w:eastAsia="zh-CN"/>
                    </w:rPr>
                    <w:t>拌合站</w:t>
                  </w:r>
                </w:p>
              </w:tc>
              <w:tc>
                <w:tcPr>
                  <w:tcW w:w="754" w:type="dxa"/>
                  <w:vMerge w:val="continue"/>
                  <w:shd w:val="clear" w:color="auto" w:fill="auto"/>
                  <w:vAlign w:val="center"/>
                </w:tcPr>
                <w:p w14:paraId="2A6FE5AD">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sz w:val="21"/>
                      <w:szCs w:val="21"/>
                    </w:rPr>
                  </w:pPr>
                </w:p>
              </w:tc>
              <w:tc>
                <w:tcPr>
                  <w:tcW w:w="2307" w:type="dxa"/>
                  <w:vMerge w:val="continue"/>
                  <w:shd w:val="clear" w:color="auto" w:fill="auto"/>
                  <w:vAlign w:val="center"/>
                </w:tcPr>
                <w:p w14:paraId="4232C8B9">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highlight w:val="yellow"/>
                    </w:rPr>
                  </w:pPr>
                </w:p>
              </w:tc>
              <w:tc>
                <w:tcPr>
                  <w:tcW w:w="1687" w:type="dxa"/>
                  <w:vMerge w:val="continue"/>
                  <w:shd w:val="clear" w:color="auto" w:fill="auto"/>
                  <w:vAlign w:val="center"/>
                </w:tcPr>
                <w:p w14:paraId="15AB954B">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rPr>
                  </w:pPr>
                </w:p>
              </w:tc>
              <w:tc>
                <w:tcPr>
                  <w:tcW w:w="731" w:type="dxa"/>
                  <w:vMerge w:val="continue"/>
                  <w:shd w:val="clear" w:color="auto" w:fill="auto"/>
                  <w:vAlign w:val="center"/>
                </w:tcPr>
                <w:p w14:paraId="2D4402B4">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18"/>
                    </w:rPr>
                  </w:pPr>
                </w:p>
              </w:tc>
            </w:tr>
            <w:tr w14:paraId="7199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trPr>
              <w:tc>
                <w:tcPr>
                  <w:tcW w:w="1819" w:type="dxa"/>
                  <w:shd w:val="clear" w:color="auto" w:fill="auto"/>
                  <w:vAlign w:val="center"/>
                </w:tcPr>
                <w:p w14:paraId="5625B33B">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default" w:eastAsia="宋体"/>
                      <w:sz w:val="21"/>
                      <w:szCs w:val="21"/>
                      <w:lang w:val="en-US" w:eastAsia="zh-CN"/>
                    </w:rPr>
                  </w:pPr>
                  <w:r>
                    <w:rPr>
                      <w:rFonts w:hint="eastAsia"/>
                      <w:sz w:val="21"/>
                      <w:szCs w:val="21"/>
                      <w:lang w:val="en-US" w:eastAsia="zh-CN"/>
                    </w:rPr>
                    <w:t>烘干滚筒区</w:t>
                  </w:r>
                </w:p>
              </w:tc>
              <w:tc>
                <w:tcPr>
                  <w:tcW w:w="754" w:type="dxa"/>
                  <w:vMerge w:val="restart"/>
                  <w:shd w:val="clear" w:color="auto" w:fill="auto"/>
                  <w:vAlign w:val="center"/>
                </w:tcPr>
                <w:p w14:paraId="656FEE5A">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kern w:val="2"/>
                      <w:sz w:val="21"/>
                      <w:szCs w:val="21"/>
                      <w:lang w:val="en-US" w:eastAsia="zh-CN" w:bidi="ar-SA"/>
                    </w:rPr>
                  </w:pPr>
                  <w:r>
                    <w:rPr>
                      <w:rFonts w:hint="eastAsia"/>
                      <w:sz w:val="21"/>
                      <w:szCs w:val="21"/>
                    </w:rPr>
                    <w:t>一般防渗</w:t>
                  </w:r>
                </w:p>
              </w:tc>
              <w:tc>
                <w:tcPr>
                  <w:tcW w:w="2307" w:type="dxa"/>
                  <w:shd w:val="clear" w:color="auto" w:fill="auto"/>
                  <w:vAlign w:val="center"/>
                </w:tcPr>
                <w:p w14:paraId="44D0E27C">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auto"/>
                      <w:kern w:val="2"/>
                      <w:sz w:val="21"/>
                      <w:szCs w:val="18"/>
                      <w:lang w:val="en-US" w:eastAsia="zh-CN" w:bidi="ar-SA"/>
                    </w:rPr>
                  </w:pPr>
                  <w:r>
                    <w:rPr>
                      <w:color w:val="auto"/>
                      <w:sz w:val="21"/>
                      <w:szCs w:val="18"/>
                    </w:rPr>
                    <w:t>按</w:t>
                  </w:r>
                  <w:r>
                    <w:rPr>
                      <w:color w:val="auto"/>
                      <w:kern w:val="0"/>
                      <w:sz w:val="21"/>
                      <w:szCs w:val="18"/>
                    </w:rPr>
                    <w:t>《环境影响评价技术导则 地下水环境》（HJ610-2016）一般防渗区要求建设：</w:t>
                  </w:r>
                  <w:r>
                    <w:rPr>
                      <w:color w:val="auto"/>
                      <w:sz w:val="21"/>
                      <w:szCs w:val="18"/>
                    </w:rPr>
                    <w:t>等效黏土防渗层厚Mb≥1.5m，渗透系数K≤1.0×10</w:t>
                  </w:r>
                  <w:r>
                    <w:rPr>
                      <w:color w:val="auto"/>
                      <w:sz w:val="21"/>
                      <w:szCs w:val="18"/>
                      <w:vertAlign w:val="superscript"/>
                    </w:rPr>
                    <w:t>-7</w:t>
                  </w:r>
                  <w:r>
                    <w:rPr>
                      <w:color w:val="auto"/>
                      <w:sz w:val="21"/>
                      <w:szCs w:val="18"/>
                    </w:rPr>
                    <w:t>cm/s</w:t>
                  </w:r>
                </w:p>
              </w:tc>
              <w:tc>
                <w:tcPr>
                  <w:tcW w:w="1687" w:type="dxa"/>
                  <w:shd w:val="clear" w:color="auto" w:fill="auto"/>
                  <w:vAlign w:val="center"/>
                </w:tcPr>
                <w:p w14:paraId="5F8790B5">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auto"/>
                      <w:kern w:val="2"/>
                      <w:sz w:val="21"/>
                      <w:szCs w:val="18"/>
                      <w:lang w:val="en-US" w:eastAsia="zh-CN" w:bidi="ar-SA"/>
                    </w:rPr>
                  </w:pPr>
                  <w:r>
                    <w:rPr>
                      <w:rFonts w:hint="eastAsia"/>
                      <w:color w:val="auto"/>
                      <w:spacing w:val="10"/>
                      <w:sz w:val="21"/>
                      <w:szCs w:val="18"/>
                      <w:highlight w:val="none"/>
                      <w:lang w:val="en-US" w:eastAsia="zh-CN"/>
                    </w:rPr>
                    <w:t>抗渗混凝土浇灌25cm，抗渗等级为P8。</w:t>
                  </w:r>
                </w:p>
              </w:tc>
              <w:tc>
                <w:tcPr>
                  <w:tcW w:w="731" w:type="dxa"/>
                  <w:shd w:val="clear" w:color="auto" w:fill="auto"/>
                  <w:vAlign w:val="center"/>
                </w:tcPr>
                <w:p w14:paraId="7B280497">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eastAsia="宋体"/>
                      <w:color w:val="auto"/>
                      <w:sz w:val="21"/>
                      <w:szCs w:val="18"/>
                      <w:lang w:val="en-US" w:eastAsia="zh-CN"/>
                    </w:rPr>
                  </w:pPr>
                  <w:r>
                    <w:rPr>
                      <w:rFonts w:hint="eastAsia"/>
                      <w:color w:val="auto"/>
                      <w:sz w:val="21"/>
                      <w:szCs w:val="18"/>
                      <w:lang w:val="en-US" w:eastAsia="zh-CN"/>
                    </w:rPr>
                    <w:t>满足</w:t>
                  </w:r>
                </w:p>
              </w:tc>
            </w:tr>
            <w:tr w14:paraId="05EE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819" w:type="dxa"/>
                  <w:shd w:val="clear" w:color="auto" w:fill="auto"/>
                  <w:vAlign w:val="center"/>
                </w:tcPr>
                <w:p w14:paraId="4CBFCECC">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default"/>
                      <w:sz w:val="21"/>
                      <w:szCs w:val="21"/>
                      <w:lang w:val="en-US" w:eastAsia="zh-CN"/>
                    </w:rPr>
                  </w:pPr>
                  <w:r>
                    <w:rPr>
                      <w:rFonts w:hint="eastAsia"/>
                      <w:sz w:val="21"/>
                      <w:szCs w:val="21"/>
                      <w:lang w:val="en-US" w:eastAsia="zh-CN"/>
                    </w:rPr>
                    <w:t>砂石料堆场</w:t>
                  </w:r>
                </w:p>
              </w:tc>
              <w:tc>
                <w:tcPr>
                  <w:tcW w:w="754" w:type="dxa"/>
                  <w:vMerge w:val="restart"/>
                  <w:shd w:val="clear" w:color="auto" w:fill="auto"/>
                  <w:vAlign w:val="center"/>
                </w:tcPr>
                <w:p w14:paraId="74D4405E">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kern w:val="2"/>
                      <w:sz w:val="21"/>
                      <w:szCs w:val="21"/>
                      <w:lang w:val="en-US" w:eastAsia="zh-CN" w:bidi="ar-SA"/>
                    </w:rPr>
                  </w:pPr>
                  <w:r>
                    <w:rPr>
                      <w:rFonts w:hint="eastAsia"/>
                      <w:sz w:val="21"/>
                      <w:szCs w:val="21"/>
                    </w:rPr>
                    <w:t>简单防渗</w:t>
                  </w:r>
                </w:p>
              </w:tc>
              <w:tc>
                <w:tcPr>
                  <w:tcW w:w="2307" w:type="dxa"/>
                  <w:shd w:val="clear" w:color="auto" w:fill="auto"/>
                  <w:vAlign w:val="center"/>
                </w:tcPr>
                <w:p w14:paraId="58BB3A6F">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olor w:val="auto"/>
                      <w:sz w:val="21"/>
                      <w:szCs w:val="21"/>
                    </w:rPr>
                    <w:t>水泥硬化</w:t>
                  </w:r>
                </w:p>
              </w:tc>
              <w:tc>
                <w:tcPr>
                  <w:tcW w:w="1687" w:type="dxa"/>
                  <w:shd w:val="clear" w:color="auto" w:fill="auto"/>
                  <w:vAlign w:val="center"/>
                </w:tcPr>
                <w:p w14:paraId="11D8E32A">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水泥硬化</w:t>
                  </w:r>
                </w:p>
              </w:tc>
              <w:tc>
                <w:tcPr>
                  <w:tcW w:w="731" w:type="dxa"/>
                  <w:shd w:val="clear" w:color="auto" w:fill="auto"/>
                  <w:vAlign w:val="center"/>
                </w:tcPr>
                <w:p w14:paraId="0FCEF814">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color w:val="auto"/>
                      <w:sz w:val="21"/>
                      <w:szCs w:val="21"/>
                    </w:rPr>
                  </w:pPr>
                  <w:r>
                    <w:rPr>
                      <w:rFonts w:hint="eastAsia"/>
                      <w:color w:val="auto"/>
                      <w:sz w:val="21"/>
                      <w:szCs w:val="18"/>
                      <w:lang w:val="en-US" w:eastAsia="zh-CN"/>
                    </w:rPr>
                    <w:t>满足</w:t>
                  </w:r>
                </w:p>
              </w:tc>
            </w:tr>
            <w:tr w14:paraId="6797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819" w:type="dxa"/>
                  <w:shd w:val="clear" w:color="auto" w:fill="auto"/>
                  <w:vAlign w:val="center"/>
                </w:tcPr>
                <w:p w14:paraId="43E9A3E6">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sz w:val="21"/>
                      <w:szCs w:val="21"/>
                    </w:rPr>
                  </w:pPr>
                  <w:r>
                    <w:rPr>
                      <w:rFonts w:hint="eastAsia"/>
                      <w:sz w:val="21"/>
                      <w:szCs w:val="21"/>
                    </w:rPr>
                    <w:t>其他区域</w:t>
                  </w:r>
                </w:p>
              </w:tc>
              <w:tc>
                <w:tcPr>
                  <w:tcW w:w="754" w:type="dxa"/>
                  <w:vMerge w:val="continue"/>
                  <w:shd w:val="clear" w:color="auto" w:fill="auto"/>
                  <w:vAlign w:val="center"/>
                </w:tcPr>
                <w:p w14:paraId="7424DBFD">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sz w:val="21"/>
                      <w:szCs w:val="21"/>
                    </w:rPr>
                  </w:pPr>
                </w:p>
              </w:tc>
              <w:tc>
                <w:tcPr>
                  <w:tcW w:w="2307" w:type="dxa"/>
                  <w:shd w:val="clear" w:color="auto" w:fill="auto"/>
                  <w:vAlign w:val="center"/>
                </w:tcPr>
                <w:p w14:paraId="749BC40C">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color w:val="auto"/>
                      <w:sz w:val="21"/>
                      <w:szCs w:val="21"/>
                    </w:rPr>
                  </w:pPr>
                  <w:r>
                    <w:rPr>
                      <w:rFonts w:hint="eastAsia"/>
                      <w:color w:val="auto"/>
                      <w:sz w:val="21"/>
                      <w:szCs w:val="21"/>
                    </w:rPr>
                    <w:t>水泥硬化</w:t>
                  </w:r>
                </w:p>
              </w:tc>
              <w:tc>
                <w:tcPr>
                  <w:tcW w:w="1687" w:type="dxa"/>
                  <w:shd w:val="clear" w:color="auto" w:fill="auto"/>
                  <w:vAlign w:val="center"/>
                </w:tcPr>
                <w:p w14:paraId="520F5253">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color w:val="auto"/>
                      <w:sz w:val="21"/>
                      <w:szCs w:val="21"/>
                    </w:rPr>
                  </w:pPr>
                  <w:r>
                    <w:rPr>
                      <w:rFonts w:hint="eastAsia"/>
                      <w:color w:val="auto"/>
                      <w:sz w:val="21"/>
                      <w:szCs w:val="21"/>
                    </w:rPr>
                    <w:t>水泥硬化</w:t>
                  </w:r>
                </w:p>
              </w:tc>
              <w:tc>
                <w:tcPr>
                  <w:tcW w:w="731" w:type="dxa"/>
                  <w:shd w:val="clear" w:color="auto" w:fill="auto"/>
                  <w:vAlign w:val="center"/>
                </w:tcPr>
                <w:p w14:paraId="7F271DAF">
                  <w:pPr>
                    <w:keepNext w:val="0"/>
                    <w:keepLines w:val="0"/>
                    <w:pageBreakBefore w:val="0"/>
                    <w:widowControl w:val="0"/>
                    <w:tabs>
                      <w:tab w:val="left" w:pos="567"/>
                      <w:tab w:val="left" w:pos="2040"/>
                    </w:tabs>
                    <w:kinsoku/>
                    <w:wordWrap/>
                    <w:overflowPunct/>
                    <w:topLinePunct w:val="0"/>
                    <w:autoSpaceDE/>
                    <w:autoSpaceDN/>
                    <w:bidi w:val="0"/>
                    <w:adjustRightInd/>
                    <w:snapToGrid w:val="0"/>
                    <w:spacing w:line="360" w:lineRule="exact"/>
                    <w:ind w:firstLine="0" w:firstLineChars="0"/>
                    <w:jc w:val="center"/>
                    <w:textAlignment w:val="auto"/>
                    <w:rPr>
                      <w:rFonts w:hint="eastAsia"/>
                      <w:color w:val="auto"/>
                      <w:sz w:val="21"/>
                      <w:szCs w:val="21"/>
                    </w:rPr>
                  </w:pPr>
                  <w:r>
                    <w:rPr>
                      <w:rFonts w:hint="eastAsia"/>
                      <w:color w:val="auto"/>
                      <w:sz w:val="21"/>
                      <w:szCs w:val="18"/>
                      <w:lang w:val="en-US" w:eastAsia="zh-CN"/>
                    </w:rPr>
                    <w:t>满足</w:t>
                  </w:r>
                </w:p>
              </w:tc>
            </w:tr>
          </w:tbl>
          <w:p w14:paraId="66EC7C18">
            <w:pPr>
              <w:keepNext w:val="0"/>
              <w:keepLines w:val="0"/>
              <w:pageBreakBefore w:val="0"/>
              <w:widowControl/>
              <w:kinsoku/>
              <w:wordWrap/>
              <w:overflowPunct/>
              <w:topLinePunct w:val="0"/>
              <w:autoSpaceDE/>
              <w:autoSpaceDN/>
              <w:bidi w:val="0"/>
              <w:adjustRightInd/>
              <w:snapToGrid/>
              <w:spacing w:before="157" w:beforeLines="50"/>
              <w:ind w:firstLine="480"/>
              <w:jc w:val="left"/>
              <w:textAlignment w:val="auto"/>
              <w:rPr>
                <w:rFonts w:hint="eastAsia"/>
                <w:color w:val="auto"/>
                <w:kern w:val="0"/>
                <w:lang w:val="en-US" w:eastAsia="zh-CN" w:bidi="ar"/>
              </w:rPr>
            </w:pPr>
            <w:r>
              <w:rPr>
                <w:rFonts w:hint="eastAsia"/>
                <w:color w:val="auto"/>
                <w:kern w:val="0"/>
                <w:lang w:val="en-US" w:eastAsia="zh-CN" w:bidi="ar"/>
              </w:rPr>
              <w:t>项目已建区域能满足防渗要求，另外还需采取以下措施进行源头和过程控制，防止土壤、地下水污染事件的发生：</w:t>
            </w:r>
          </w:p>
          <w:p w14:paraId="7CF82B98">
            <w:pPr>
              <w:widowControl/>
              <w:ind w:firstLine="480"/>
              <w:jc w:val="left"/>
              <w:rPr>
                <w:color w:val="auto"/>
                <w:kern w:val="0"/>
                <w:lang w:bidi="ar"/>
              </w:rPr>
            </w:pPr>
            <w:r>
              <w:rPr>
                <w:rFonts w:hint="eastAsia"/>
                <w:color w:val="auto"/>
                <w:kern w:val="0"/>
                <w:lang w:bidi="ar"/>
              </w:rPr>
              <w:t>①在储存罐区、管道、设备采取相应</w:t>
            </w:r>
            <w:r>
              <w:rPr>
                <w:rFonts w:hint="eastAsia"/>
                <w:color w:val="auto"/>
                <w:kern w:val="0"/>
                <w:lang w:val="en-US" w:eastAsia="zh-CN" w:bidi="ar"/>
              </w:rPr>
              <w:t>防腐、防渗</w:t>
            </w:r>
            <w:r>
              <w:rPr>
                <w:rFonts w:hint="eastAsia"/>
                <w:color w:val="auto"/>
                <w:kern w:val="0"/>
                <w:lang w:bidi="ar"/>
              </w:rPr>
              <w:t>措施，</w:t>
            </w:r>
            <w:r>
              <w:rPr>
                <w:rFonts w:hint="eastAsia"/>
                <w:color w:val="auto"/>
                <w:kern w:val="0"/>
                <w:lang w:val="en-US" w:eastAsia="zh-CN" w:bidi="ar"/>
              </w:rPr>
              <w:t>加强管理和维保工作，</w:t>
            </w:r>
            <w:r>
              <w:rPr>
                <w:rFonts w:hint="eastAsia"/>
                <w:color w:val="auto"/>
                <w:kern w:val="0"/>
                <w:lang w:bidi="ar"/>
              </w:rPr>
              <w:t>防止污染物跑、冒、滴、漏</w:t>
            </w:r>
            <w:r>
              <w:rPr>
                <w:rFonts w:hint="eastAsia"/>
                <w:color w:val="auto"/>
                <w:kern w:val="0"/>
                <w:lang w:val="en-US" w:eastAsia="zh-CN" w:bidi="ar"/>
              </w:rPr>
              <w:t>的发生</w:t>
            </w:r>
            <w:r>
              <w:rPr>
                <w:rFonts w:hint="eastAsia"/>
                <w:color w:val="auto"/>
                <w:kern w:val="0"/>
                <w:lang w:bidi="ar"/>
              </w:rPr>
              <w:t>，将污染物泄漏的环境风险事故降到最低程度；</w:t>
            </w:r>
          </w:p>
          <w:p w14:paraId="15F2559C">
            <w:pPr>
              <w:widowControl/>
              <w:ind w:firstLine="480"/>
              <w:jc w:val="left"/>
              <w:rPr>
                <w:color w:val="auto"/>
                <w:kern w:val="0"/>
                <w:lang w:bidi="ar"/>
              </w:rPr>
            </w:pPr>
            <w:r>
              <w:rPr>
                <w:rFonts w:hint="eastAsia"/>
                <w:color w:val="auto"/>
                <w:kern w:val="0"/>
                <w:lang w:bidi="ar"/>
              </w:rPr>
              <w:t>②</w:t>
            </w:r>
            <w:r>
              <w:rPr>
                <w:rFonts w:hint="eastAsia"/>
                <w:color w:val="auto"/>
                <w:kern w:val="0"/>
                <w:lang w:val="en-US" w:eastAsia="zh-CN" w:bidi="ar"/>
              </w:rPr>
              <w:t>在生产过程中加强生产管理和环境管理工作，做到规范生产，对物料撒落等情况及时处理，防止物料撒落后因雨水冲刷等，导致污染物进入土壤、地下水，造成污染</w:t>
            </w:r>
            <w:r>
              <w:rPr>
                <w:rFonts w:hint="eastAsia"/>
                <w:color w:val="auto"/>
                <w:kern w:val="0"/>
                <w:lang w:bidi="ar"/>
              </w:rPr>
              <w:t>；</w:t>
            </w:r>
          </w:p>
          <w:p w14:paraId="551A0DEB">
            <w:pPr>
              <w:widowControl/>
              <w:ind w:firstLine="480"/>
              <w:jc w:val="left"/>
              <w:rPr>
                <w:rFonts w:hint="default" w:eastAsia="宋体"/>
                <w:color w:val="auto"/>
                <w:kern w:val="0"/>
                <w:lang w:val="en-US" w:eastAsia="zh-CN" w:bidi="ar"/>
              </w:rPr>
            </w:pPr>
            <w:r>
              <w:rPr>
                <w:rFonts w:hint="eastAsia"/>
                <w:color w:val="auto"/>
                <w:kern w:val="0"/>
                <w:lang w:bidi="ar"/>
              </w:rPr>
              <w:fldChar w:fldCharType="begin"/>
            </w:r>
            <w:r>
              <w:rPr>
                <w:rFonts w:hint="eastAsia"/>
                <w:color w:val="auto"/>
                <w:kern w:val="0"/>
                <w:lang w:bidi="ar"/>
              </w:rPr>
              <w:instrText xml:space="preserve"> = 3 \* GB3 \* MERGEFORMAT </w:instrText>
            </w:r>
            <w:r>
              <w:rPr>
                <w:rFonts w:hint="eastAsia"/>
                <w:color w:val="auto"/>
                <w:kern w:val="0"/>
                <w:lang w:bidi="ar"/>
              </w:rPr>
              <w:fldChar w:fldCharType="separate"/>
            </w:r>
            <w:r>
              <w:rPr>
                <w:color w:val="auto"/>
              </w:rPr>
              <w:t>③</w:t>
            </w:r>
            <w:r>
              <w:rPr>
                <w:rFonts w:hint="eastAsia"/>
                <w:color w:val="auto"/>
                <w:kern w:val="0"/>
                <w:lang w:bidi="ar"/>
              </w:rPr>
              <w:fldChar w:fldCharType="end"/>
            </w:r>
            <w:r>
              <w:rPr>
                <w:rFonts w:hint="eastAsia"/>
                <w:color w:val="auto"/>
                <w:kern w:val="0"/>
                <w:lang w:val="en-US" w:eastAsia="zh-CN" w:bidi="ar"/>
              </w:rPr>
              <w:t>做好项目危险废物的收集、暂存，以及委托处置工作，严格按照相关规范进行危险废物收集及委托处置，避免危废或危废中的有害物质泄露进入土壤、地下水环境中。</w:t>
            </w:r>
          </w:p>
          <w:p w14:paraId="327F06ED">
            <w:pPr>
              <w:widowControl/>
              <w:ind w:firstLine="480"/>
              <w:jc w:val="left"/>
              <w:rPr>
                <w:color w:val="auto"/>
                <w:kern w:val="0"/>
                <w:lang w:bidi="ar"/>
              </w:rPr>
            </w:pPr>
            <w:r>
              <w:rPr>
                <w:rFonts w:hint="eastAsia"/>
                <w:color w:val="auto"/>
                <w:kern w:val="0"/>
                <w:lang w:val="en-US" w:eastAsia="zh-CN" w:bidi="ar"/>
              </w:rPr>
              <w:t>综上，项目做好固废收集、处置工作，做好项目区分区防渗措施后，项目对</w:t>
            </w:r>
            <w:r>
              <w:rPr>
                <w:color w:val="auto"/>
                <w:szCs w:val="21"/>
              </w:rPr>
              <w:t>区域地下水、土壤环境影响不大，是可以接受的</w:t>
            </w:r>
            <w:r>
              <w:rPr>
                <w:rFonts w:hint="eastAsia"/>
                <w:color w:val="auto"/>
                <w:kern w:val="0"/>
                <w:lang w:bidi="ar"/>
              </w:rPr>
              <w:t>。</w:t>
            </w:r>
          </w:p>
          <w:p w14:paraId="0B56BE1D">
            <w:pPr>
              <w:rPr>
                <w:rFonts w:hint="default" w:eastAsia="宋体"/>
                <w:lang w:val="en-US" w:eastAsia="zh-CN"/>
              </w:rPr>
            </w:pPr>
            <w:r>
              <w:rPr>
                <w:rFonts w:hint="eastAsia"/>
                <w:b/>
                <w:bCs/>
                <w:kern w:val="0"/>
                <w:lang w:val="en-US" w:eastAsia="zh-CN" w:bidi="ar"/>
              </w:rPr>
              <w:t>六</w:t>
            </w:r>
            <w:r>
              <w:rPr>
                <w:rFonts w:hint="eastAsia"/>
                <w:b/>
                <w:bCs/>
                <w:kern w:val="0"/>
                <w:lang w:bidi="ar"/>
              </w:rPr>
              <w:t>、</w:t>
            </w:r>
            <w:r>
              <w:rPr>
                <w:rFonts w:hint="eastAsia"/>
                <w:b/>
                <w:bCs/>
                <w:kern w:val="0"/>
                <w:lang w:val="en-US" w:eastAsia="zh-CN" w:bidi="ar"/>
              </w:rPr>
              <w:t>环境风险分析</w:t>
            </w:r>
          </w:p>
          <w:p w14:paraId="7EBFCB3A">
            <w:pPr>
              <w:widowControl/>
              <w:ind w:firstLine="482"/>
              <w:jc w:val="left"/>
              <w:rPr>
                <w:b/>
                <w:bCs/>
              </w:rPr>
            </w:pPr>
            <w:r>
              <w:rPr>
                <w:b/>
                <w:bCs/>
                <w:kern w:val="0"/>
                <w:lang w:bidi="ar"/>
              </w:rPr>
              <w:t xml:space="preserve">（一）环境风险物质识别 </w:t>
            </w:r>
          </w:p>
          <w:p w14:paraId="7320D0AD">
            <w:pPr>
              <w:rPr>
                <w:rFonts w:hint="default" w:eastAsia="宋体"/>
                <w:color w:val="auto"/>
                <w:lang w:val="en-US" w:eastAsia="zh-CN"/>
              </w:rPr>
            </w:pPr>
            <w:r>
              <w:t>根据建设项目使用的原辅料及生产工艺，项目生产工艺简单，生产使用的物料主要为</w:t>
            </w:r>
            <w:r>
              <w:rPr>
                <w:rFonts w:hint="eastAsia"/>
              </w:rPr>
              <w:t>沥青混凝土</w:t>
            </w:r>
            <w:r>
              <w:t>生产的相关原辅材料，在</w:t>
            </w:r>
            <w:r>
              <w:rPr>
                <w:rFonts w:hint="eastAsia"/>
              </w:rPr>
              <w:t>沥青混凝土</w:t>
            </w:r>
            <w:r>
              <w:t>生产过程中产生</w:t>
            </w:r>
            <w:r>
              <w:rPr>
                <w:rFonts w:hint="eastAsia"/>
              </w:rPr>
              <w:t>沥青加热</w:t>
            </w:r>
            <w:r>
              <w:t>废气经</w:t>
            </w:r>
            <w:r>
              <w:rPr>
                <w:rFonts w:hint="eastAsia"/>
              </w:rPr>
              <w:t>废气处理设施处理</w:t>
            </w:r>
            <w:r>
              <w:t>后排放</w:t>
            </w:r>
            <w:r>
              <w:rPr>
                <w:color w:val="auto"/>
              </w:rPr>
              <w:t>；根据《建设项目环境风险评价技术导则》（HJ169-2018）附录B，《危险化学品重大危险源辨识》（GB18218-2018）</w:t>
            </w:r>
            <w:r>
              <w:rPr>
                <w:rFonts w:hint="eastAsia"/>
                <w:color w:val="auto"/>
                <w:lang w:eastAsia="zh-CN"/>
              </w:rPr>
              <w:t>，</w:t>
            </w:r>
            <w:r>
              <w:rPr>
                <w:rFonts w:hint="eastAsia"/>
                <w:color w:val="auto"/>
                <w:lang w:val="en-US" w:eastAsia="zh-CN"/>
              </w:rPr>
              <w:t>项目主要涉及环境风险物质为：柴油、导热油、废机油</w:t>
            </w:r>
            <w:r>
              <w:rPr>
                <w:rFonts w:hint="eastAsia"/>
                <w:color w:val="auto"/>
              </w:rPr>
              <w:t>、</w:t>
            </w:r>
            <w:r>
              <w:rPr>
                <w:rFonts w:hint="eastAsia"/>
                <w:color w:val="auto"/>
                <w:lang w:val="en-US" w:eastAsia="zh-CN"/>
              </w:rPr>
              <w:t>沥青</w:t>
            </w:r>
            <w:r>
              <w:rPr>
                <w:rFonts w:hint="eastAsia"/>
                <w:color w:val="auto"/>
              </w:rPr>
              <w:t>等</w:t>
            </w:r>
            <w:r>
              <w:rPr>
                <w:color w:val="auto"/>
              </w:rPr>
              <w:t>。</w:t>
            </w:r>
          </w:p>
          <w:p w14:paraId="74227296">
            <w:pPr>
              <w:keepNext w:val="0"/>
              <w:keepLines w:val="0"/>
              <w:pageBreakBefore w:val="0"/>
              <w:widowControl/>
              <w:kinsoku/>
              <w:wordWrap/>
              <w:overflowPunct/>
              <w:topLinePunct w:val="0"/>
              <w:autoSpaceDE/>
              <w:autoSpaceDN/>
              <w:bidi w:val="0"/>
              <w:adjustRightInd/>
              <w:snapToGrid/>
              <w:ind w:firstLine="482"/>
              <w:jc w:val="left"/>
              <w:textAlignment w:val="auto"/>
              <w:rPr>
                <w:b/>
                <w:bCs/>
              </w:rPr>
            </w:pPr>
            <w:r>
              <w:rPr>
                <w:b/>
                <w:bCs/>
                <w:color w:val="000000" w:themeColor="text1"/>
                <w:kern w:val="0"/>
                <w:lang w:bidi="ar"/>
                <w14:textFill>
                  <w14:solidFill>
                    <w14:schemeClr w14:val="tx1"/>
                  </w14:solidFill>
                </w14:textFill>
              </w:rPr>
              <w:t>（二）环境风险潜势初判</w:t>
            </w:r>
          </w:p>
          <w:p w14:paraId="6B5C75AA">
            <w:pPr>
              <w:ind w:firstLine="480"/>
              <w:rPr>
                <w:bCs/>
                <w:szCs w:val="22"/>
              </w:rPr>
            </w:pPr>
            <w:r>
              <w:rPr>
                <w:bCs/>
                <w:szCs w:val="22"/>
                <w:lang w:val="zh-CN"/>
              </w:rPr>
              <w:t>（</w:t>
            </w:r>
            <w:r>
              <w:rPr>
                <w:bCs/>
                <w:szCs w:val="22"/>
              </w:rPr>
              <w:t>1</w:t>
            </w:r>
            <w:r>
              <w:rPr>
                <w:bCs/>
                <w:szCs w:val="22"/>
                <w:lang w:val="zh-CN"/>
              </w:rPr>
              <w:t>）</w:t>
            </w:r>
            <w:r>
              <w:rPr>
                <w:bCs/>
                <w:szCs w:val="22"/>
              </w:rPr>
              <w:t>计算公式</w:t>
            </w:r>
          </w:p>
          <w:p w14:paraId="412C3CEA">
            <w:pPr>
              <w:ind w:firstLine="480"/>
              <w:rPr>
                <w:bCs/>
                <w:szCs w:val="22"/>
              </w:rPr>
            </w:pPr>
            <w:r>
              <w:t>根据《建设项目环境风险评价技术导则》（HJ169-2018）附录C，项目危险物质及工艺系统危险性（P）由危险物质数量与临界量比值（Q）和行业及生产工艺（M）确定。</w:t>
            </w:r>
          </w:p>
          <w:p w14:paraId="3B4C1C4A">
            <w:pPr>
              <w:ind w:firstLine="480"/>
            </w:pPr>
            <w:r>
              <w:t>当涉及一种危险物质时，计算该物质的总量与其临界量比值，即为Q；</w:t>
            </w:r>
          </w:p>
          <w:p w14:paraId="7B3BFC1C">
            <w:pPr>
              <w:ind w:firstLine="480"/>
              <w:rPr>
                <w:highlight w:val="yellow"/>
              </w:rPr>
            </w:pPr>
            <w:r>
              <w:t>当涉及多种危险物质，按下式进行计算Q值：</w:t>
            </w:r>
          </w:p>
          <w:p w14:paraId="7D557872">
            <w:pPr>
              <w:ind w:firstLine="0" w:firstLineChars="0"/>
              <w:jc w:val="center"/>
            </w:pPr>
            <w:r>
              <w:t>Q=q</w:t>
            </w:r>
            <w:r>
              <w:rPr>
                <w:vertAlign w:val="subscript"/>
              </w:rPr>
              <w:t>1</w:t>
            </w:r>
            <w:r>
              <w:t>/Q</w:t>
            </w:r>
            <w:r>
              <w:rPr>
                <w:vertAlign w:val="subscript"/>
              </w:rPr>
              <w:t>1</w:t>
            </w:r>
            <w:r>
              <w:t>+q</w:t>
            </w:r>
            <w:r>
              <w:rPr>
                <w:vertAlign w:val="subscript"/>
              </w:rPr>
              <w:t>2</w:t>
            </w:r>
            <w:r>
              <w:t>/Q</w:t>
            </w:r>
            <w:r>
              <w:rPr>
                <w:vertAlign w:val="subscript"/>
              </w:rPr>
              <w:t>2</w:t>
            </w:r>
            <w:r>
              <w:t>+…+q</w:t>
            </w:r>
            <w:r>
              <w:rPr>
                <w:vertAlign w:val="subscript"/>
              </w:rPr>
              <w:t>n</w:t>
            </w:r>
            <w:r>
              <w:t>/Q</w:t>
            </w:r>
            <w:r>
              <w:rPr>
                <w:vertAlign w:val="subscript"/>
              </w:rPr>
              <w:t>n</w:t>
            </w:r>
          </w:p>
          <w:p w14:paraId="335D10C7">
            <w:pPr>
              <w:ind w:firstLine="480"/>
            </w:pPr>
            <w:r>
              <w:t>式中：q</w:t>
            </w:r>
            <w:r>
              <w:rPr>
                <w:vertAlign w:val="subscript"/>
              </w:rPr>
              <w:t>1</w:t>
            </w:r>
            <w:r>
              <w:t>，q</w:t>
            </w:r>
            <w:r>
              <w:rPr>
                <w:vertAlign w:val="subscript"/>
              </w:rPr>
              <w:t>2</w:t>
            </w:r>
            <w:r>
              <w:t>，…，q</w:t>
            </w:r>
            <w:r>
              <w:rPr>
                <w:vertAlign w:val="subscript"/>
              </w:rPr>
              <w:t>n</w:t>
            </w:r>
            <w:r>
              <w:t>——每种危险物质的最大存在总量，t；</w:t>
            </w:r>
          </w:p>
          <w:p w14:paraId="14119E11">
            <w:pPr>
              <w:ind w:firstLine="1200" w:firstLineChars="500"/>
            </w:pPr>
            <w:r>
              <w:t>Q</w:t>
            </w:r>
            <w:r>
              <w:rPr>
                <w:vertAlign w:val="subscript"/>
              </w:rPr>
              <w:t>1</w:t>
            </w:r>
            <w:r>
              <w:t>，Q</w:t>
            </w:r>
            <w:r>
              <w:rPr>
                <w:vertAlign w:val="subscript"/>
              </w:rPr>
              <w:t>2</w:t>
            </w:r>
            <w:r>
              <w:t>，…，Qn——每种危险物质的临界量，t。</w:t>
            </w:r>
          </w:p>
          <w:p w14:paraId="6AF7565D">
            <w:pPr>
              <w:widowControl/>
              <w:ind w:firstLine="480"/>
              <w:jc w:val="left"/>
            </w:pPr>
            <w:r>
              <w:rPr>
                <w:kern w:val="0"/>
                <w:lang w:bidi="ar"/>
              </w:rPr>
              <w:t>计算出Q值后：</w:t>
            </w:r>
          </w:p>
          <w:p w14:paraId="0BDE61F0">
            <w:pPr>
              <w:widowControl/>
              <w:ind w:firstLine="480"/>
              <w:jc w:val="left"/>
            </w:pPr>
            <w:r>
              <w:rPr>
                <w:kern w:val="0"/>
                <w:lang w:bidi="ar"/>
              </w:rPr>
              <w:t>当Q&lt;1时，该项目环境风险潜势为Ⅰ。</w:t>
            </w:r>
          </w:p>
          <w:p w14:paraId="64D79ED5">
            <w:pPr>
              <w:widowControl/>
              <w:ind w:firstLine="480"/>
              <w:jc w:val="left"/>
            </w:pPr>
            <w:r>
              <w:rPr>
                <w:kern w:val="0"/>
                <w:lang w:bidi="ar"/>
              </w:rPr>
              <w:t>当Q≥1时，将Q值划分为：①1≤Q&lt;10；②10≤Q&lt;100；③Q≥100，再结合项目行业及生产工艺（M）进一步判断项目危险物质与工艺系统危险性（P）分级，然后再根据建设项目的P值及其项目所在地的环境敏感程度确定项目环境风险潜势。</w:t>
            </w:r>
          </w:p>
          <w:p w14:paraId="684B11DD">
            <w:pPr>
              <w:widowControl/>
              <w:ind w:firstLine="480"/>
              <w:jc w:val="left"/>
            </w:pPr>
            <w:r>
              <w:rPr>
                <w:kern w:val="0"/>
                <w:lang w:bidi="ar"/>
              </w:rPr>
              <w:t>（2）参数选择</w:t>
            </w:r>
          </w:p>
          <w:p w14:paraId="3AFCF176">
            <w:pPr>
              <w:widowControl/>
              <w:ind w:firstLine="480"/>
            </w:pPr>
            <w:r>
              <w:rPr>
                <w:kern w:val="0"/>
                <w:lang w:bidi="ar"/>
              </w:rPr>
              <w:t>根据《建设项目环境风险评价技术导则》（HJ169-2018）中附录B（重点关注的危险物质及临界量）中所列风险物质名单，确定项目风险物质临界量见表4-</w:t>
            </w:r>
            <w:r>
              <w:rPr>
                <w:rFonts w:hint="eastAsia"/>
                <w:kern w:val="0"/>
                <w:lang w:val="en-US" w:eastAsia="zh-CN" w:bidi="ar"/>
              </w:rPr>
              <w:t>21</w:t>
            </w:r>
            <w:r>
              <w:rPr>
                <w:kern w:val="0"/>
                <w:lang w:bidi="ar"/>
              </w:rPr>
              <w:t>。</w:t>
            </w:r>
          </w:p>
          <w:p w14:paraId="4184FE70">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sz w:val="21"/>
                <w:szCs w:val="21"/>
              </w:rPr>
            </w:pPr>
            <w:r>
              <w:rPr>
                <w:b/>
                <w:bCs/>
                <w:kern w:val="0"/>
                <w:sz w:val="21"/>
                <w:szCs w:val="21"/>
                <w:lang w:bidi="ar"/>
              </w:rPr>
              <w:t>表4-</w:t>
            </w:r>
            <w:r>
              <w:rPr>
                <w:rFonts w:hint="eastAsia"/>
                <w:b/>
                <w:bCs/>
                <w:kern w:val="0"/>
                <w:sz w:val="21"/>
                <w:szCs w:val="21"/>
                <w:lang w:val="en-US" w:eastAsia="zh-CN" w:bidi="ar"/>
              </w:rPr>
              <w:t xml:space="preserve">21 </w:t>
            </w:r>
            <w:r>
              <w:rPr>
                <w:rFonts w:hint="eastAsia"/>
                <w:b/>
                <w:bCs/>
                <w:kern w:val="0"/>
                <w:sz w:val="21"/>
                <w:szCs w:val="21"/>
                <w:lang w:bidi="ar"/>
              </w:rPr>
              <w:t xml:space="preserve"> </w:t>
            </w:r>
            <w:r>
              <w:rPr>
                <w:b/>
                <w:bCs/>
                <w:kern w:val="0"/>
                <w:sz w:val="21"/>
                <w:szCs w:val="21"/>
                <w:lang w:bidi="ar"/>
              </w:rPr>
              <w:t>建设项目涉及的风险物质最大使用量及储存方式</w:t>
            </w:r>
          </w:p>
          <w:tbl>
            <w:tblPr>
              <w:tblStyle w:val="16"/>
              <w:tblW w:w="7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206"/>
              <w:gridCol w:w="1017"/>
              <w:gridCol w:w="817"/>
              <w:gridCol w:w="900"/>
              <w:gridCol w:w="1080"/>
              <w:gridCol w:w="1144"/>
            </w:tblGrid>
            <w:tr w14:paraId="0153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293" w:type="dxa"/>
                  <w:vAlign w:val="center"/>
                </w:tcPr>
                <w:p w14:paraId="30588E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
                      <w:color w:val="000000" w:themeColor="text1"/>
                      <w:sz w:val="21"/>
                      <w:szCs w:val="21"/>
                      <w:lang w:val="en-US" w:eastAsia="zh-CN"/>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危险源</w:t>
                  </w:r>
                </w:p>
              </w:tc>
              <w:tc>
                <w:tcPr>
                  <w:tcW w:w="1206" w:type="dxa"/>
                  <w:vAlign w:val="center"/>
                </w:tcPr>
                <w:p w14:paraId="1BE994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1017" w:type="dxa"/>
                  <w:vAlign w:val="center"/>
                </w:tcPr>
                <w:p w14:paraId="29A748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最大储存量（t）</w:t>
                  </w:r>
                </w:p>
              </w:tc>
              <w:tc>
                <w:tcPr>
                  <w:tcW w:w="817" w:type="dxa"/>
                  <w:vAlign w:val="center"/>
                </w:tcPr>
                <w:p w14:paraId="69440D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临界量（t）</w:t>
                  </w:r>
                </w:p>
              </w:tc>
              <w:tc>
                <w:tcPr>
                  <w:tcW w:w="900" w:type="dxa"/>
                  <w:vAlign w:val="center"/>
                </w:tcPr>
                <w:p w14:paraId="68ED7F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临界量依据</w:t>
                  </w:r>
                </w:p>
              </w:tc>
              <w:tc>
                <w:tcPr>
                  <w:tcW w:w="1080" w:type="dxa"/>
                  <w:vAlign w:val="center"/>
                </w:tcPr>
                <w:p w14:paraId="2EF7E0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q/Q</w:t>
                  </w:r>
                </w:p>
              </w:tc>
              <w:tc>
                <w:tcPr>
                  <w:tcW w:w="1144" w:type="dxa"/>
                  <w:vAlign w:val="center"/>
                </w:tcPr>
                <w:p w14:paraId="117041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是否</w:t>
                  </w:r>
                  <w:r>
                    <w:rPr>
                      <w:rFonts w:hint="eastAsia"/>
                      <w:b/>
                      <w:color w:val="000000" w:themeColor="text1"/>
                      <w:sz w:val="21"/>
                      <w:szCs w:val="21"/>
                      <w14:textFill>
                        <w14:solidFill>
                          <w14:schemeClr w14:val="tx1"/>
                        </w14:solidFill>
                      </w14:textFill>
                    </w:rPr>
                    <w:t>重大危险源</w:t>
                  </w:r>
                </w:p>
              </w:tc>
            </w:tr>
            <w:tr w14:paraId="5159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93" w:type="dxa"/>
                  <w:vAlign w:val="center"/>
                </w:tcPr>
                <w:p w14:paraId="35B3F1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柴油储罐</w:t>
                  </w:r>
                </w:p>
              </w:tc>
              <w:tc>
                <w:tcPr>
                  <w:tcW w:w="1206" w:type="dxa"/>
                  <w:vAlign w:val="center"/>
                </w:tcPr>
                <w:p w14:paraId="3C64D3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柴油</w:t>
                  </w:r>
                </w:p>
              </w:tc>
              <w:tc>
                <w:tcPr>
                  <w:tcW w:w="1017" w:type="dxa"/>
                  <w:vAlign w:val="center"/>
                </w:tcPr>
                <w:p w14:paraId="4D84C3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60</w:t>
                  </w:r>
                </w:p>
              </w:tc>
              <w:tc>
                <w:tcPr>
                  <w:tcW w:w="817" w:type="dxa"/>
                  <w:vAlign w:val="center"/>
                </w:tcPr>
                <w:p w14:paraId="36AFFF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2500</w:t>
                  </w:r>
                </w:p>
              </w:tc>
              <w:tc>
                <w:tcPr>
                  <w:tcW w:w="900" w:type="dxa"/>
                  <w:vMerge w:val="restart"/>
                  <w:vAlign w:val="center"/>
                </w:tcPr>
                <w:p w14:paraId="134D11E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（HJ169-2018）中附录B</w:t>
                  </w:r>
                </w:p>
              </w:tc>
              <w:tc>
                <w:tcPr>
                  <w:tcW w:w="1080" w:type="dxa"/>
                  <w:vAlign w:val="center"/>
                </w:tcPr>
                <w:p w14:paraId="3DB479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0.024</w:t>
                  </w:r>
                </w:p>
              </w:tc>
              <w:tc>
                <w:tcPr>
                  <w:tcW w:w="1144" w:type="dxa"/>
                  <w:vAlign w:val="center"/>
                </w:tcPr>
                <w:p w14:paraId="3FA37A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否</w:t>
                  </w:r>
                </w:p>
              </w:tc>
            </w:tr>
            <w:tr w14:paraId="715F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3" w:type="dxa"/>
                  <w:vAlign w:val="center"/>
                </w:tcPr>
                <w:p w14:paraId="4DC061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有机热载体炉</w:t>
                  </w:r>
                </w:p>
              </w:tc>
              <w:tc>
                <w:tcPr>
                  <w:tcW w:w="1206" w:type="dxa"/>
                  <w:vAlign w:val="center"/>
                </w:tcPr>
                <w:p w14:paraId="3C45CD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14:textFill>
                        <w14:solidFill>
                          <w14:schemeClr w14:val="tx1"/>
                        </w14:solidFill>
                      </w14:textFill>
                    </w:rPr>
                    <w:t>导热油</w:t>
                  </w:r>
                </w:p>
              </w:tc>
              <w:tc>
                <w:tcPr>
                  <w:tcW w:w="1017" w:type="dxa"/>
                  <w:vAlign w:val="center"/>
                </w:tcPr>
                <w:p w14:paraId="4F125E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w:t>
                  </w:r>
                </w:p>
              </w:tc>
              <w:tc>
                <w:tcPr>
                  <w:tcW w:w="817" w:type="dxa"/>
                  <w:vAlign w:val="center"/>
                </w:tcPr>
                <w:p w14:paraId="3F213C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2500</w:t>
                  </w:r>
                </w:p>
              </w:tc>
              <w:tc>
                <w:tcPr>
                  <w:tcW w:w="900" w:type="dxa"/>
                  <w:vMerge w:val="continue"/>
                  <w:vAlign w:val="center"/>
                </w:tcPr>
                <w:p w14:paraId="404BEEA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color w:val="000000" w:themeColor="text1"/>
                      <w:kern w:val="0"/>
                      <w:sz w:val="21"/>
                      <w:szCs w:val="21"/>
                      <w:lang w:bidi="ar"/>
                      <w14:textFill>
                        <w14:solidFill>
                          <w14:schemeClr w14:val="tx1"/>
                        </w14:solidFill>
                      </w14:textFill>
                    </w:rPr>
                  </w:pPr>
                </w:p>
              </w:tc>
              <w:tc>
                <w:tcPr>
                  <w:tcW w:w="1080" w:type="dxa"/>
                  <w:vAlign w:val="center"/>
                </w:tcPr>
                <w:p w14:paraId="6EDA2E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0.0008</w:t>
                  </w:r>
                </w:p>
              </w:tc>
              <w:tc>
                <w:tcPr>
                  <w:tcW w:w="1144" w:type="dxa"/>
                  <w:vAlign w:val="center"/>
                </w:tcPr>
                <w:p w14:paraId="449226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否</w:t>
                  </w:r>
                </w:p>
              </w:tc>
            </w:tr>
            <w:tr w14:paraId="4539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293" w:type="dxa"/>
                  <w:vAlign w:val="center"/>
                </w:tcPr>
                <w:p w14:paraId="5B1126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危废暂存间</w:t>
                  </w:r>
                </w:p>
              </w:tc>
              <w:tc>
                <w:tcPr>
                  <w:tcW w:w="1206" w:type="dxa"/>
                  <w:vAlign w:val="center"/>
                </w:tcPr>
                <w:p w14:paraId="07239B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废机油</w:t>
                  </w:r>
                </w:p>
              </w:tc>
              <w:tc>
                <w:tcPr>
                  <w:tcW w:w="1017" w:type="dxa"/>
                  <w:vAlign w:val="center"/>
                </w:tcPr>
                <w:p w14:paraId="0477C3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0.01</w:t>
                  </w:r>
                </w:p>
              </w:tc>
              <w:tc>
                <w:tcPr>
                  <w:tcW w:w="817" w:type="dxa"/>
                  <w:vAlign w:val="center"/>
                </w:tcPr>
                <w:p w14:paraId="3B694E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2500</w:t>
                  </w:r>
                </w:p>
              </w:tc>
              <w:tc>
                <w:tcPr>
                  <w:tcW w:w="900" w:type="dxa"/>
                  <w:vMerge w:val="continue"/>
                  <w:vAlign w:val="center"/>
                </w:tcPr>
                <w:p w14:paraId="4819658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color w:val="000000" w:themeColor="text1"/>
                      <w:kern w:val="0"/>
                      <w:sz w:val="21"/>
                      <w:szCs w:val="21"/>
                      <w:lang w:bidi="ar"/>
                      <w14:textFill>
                        <w14:solidFill>
                          <w14:schemeClr w14:val="tx1"/>
                        </w14:solidFill>
                      </w14:textFill>
                    </w:rPr>
                  </w:pPr>
                </w:p>
              </w:tc>
              <w:tc>
                <w:tcPr>
                  <w:tcW w:w="1080" w:type="dxa"/>
                  <w:vAlign w:val="center"/>
                </w:tcPr>
                <w:p w14:paraId="0D0922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0.000004</w:t>
                  </w:r>
                </w:p>
              </w:tc>
              <w:tc>
                <w:tcPr>
                  <w:tcW w:w="1144" w:type="dxa"/>
                  <w:vAlign w:val="center"/>
                </w:tcPr>
                <w:p w14:paraId="172C53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否</w:t>
                  </w:r>
                </w:p>
              </w:tc>
            </w:tr>
            <w:tr w14:paraId="2B82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293" w:type="dxa"/>
                  <w:vAlign w:val="center"/>
                </w:tcPr>
                <w:p w14:paraId="5F591A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沥青储罐</w:t>
                  </w:r>
                </w:p>
              </w:tc>
              <w:tc>
                <w:tcPr>
                  <w:tcW w:w="1206" w:type="dxa"/>
                  <w:vAlign w:val="center"/>
                </w:tcPr>
                <w:p w14:paraId="27437F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沥青</w:t>
                  </w:r>
                </w:p>
              </w:tc>
              <w:tc>
                <w:tcPr>
                  <w:tcW w:w="1017" w:type="dxa"/>
                  <w:vAlign w:val="center"/>
                </w:tcPr>
                <w:p w14:paraId="55BB3A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180</w:t>
                  </w:r>
                </w:p>
              </w:tc>
              <w:tc>
                <w:tcPr>
                  <w:tcW w:w="817" w:type="dxa"/>
                  <w:vAlign w:val="center"/>
                </w:tcPr>
                <w:p w14:paraId="7E9DE2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2500</w:t>
                  </w:r>
                </w:p>
              </w:tc>
              <w:tc>
                <w:tcPr>
                  <w:tcW w:w="900" w:type="dxa"/>
                  <w:vMerge w:val="continue"/>
                  <w:vAlign w:val="center"/>
                </w:tcPr>
                <w:p w14:paraId="0C45C2B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color w:val="000000" w:themeColor="text1"/>
                      <w:kern w:val="0"/>
                      <w:sz w:val="21"/>
                      <w:szCs w:val="21"/>
                      <w:lang w:bidi="ar"/>
                      <w14:textFill>
                        <w14:solidFill>
                          <w14:schemeClr w14:val="tx1"/>
                        </w14:solidFill>
                      </w14:textFill>
                    </w:rPr>
                  </w:pPr>
                </w:p>
              </w:tc>
              <w:tc>
                <w:tcPr>
                  <w:tcW w:w="1080" w:type="dxa"/>
                  <w:vAlign w:val="center"/>
                </w:tcPr>
                <w:p w14:paraId="3FDB09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0.072</w:t>
                  </w:r>
                </w:p>
              </w:tc>
              <w:tc>
                <w:tcPr>
                  <w:tcW w:w="1144" w:type="dxa"/>
                  <w:vAlign w:val="center"/>
                </w:tcPr>
                <w:p w14:paraId="3132DF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否</w:t>
                  </w:r>
                </w:p>
              </w:tc>
            </w:tr>
            <w:tr w14:paraId="7831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233" w:type="dxa"/>
                  <w:gridSpan w:val="5"/>
                  <w:vAlign w:val="center"/>
                </w:tcPr>
                <w:p w14:paraId="42EAA9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color w:val="000000" w:themeColor="text1"/>
                      <w:kern w:val="0"/>
                      <w:sz w:val="21"/>
                      <w:szCs w:val="21"/>
                      <w:lang w:bidi="ar"/>
                      <w14:textFill>
                        <w14:solidFill>
                          <w14:schemeClr w14:val="tx1"/>
                        </w14:solidFill>
                      </w14:textFill>
                    </w:rPr>
                  </w:pPr>
                  <w:r>
                    <w:rPr>
                      <w:rFonts w:hint="eastAsia"/>
                      <w:b/>
                      <w:bCs/>
                      <w:color w:val="auto"/>
                      <w:kern w:val="0"/>
                      <w:sz w:val="21"/>
                      <w:szCs w:val="21"/>
                      <w:lang w:bidi="ar"/>
                    </w:rPr>
                    <w:t>合计</w:t>
                  </w:r>
                </w:p>
              </w:tc>
              <w:tc>
                <w:tcPr>
                  <w:tcW w:w="1080" w:type="dxa"/>
                  <w:vAlign w:val="center"/>
                </w:tcPr>
                <w:p w14:paraId="02FBAE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0.096804</w:t>
                  </w:r>
                </w:p>
              </w:tc>
              <w:tc>
                <w:tcPr>
                  <w:tcW w:w="1144" w:type="dxa"/>
                  <w:vAlign w:val="center"/>
                </w:tcPr>
                <w:p w14:paraId="395D6A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w:t>
                  </w:r>
                </w:p>
              </w:tc>
            </w:tr>
          </w:tbl>
          <w:p w14:paraId="3EB5668F">
            <w:pPr>
              <w:pStyle w:val="13"/>
              <w:keepNext w:val="0"/>
              <w:keepLines w:val="0"/>
              <w:pageBreakBefore w:val="0"/>
              <w:widowControl/>
              <w:kinsoku/>
              <w:wordWrap/>
              <w:overflowPunct/>
              <w:topLinePunct w:val="0"/>
              <w:autoSpaceDE/>
              <w:autoSpaceDN/>
              <w:bidi w:val="0"/>
              <w:adjustRightInd/>
              <w:snapToGrid/>
              <w:spacing w:before="157" w:beforeLines="50"/>
              <w:ind w:firstLine="482"/>
              <w:jc w:val="both"/>
              <w:textAlignment w:val="auto"/>
              <w:outlineLvl w:val="1"/>
              <w:rPr>
                <w:rFonts w:hint="default" w:ascii="Times New Roman" w:hAnsi="Times New Roman"/>
                <w:b/>
                <w:bCs/>
              </w:rPr>
            </w:pPr>
            <w:bookmarkStart w:id="17" w:name="_Toc13257"/>
            <w:r>
              <w:rPr>
                <w:rFonts w:hint="default" w:ascii="Times New Roman" w:hAnsi="Times New Roman"/>
                <w:b/>
                <w:bCs/>
              </w:rPr>
              <w:t>（三）环境风险评价等级划分</w:t>
            </w:r>
            <w:bookmarkEnd w:id="17"/>
          </w:p>
          <w:p w14:paraId="7AACFF06">
            <w:pPr>
              <w:widowControl/>
              <w:ind w:firstLine="480"/>
              <w:jc w:val="left"/>
              <w:rPr>
                <w:kern w:val="0"/>
                <w:lang w:bidi="ar"/>
              </w:rPr>
            </w:pPr>
            <w:r>
              <w:rPr>
                <w:kern w:val="0"/>
                <w:lang w:bidi="ar"/>
              </w:rPr>
              <w:t>根据前面项目环境风险潜势初判，确定本项目环境风险潜势为Ⅰ，根据《建设项目环境风险评价技术导则》（HJ169-2018），确定项目风险评价工作等级为简单分析。</w:t>
            </w:r>
          </w:p>
          <w:p w14:paraId="6F6DF6FE">
            <w:pPr>
              <w:widowControl/>
              <w:spacing w:line="240" w:lineRule="auto"/>
              <w:ind w:firstLine="0" w:firstLineChars="0"/>
              <w:jc w:val="center"/>
              <w:rPr>
                <w:b/>
                <w:bCs/>
                <w:sz w:val="21"/>
                <w:szCs w:val="21"/>
              </w:rPr>
            </w:pPr>
            <w:r>
              <w:rPr>
                <w:b/>
                <w:bCs/>
                <w:kern w:val="0"/>
                <w:sz w:val="21"/>
                <w:szCs w:val="21"/>
                <w:lang w:bidi="ar"/>
              </w:rPr>
              <w:t>表</w:t>
            </w:r>
            <w:r>
              <w:rPr>
                <w:b/>
                <w:bCs/>
                <w:sz w:val="21"/>
                <w:szCs w:val="21"/>
              </w:rPr>
              <w:t>4-</w:t>
            </w:r>
            <w:r>
              <w:rPr>
                <w:rFonts w:hint="eastAsia"/>
                <w:b/>
                <w:bCs/>
                <w:sz w:val="21"/>
                <w:szCs w:val="21"/>
              </w:rPr>
              <w:t>2</w:t>
            </w:r>
            <w:r>
              <w:rPr>
                <w:rFonts w:hint="eastAsia"/>
                <w:b/>
                <w:bCs/>
                <w:sz w:val="21"/>
                <w:szCs w:val="21"/>
                <w:lang w:val="en-US" w:eastAsia="zh-CN"/>
              </w:rPr>
              <w:t xml:space="preserve">2 </w:t>
            </w:r>
            <w:r>
              <w:rPr>
                <w:rFonts w:hint="eastAsia"/>
                <w:b/>
                <w:bCs/>
                <w:sz w:val="21"/>
                <w:szCs w:val="21"/>
              </w:rPr>
              <w:t xml:space="preserve"> </w:t>
            </w:r>
            <w:r>
              <w:rPr>
                <w:b/>
                <w:bCs/>
                <w:sz w:val="21"/>
                <w:szCs w:val="21"/>
              </w:rPr>
              <w:t>评价工作等级划分</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312"/>
              <w:gridCol w:w="1500"/>
              <w:gridCol w:w="1546"/>
              <w:gridCol w:w="1315"/>
            </w:tblGrid>
            <w:tr w14:paraId="7C24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861" w:type="dxa"/>
                  <w:shd w:val="clear" w:color="auto" w:fill="auto"/>
                  <w:vAlign w:val="center"/>
                </w:tcPr>
                <w:p w14:paraId="59E1E1B1">
                  <w:pPr>
                    <w:adjustRightInd w:val="0"/>
                    <w:snapToGrid w:val="0"/>
                    <w:spacing w:line="360" w:lineRule="exact"/>
                    <w:ind w:firstLine="0" w:firstLineChars="0"/>
                    <w:jc w:val="center"/>
                    <w:rPr>
                      <w:b/>
                      <w:spacing w:val="-2"/>
                      <w:sz w:val="21"/>
                      <w:szCs w:val="21"/>
                    </w:rPr>
                  </w:pPr>
                  <w:r>
                    <w:rPr>
                      <w:b/>
                      <w:spacing w:val="-2"/>
                      <w:sz w:val="21"/>
                      <w:szCs w:val="21"/>
                    </w:rPr>
                    <w:t>环境风险潜势</w:t>
                  </w:r>
                </w:p>
              </w:tc>
              <w:tc>
                <w:tcPr>
                  <w:tcW w:w="1527" w:type="dxa"/>
                  <w:shd w:val="clear" w:color="auto" w:fill="auto"/>
                  <w:vAlign w:val="center"/>
                </w:tcPr>
                <w:p w14:paraId="2A50433B">
                  <w:pPr>
                    <w:adjustRightInd w:val="0"/>
                    <w:snapToGrid w:val="0"/>
                    <w:spacing w:line="360" w:lineRule="exact"/>
                    <w:ind w:firstLine="0" w:firstLineChars="0"/>
                    <w:jc w:val="center"/>
                    <w:rPr>
                      <w:bCs/>
                      <w:spacing w:val="-2"/>
                      <w:sz w:val="21"/>
                      <w:szCs w:val="21"/>
                    </w:rPr>
                  </w:pPr>
                  <w:r>
                    <w:rPr>
                      <w:bCs/>
                      <w:spacing w:val="-2"/>
                      <w:sz w:val="21"/>
                      <w:szCs w:val="21"/>
                    </w:rPr>
                    <w:t>Ⅳ、Ⅳ</w:t>
                  </w:r>
                  <w:r>
                    <w:rPr>
                      <w:bCs/>
                      <w:spacing w:val="-2"/>
                      <w:sz w:val="21"/>
                      <w:szCs w:val="21"/>
                      <w:vertAlign w:val="superscript"/>
                    </w:rPr>
                    <w:t>+</w:t>
                  </w:r>
                </w:p>
              </w:tc>
              <w:tc>
                <w:tcPr>
                  <w:tcW w:w="1752" w:type="dxa"/>
                  <w:shd w:val="clear" w:color="auto" w:fill="auto"/>
                  <w:vAlign w:val="center"/>
                </w:tcPr>
                <w:p w14:paraId="78F67E21">
                  <w:pPr>
                    <w:adjustRightInd w:val="0"/>
                    <w:snapToGrid w:val="0"/>
                    <w:spacing w:line="360" w:lineRule="exact"/>
                    <w:ind w:firstLine="0" w:firstLineChars="0"/>
                    <w:jc w:val="center"/>
                    <w:rPr>
                      <w:bCs/>
                      <w:spacing w:val="-2"/>
                      <w:sz w:val="21"/>
                      <w:szCs w:val="21"/>
                    </w:rPr>
                  </w:pPr>
                  <w:r>
                    <w:rPr>
                      <w:bCs/>
                      <w:spacing w:val="-2"/>
                      <w:sz w:val="21"/>
                      <w:szCs w:val="21"/>
                    </w:rPr>
                    <w:t>Ⅲ</w:t>
                  </w:r>
                </w:p>
              </w:tc>
              <w:tc>
                <w:tcPr>
                  <w:tcW w:w="1806" w:type="dxa"/>
                  <w:shd w:val="clear" w:color="auto" w:fill="auto"/>
                  <w:vAlign w:val="center"/>
                </w:tcPr>
                <w:p w14:paraId="69ADBDCD">
                  <w:pPr>
                    <w:adjustRightInd w:val="0"/>
                    <w:snapToGrid w:val="0"/>
                    <w:spacing w:line="360" w:lineRule="exact"/>
                    <w:ind w:firstLine="0" w:firstLineChars="0"/>
                    <w:jc w:val="center"/>
                    <w:rPr>
                      <w:bCs/>
                      <w:spacing w:val="-2"/>
                      <w:sz w:val="21"/>
                      <w:szCs w:val="21"/>
                    </w:rPr>
                  </w:pPr>
                  <w:r>
                    <w:rPr>
                      <w:bCs/>
                      <w:spacing w:val="-2"/>
                      <w:sz w:val="21"/>
                      <w:szCs w:val="21"/>
                    </w:rPr>
                    <w:t>Ⅱ</w:t>
                  </w:r>
                </w:p>
              </w:tc>
              <w:tc>
                <w:tcPr>
                  <w:tcW w:w="1530" w:type="dxa"/>
                  <w:shd w:val="clear" w:color="auto" w:fill="BEBEBE"/>
                  <w:vAlign w:val="center"/>
                </w:tcPr>
                <w:p w14:paraId="27EAD1CB">
                  <w:pPr>
                    <w:adjustRightInd w:val="0"/>
                    <w:snapToGrid w:val="0"/>
                    <w:spacing w:line="360" w:lineRule="exact"/>
                    <w:ind w:firstLine="0" w:firstLineChars="0"/>
                    <w:jc w:val="center"/>
                    <w:rPr>
                      <w:bCs/>
                      <w:spacing w:val="-2"/>
                      <w:sz w:val="21"/>
                      <w:szCs w:val="21"/>
                    </w:rPr>
                  </w:pPr>
                  <w:r>
                    <w:rPr>
                      <w:bCs/>
                      <w:spacing w:val="-2"/>
                      <w:sz w:val="21"/>
                      <w:szCs w:val="21"/>
                    </w:rPr>
                    <w:t>Ⅰ</w:t>
                  </w:r>
                </w:p>
              </w:tc>
            </w:tr>
            <w:tr w14:paraId="5B98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861" w:type="dxa"/>
                  <w:shd w:val="clear" w:color="auto" w:fill="auto"/>
                  <w:vAlign w:val="center"/>
                </w:tcPr>
                <w:p w14:paraId="4659D050">
                  <w:pPr>
                    <w:adjustRightInd w:val="0"/>
                    <w:snapToGrid w:val="0"/>
                    <w:spacing w:line="360" w:lineRule="exact"/>
                    <w:ind w:firstLine="0" w:firstLineChars="0"/>
                    <w:jc w:val="center"/>
                    <w:rPr>
                      <w:b/>
                      <w:spacing w:val="-2"/>
                      <w:sz w:val="21"/>
                      <w:szCs w:val="21"/>
                    </w:rPr>
                  </w:pPr>
                  <w:r>
                    <w:rPr>
                      <w:b/>
                      <w:spacing w:val="-2"/>
                      <w:sz w:val="21"/>
                      <w:szCs w:val="21"/>
                    </w:rPr>
                    <w:t>评价工作等级</w:t>
                  </w:r>
                </w:p>
              </w:tc>
              <w:tc>
                <w:tcPr>
                  <w:tcW w:w="1527" w:type="dxa"/>
                  <w:shd w:val="clear" w:color="auto" w:fill="auto"/>
                  <w:vAlign w:val="center"/>
                </w:tcPr>
                <w:p w14:paraId="402A4A88">
                  <w:pPr>
                    <w:adjustRightInd w:val="0"/>
                    <w:snapToGrid w:val="0"/>
                    <w:spacing w:line="360" w:lineRule="exact"/>
                    <w:ind w:firstLine="0" w:firstLineChars="0"/>
                    <w:jc w:val="center"/>
                    <w:rPr>
                      <w:bCs/>
                      <w:spacing w:val="-2"/>
                      <w:sz w:val="21"/>
                      <w:szCs w:val="21"/>
                    </w:rPr>
                  </w:pPr>
                  <w:r>
                    <w:rPr>
                      <w:bCs/>
                      <w:spacing w:val="-2"/>
                      <w:sz w:val="21"/>
                      <w:szCs w:val="21"/>
                    </w:rPr>
                    <w:t>一</w:t>
                  </w:r>
                </w:p>
              </w:tc>
              <w:tc>
                <w:tcPr>
                  <w:tcW w:w="1752" w:type="dxa"/>
                  <w:shd w:val="clear" w:color="auto" w:fill="auto"/>
                  <w:vAlign w:val="center"/>
                </w:tcPr>
                <w:p w14:paraId="63D4D9A3">
                  <w:pPr>
                    <w:adjustRightInd w:val="0"/>
                    <w:snapToGrid w:val="0"/>
                    <w:spacing w:line="360" w:lineRule="exact"/>
                    <w:ind w:firstLine="0" w:firstLineChars="0"/>
                    <w:jc w:val="center"/>
                    <w:rPr>
                      <w:bCs/>
                      <w:spacing w:val="-2"/>
                      <w:sz w:val="21"/>
                      <w:szCs w:val="21"/>
                    </w:rPr>
                  </w:pPr>
                  <w:r>
                    <w:rPr>
                      <w:bCs/>
                      <w:spacing w:val="-2"/>
                      <w:sz w:val="21"/>
                      <w:szCs w:val="21"/>
                    </w:rPr>
                    <w:t>二</w:t>
                  </w:r>
                </w:p>
              </w:tc>
              <w:tc>
                <w:tcPr>
                  <w:tcW w:w="1806" w:type="dxa"/>
                  <w:shd w:val="clear" w:color="auto" w:fill="auto"/>
                  <w:vAlign w:val="center"/>
                </w:tcPr>
                <w:p w14:paraId="3AD42FB5">
                  <w:pPr>
                    <w:adjustRightInd w:val="0"/>
                    <w:snapToGrid w:val="0"/>
                    <w:spacing w:line="360" w:lineRule="exact"/>
                    <w:ind w:firstLine="0" w:firstLineChars="0"/>
                    <w:jc w:val="center"/>
                    <w:rPr>
                      <w:bCs/>
                      <w:spacing w:val="-2"/>
                      <w:sz w:val="21"/>
                      <w:szCs w:val="21"/>
                    </w:rPr>
                  </w:pPr>
                  <w:r>
                    <w:rPr>
                      <w:bCs/>
                      <w:spacing w:val="-2"/>
                      <w:sz w:val="21"/>
                      <w:szCs w:val="21"/>
                    </w:rPr>
                    <w:t>三</w:t>
                  </w:r>
                </w:p>
              </w:tc>
              <w:tc>
                <w:tcPr>
                  <w:tcW w:w="1530" w:type="dxa"/>
                  <w:shd w:val="clear" w:color="auto" w:fill="BEBEBE"/>
                  <w:vAlign w:val="center"/>
                </w:tcPr>
                <w:p w14:paraId="690DFD05">
                  <w:pPr>
                    <w:adjustRightInd w:val="0"/>
                    <w:snapToGrid w:val="0"/>
                    <w:spacing w:line="360" w:lineRule="exact"/>
                    <w:ind w:firstLine="0" w:firstLineChars="0"/>
                    <w:jc w:val="center"/>
                    <w:rPr>
                      <w:bCs/>
                      <w:spacing w:val="-2"/>
                      <w:sz w:val="21"/>
                      <w:szCs w:val="21"/>
                    </w:rPr>
                  </w:pPr>
                  <w:r>
                    <w:rPr>
                      <w:bCs/>
                      <w:spacing w:val="-2"/>
                      <w:sz w:val="21"/>
                      <w:szCs w:val="21"/>
                    </w:rPr>
                    <w:t>简单分析</w:t>
                  </w:r>
                  <w:r>
                    <w:rPr>
                      <w:bCs/>
                      <w:spacing w:val="-2"/>
                      <w:sz w:val="21"/>
                      <w:szCs w:val="21"/>
                      <w:vertAlign w:val="superscript"/>
                    </w:rPr>
                    <w:t>a</w:t>
                  </w:r>
                </w:p>
              </w:tc>
            </w:tr>
            <w:tr w14:paraId="5247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476" w:type="dxa"/>
                  <w:gridSpan w:val="5"/>
                  <w:vAlign w:val="center"/>
                </w:tcPr>
                <w:p w14:paraId="2188F0EE">
                  <w:pPr>
                    <w:adjustRightInd w:val="0"/>
                    <w:snapToGrid w:val="0"/>
                    <w:spacing w:line="240" w:lineRule="auto"/>
                    <w:ind w:firstLine="0" w:firstLineChars="0"/>
                    <w:jc w:val="left"/>
                    <w:rPr>
                      <w:b/>
                      <w:spacing w:val="-2"/>
                      <w:sz w:val="21"/>
                      <w:szCs w:val="21"/>
                    </w:rPr>
                  </w:pPr>
                  <w:r>
                    <w:rPr>
                      <w:bCs/>
                      <w:spacing w:val="-2"/>
                      <w:sz w:val="21"/>
                      <w:szCs w:val="21"/>
                      <w:vertAlign w:val="superscript"/>
                    </w:rPr>
                    <w:t xml:space="preserve">a </w:t>
                  </w:r>
                  <w:r>
                    <w:rPr>
                      <w:bCs/>
                      <w:spacing w:val="-2"/>
                      <w:sz w:val="21"/>
                      <w:szCs w:val="21"/>
                    </w:rPr>
                    <w:t>是相对于详细评价工作内容而言，在描述危险物质、环境影响途径、环境危害后果、风险防范措施等方面给出定性的说明。</w:t>
                  </w:r>
                </w:p>
              </w:tc>
            </w:tr>
          </w:tbl>
          <w:p w14:paraId="296B97B0">
            <w:pPr>
              <w:keepNext w:val="0"/>
              <w:keepLines w:val="0"/>
              <w:pageBreakBefore w:val="0"/>
              <w:widowControl/>
              <w:kinsoku/>
              <w:wordWrap/>
              <w:overflowPunct/>
              <w:topLinePunct w:val="0"/>
              <w:autoSpaceDE/>
              <w:autoSpaceDN/>
              <w:bidi w:val="0"/>
              <w:adjustRightInd/>
              <w:snapToGrid/>
              <w:spacing w:before="157" w:beforeLines="50"/>
              <w:ind w:firstLine="480"/>
              <w:jc w:val="left"/>
              <w:textAlignment w:val="auto"/>
              <w:rPr>
                <w:kern w:val="0"/>
                <w:highlight w:val="none"/>
                <w:lang w:bidi="ar"/>
              </w:rPr>
            </w:pPr>
            <w:r>
              <w:rPr>
                <w:color w:val="000000" w:themeColor="text1"/>
                <w:kern w:val="0"/>
                <w:highlight w:val="none"/>
                <w:lang w:bidi="ar"/>
                <w14:textFill>
                  <w14:solidFill>
                    <w14:schemeClr w14:val="tx1"/>
                  </w14:solidFill>
                </w14:textFill>
              </w:rPr>
              <w:t>由上表可知，本项目的Q值为0.</w:t>
            </w:r>
            <w:r>
              <w:rPr>
                <w:rFonts w:hint="eastAsia"/>
                <w:color w:val="000000" w:themeColor="text1"/>
                <w:kern w:val="0"/>
                <w:highlight w:val="none"/>
                <w:lang w:val="en-US" w:eastAsia="zh-CN" w:bidi="ar"/>
                <w14:textFill>
                  <w14:solidFill>
                    <w14:schemeClr w14:val="tx1"/>
                  </w14:solidFill>
                </w14:textFill>
              </w:rPr>
              <w:t>096804</w:t>
            </w:r>
            <w:r>
              <w:rPr>
                <w:color w:val="000000" w:themeColor="text1"/>
                <w:kern w:val="0"/>
                <w:highlight w:val="none"/>
                <w:lang w:bidi="ar"/>
                <w14:textFill>
                  <w14:solidFill>
                    <w14:schemeClr w14:val="tx1"/>
                  </w14:solidFill>
                </w14:textFill>
              </w:rPr>
              <w:t>＜1，</w:t>
            </w:r>
            <w:r>
              <w:rPr>
                <w:kern w:val="0"/>
                <w:highlight w:val="none"/>
                <w:lang w:bidi="ar"/>
              </w:rPr>
              <w:t>直接判定环境风险潜势（P）为Ⅰ，对照评价工作等级划分表可知，进行简单分析即可。</w:t>
            </w:r>
          </w:p>
          <w:p w14:paraId="5083D6AA">
            <w:pPr>
              <w:keepNext w:val="0"/>
              <w:keepLines w:val="0"/>
              <w:pageBreakBefore w:val="0"/>
              <w:widowControl/>
              <w:kinsoku/>
              <w:wordWrap/>
              <w:overflowPunct/>
              <w:topLinePunct w:val="0"/>
              <w:autoSpaceDE/>
              <w:autoSpaceDN/>
              <w:bidi w:val="0"/>
              <w:adjustRightInd/>
              <w:snapToGrid/>
              <w:ind w:firstLine="482"/>
              <w:jc w:val="left"/>
              <w:textAlignment w:val="auto"/>
              <w:rPr>
                <w:b/>
                <w:bCs/>
              </w:rPr>
            </w:pPr>
            <w:r>
              <w:rPr>
                <w:rFonts w:hint="eastAsia"/>
                <w:b/>
                <w:bCs/>
                <w:kern w:val="0"/>
                <w:lang w:eastAsia="zh-CN" w:bidi="ar"/>
              </w:rPr>
              <w:t>（</w:t>
            </w:r>
            <w:r>
              <w:rPr>
                <w:b/>
                <w:bCs/>
                <w:kern w:val="0"/>
                <w:lang w:bidi="ar"/>
              </w:rPr>
              <w:t>四）环境风险简单分析内容表</w:t>
            </w:r>
          </w:p>
          <w:p w14:paraId="63247D8A">
            <w:pPr>
              <w:widowControl/>
              <w:ind w:firstLine="480"/>
              <w:jc w:val="left"/>
              <w:rPr>
                <w:b/>
                <w:bCs/>
              </w:rPr>
            </w:pPr>
            <w:r>
              <w:rPr>
                <w:kern w:val="0"/>
                <w:lang w:bidi="ar"/>
              </w:rPr>
              <w:t>根据《建设项目环境风险评价技术导则》（HJ169-2018）附录A中表A. 1的内容填写下表</w:t>
            </w:r>
            <w:r>
              <w:rPr>
                <w:rFonts w:hint="eastAsia"/>
                <w:kern w:val="0"/>
                <w:lang w:val="en-US" w:eastAsia="zh-CN" w:bidi="ar"/>
              </w:rPr>
              <w:t>4-23</w:t>
            </w:r>
            <w:r>
              <w:rPr>
                <w:kern w:val="0"/>
                <w:lang w:bidi="ar"/>
              </w:rPr>
              <w:t>。</w:t>
            </w:r>
          </w:p>
          <w:p w14:paraId="5892BEA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bCs/>
                <w:sz w:val="21"/>
                <w:szCs w:val="21"/>
              </w:rPr>
            </w:pPr>
            <w:r>
              <w:rPr>
                <w:b/>
                <w:bCs/>
                <w:sz w:val="21"/>
                <w:szCs w:val="21"/>
              </w:rPr>
              <w:t>表4-</w:t>
            </w:r>
            <w:r>
              <w:rPr>
                <w:rFonts w:hint="eastAsia"/>
                <w:b/>
                <w:bCs/>
                <w:sz w:val="21"/>
                <w:szCs w:val="21"/>
              </w:rPr>
              <w:t>2</w:t>
            </w:r>
            <w:r>
              <w:rPr>
                <w:rFonts w:hint="eastAsia"/>
                <w:b/>
                <w:bCs/>
                <w:sz w:val="21"/>
                <w:szCs w:val="21"/>
                <w:lang w:val="en-US" w:eastAsia="zh-CN"/>
              </w:rPr>
              <w:t xml:space="preserve">3 </w:t>
            </w:r>
            <w:r>
              <w:rPr>
                <w:rFonts w:hint="eastAsia"/>
                <w:b/>
                <w:bCs/>
                <w:sz w:val="21"/>
                <w:szCs w:val="21"/>
              </w:rPr>
              <w:t xml:space="preserve"> </w:t>
            </w:r>
            <w:r>
              <w:rPr>
                <w:b/>
                <w:bCs/>
                <w:sz w:val="21"/>
                <w:szCs w:val="21"/>
              </w:rPr>
              <w:t>建设项目环境风险简单分析内容表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716"/>
              <w:gridCol w:w="2110"/>
              <w:gridCol w:w="870"/>
              <w:gridCol w:w="2035"/>
            </w:tblGrid>
            <w:tr w14:paraId="419B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5" w:type="pct"/>
                  <w:tcBorders>
                    <w:top w:val="single" w:color="auto" w:sz="4" w:space="0"/>
                    <w:left w:val="single" w:color="auto" w:sz="4" w:space="0"/>
                    <w:bottom w:val="single" w:color="auto" w:sz="4" w:space="0"/>
                    <w:right w:val="single" w:color="auto" w:sz="4" w:space="0"/>
                  </w:tcBorders>
                  <w:vAlign w:val="center"/>
                </w:tcPr>
                <w:p w14:paraId="042D07BE">
                  <w:pPr>
                    <w:adjustRightInd w:val="0"/>
                    <w:snapToGrid w:val="0"/>
                    <w:spacing w:line="360" w:lineRule="exact"/>
                    <w:ind w:firstLine="0" w:firstLineChars="0"/>
                    <w:jc w:val="center"/>
                    <w:rPr>
                      <w:b/>
                      <w:bCs/>
                      <w:sz w:val="21"/>
                      <w:szCs w:val="21"/>
                    </w:rPr>
                  </w:pPr>
                  <w:r>
                    <w:rPr>
                      <w:b/>
                      <w:bCs/>
                      <w:sz w:val="21"/>
                      <w:szCs w:val="21"/>
                    </w:rPr>
                    <w:t>建设项目名称</w:t>
                  </w:r>
                </w:p>
              </w:tc>
              <w:tc>
                <w:tcPr>
                  <w:tcW w:w="3944" w:type="pct"/>
                  <w:gridSpan w:val="4"/>
                  <w:tcBorders>
                    <w:top w:val="single" w:color="auto" w:sz="4" w:space="0"/>
                    <w:left w:val="single" w:color="auto" w:sz="4" w:space="0"/>
                    <w:bottom w:val="single" w:color="auto" w:sz="4" w:space="0"/>
                    <w:right w:val="single" w:color="auto" w:sz="4" w:space="0"/>
                  </w:tcBorders>
                  <w:vAlign w:val="center"/>
                </w:tcPr>
                <w:p w14:paraId="419E23B8">
                  <w:pPr>
                    <w:tabs>
                      <w:tab w:val="left" w:pos="1438"/>
                      <w:tab w:val="center" w:pos="3294"/>
                    </w:tabs>
                    <w:adjustRightInd w:val="0"/>
                    <w:snapToGrid w:val="0"/>
                    <w:spacing w:line="360" w:lineRule="exact"/>
                    <w:ind w:firstLine="0" w:firstLineChars="0"/>
                    <w:jc w:val="center"/>
                    <w:rPr>
                      <w:sz w:val="21"/>
                      <w:szCs w:val="21"/>
                    </w:rPr>
                  </w:pPr>
                  <w:r>
                    <w:rPr>
                      <w:rFonts w:hint="eastAsia"/>
                      <w:sz w:val="21"/>
                      <w:szCs w:val="21"/>
                    </w:rPr>
                    <w:t>寻甸福兴宏盛土石方工程有限公司10万吨/年沥青混凝土搅拌站建设项目</w:t>
                  </w:r>
                </w:p>
              </w:tc>
            </w:tr>
            <w:tr w14:paraId="09DB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5" w:type="pct"/>
                  <w:tcBorders>
                    <w:top w:val="single" w:color="auto" w:sz="4" w:space="0"/>
                    <w:left w:val="single" w:color="auto" w:sz="4" w:space="0"/>
                    <w:bottom w:val="single" w:color="auto" w:sz="4" w:space="0"/>
                    <w:right w:val="single" w:color="auto" w:sz="4" w:space="0"/>
                  </w:tcBorders>
                  <w:vAlign w:val="center"/>
                </w:tcPr>
                <w:p w14:paraId="1CDC02DA">
                  <w:pPr>
                    <w:adjustRightInd w:val="0"/>
                    <w:snapToGrid w:val="0"/>
                    <w:spacing w:line="360" w:lineRule="exact"/>
                    <w:ind w:firstLine="0" w:firstLineChars="0"/>
                    <w:jc w:val="center"/>
                    <w:rPr>
                      <w:b/>
                      <w:bCs/>
                      <w:sz w:val="21"/>
                      <w:szCs w:val="21"/>
                    </w:rPr>
                  </w:pPr>
                  <w:r>
                    <w:rPr>
                      <w:b/>
                      <w:bCs/>
                      <w:sz w:val="21"/>
                      <w:szCs w:val="21"/>
                    </w:rPr>
                    <w:t>建设地点</w:t>
                  </w:r>
                </w:p>
              </w:tc>
              <w:tc>
                <w:tcPr>
                  <w:tcW w:w="492" w:type="pct"/>
                  <w:tcBorders>
                    <w:top w:val="single" w:color="auto" w:sz="4" w:space="0"/>
                    <w:left w:val="single" w:color="auto" w:sz="4" w:space="0"/>
                    <w:bottom w:val="single" w:color="auto" w:sz="4" w:space="0"/>
                    <w:right w:val="single" w:color="auto" w:sz="4" w:space="0"/>
                  </w:tcBorders>
                  <w:vAlign w:val="center"/>
                </w:tcPr>
                <w:p w14:paraId="3DE53653">
                  <w:pPr>
                    <w:adjustRightInd w:val="0"/>
                    <w:snapToGrid w:val="0"/>
                    <w:spacing w:line="360" w:lineRule="exact"/>
                    <w:ind w:firstLine="0" w:firstLineChars="0"/>
                    <w:jc w:val="center"/>
                    <w:rPr>
                      <w:sz w:val="21"/>
                      <w:szCs w:val="21"/>
                    </w:rPr>
                  </w:pPr>
                  <w:r>
                    <w:rPr>
                      <w:sz w:val="21"/>
                      <w:szCs w:val="21"/>
                    </w:rPr>
                    <w:t>云南省</w:t>
                  </w:r>
                </w:p>
              </w:tc>
              <w:tc>
                <w:tcPr>
                  <w:tcW w:w="1452" w:type="pct"/>
                  <w:tcBorders>
                    <w:top w:val="single" w:color="auto" w:sz="4" w:space="0"/>
                    <w:left w:val="single" w:color="auto" w:sz="4" w:space="0"/>
                    <w:bottom w:val="single" w:color="auto" w:sz="4" w:space="0"/>
                    <w:right w:val="single" w:color="auto" w:sz="4" w:space="0"/>
                  </w:tcBorders>
                  <w:vAlign w:val="center"/>
                </w:tcPr>
                <w:p w14:paraId="10C5EBEE">
                  <w:pPr>
                    <w:adjustRightInd w:val="0"/>
                    <w:snapToGrid w:val="0"/>
                    <w:spacing w:line="360" w:lineRule="exact"/>
                    <w:ind w:firstLine="0" w:firstLineChars="0"/>
                    <w:jc w:val="center"/>
                    <w:rPr>
                      <w:sz w:val="21"/>
                      <w:szCs w:val="21"/>
                    </w:rPr>
                  </w:pPr>
                  <w:r>
                    <w:rPr>
                      <w:sz w:val="21"/>
                      <w:szCs w:val="21"/>
                    </w:rPr>
                    <w:t>昆明市</w:t>
                  </w:r>
                </w:p>
              </w:tc>
              <w:tc>
                <w:tcPr>
                  <w:tcW w:w="598" w:type="pct"/>
                  <w:tcBorders>
                    <w:top w:val="single" w:color="auto" w:sz="4" w:space="0"/>
                    <w:left w:val="single" w:color="auto" w:sz="4" w:space="0"/>
                    <w:bottom w:val="single" w:color="auto" w:sz="4" w:space="0"/>
                    <w:right w:val="single" w:color="auto" w:sz="4" w:space="0"/>
                  </w:tcBorders>
                  <w:vAlign w:val="center"/>
                </w:tcPr>
                <w:p w14:paraId="3A39D65B">
                  <w:pPr>
                    <w:adjustRightInd w:val="0"/>
                    <w:snapToGrid w:val="0"/>
                    <w:spacing w:line="360" w:lineRule="exact"/>
                    <w:ind w:firstLine="0" w:firstLineChars="0"/>
                    <w:jc w:val="center"/>
                    <w:rPr>
                      <w:rFonts w:hint="eastAsia" w:eastAsia="宋体"/>
                      <w:sz w:val="21"/>
                      <w:szCs w:val="21"/>
                      <w:lang w:eastAsia="zh-CN"/>
                    </w:rPr>
                  </w:pPr>
                  <w:r>
                    <w:rPr>
                      <w:rFonts w:hint="eastAsia"/>
                      <w:sz w:val="21"/>
                      <w:szCs w:val="21"/>
                      <w:lang w:val="en-US" w:eastAsia="zh-CN"/>
                    </w:rPr>
                    <w:t>寻甸县</w:t>
                  </w:r>
                </w:p>
              </w:tc>
              <w:tc>
                <w:tcPr>
                  <w:tcW w:w="1400" w:type="pct"/>
                  <w:tcBorders>
                    <w:top w:val="single" w:color="auto" w:sz="4" w:space="0"/>
                    <w:left w:val="single" w:color="auto" w:sz="4" w:space="0"/>
                    <w:bottom w:val="single" w:color="auto" w:sz="4" w:space="0"/>
                    <w:right w:val="single" w:color="auto" w:sz="4" w:space="0"/>
                  </w:tcBorders>
                  <w:vAlign w:val="center"/>
                </w:tcPr>
                <w:p w14:paraId="28D1CD1E">
                  <w:pPr>
                    <w:adjustRightInd w:val="0"/>
                    <w:snapToGrid w:val="0"/>
                    <w:spacing w:line="360" w:lineRule="exact"/>
                    <w:ind w:firstLine="0" w:firstLineChars="0"/>
                    <w:rPr>
                      <w:rFonts w:hint="default"/>
                      <w:sz w:val="21"/>
                      <w:szCs w:val="21"/>
                      <w:lang w:val="en-US"/>
                    </w:rPr>
                  </w:pPr>
                  <w:r>
                    <w:rPr>
                      <w:rFonts w:hint="eastAsia" w:ascii="Times New Roman" w:hAnsi="Times New Roman" w:eastAsia="宋体" w:cs="Times New Roman"/>
                      <w:sz w:val="21"/>
                      <w:szCs w:val="21"/>
                      <w:lang w:val="en-US" w:eastAsia="zh-CN"/>
                    </w:rPr>
                    <w:t>仁德街道道院社区大发古村石头山采石场内</w:t>
                  </w:r>
                </w:p>
              </w:tc>
            </w:tr>
            <w:tr w14:paraId="4B7C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5" w:type="pct"/>
                  <w:tcBorders>
                    <w:top w:val="single" w:color="auto" w:sz="4" w:space="0"/>
                    <w:left w:val="single" w:color="auto" w:sz="4" w:space="0"/>
                    <w:bottom w:val="single" w:color="auto" w:sz="4" w:space="0"/>
                    <w:right w:val="single" w:color="auto" w:sz="4" w:space="0"/>
                  </w:tcBorders>
                  <w:vAlign w:val="center"/>
                </w:tcPr>
                <w:p w14:paraId="3C079BD2">
                  <w:pPr>
                    <w:adjustRightInd w:val="0"/>
                    <w:snapToGrid w:val="0"/>
                    <w:spacing w:line="360" w:lineRule="exact"/>
                    <w:ind w:firstLine="0" w:firstLineChars="0"/>
                    <w:jc w:val="center"/>
                    <w:rPr>
                      <w:b/>
                      <w:bCs/>
                      <w:sz w:val="21"/>
                      <w:szCs w:val="21"/>
                    </w:rPr>
                  </w:pPr>
                  <w:r>
                    <w:rPr>
                      <w:b/>
                      <w:bCs/>
                      <w:sz w:val="21"/>
                      <w:szCs w:val="21"/>
                    </w:rPr>
                    <w:t>地理坐标</w:t>
                  </w:r>
                </w:p>
              </w:tc>
              <w:tc>
                <w:tcPr>
                  <w:tcW w:w="492" w:type="pct"/>
                  <w:tcBorders>
                    <w:top w:val="single" w:color="auto" w:sz="4" w:space="0"/>
                    <w:left w:val="single" w:color="auto" w:sz="4" w:space="0"/>
                    <w:bottom w:val="single" w:color="auto" w:sz="4" w:space="0"/>
                    <w:right w:val="single" w:color="auto" w:sz="4" w:space="0"/>
                  </w:tcBorders>
                  <w:vAlign w:val="center"/>
                </w:tcPr>
                <w:p w14:paraId="74448AAB">
                  <w:pPr>
                    <w:adjustRightInd w:val="0"/>
                    <w:snapToGrid w:val="0"/>
                    <w:spacing w:line="360" w:lineRule="exact"/>
                    <w:ind w:firstLine="0" w:firstLineChars="0"/>
                    <w:jc w:val="center"/>
                    <w:rPr>
                      <w:sz w:val="21"/>
                      <w:szCs w:val="21"/>
                      <w:highlight w:val="none"/>
                    </w:rPr>
                  </w:pPr>
                  <w:r>
                    <w:rPr>
                      <w:sz w:val="21"/>
                      <w:szCs w:val="21"/>
                      <w:highlight w:val="none"/>
                    </w:rPr>
                    <w:t>经度</w:t>
                  </w:r>
                </w:p>
              </w:tc>
              <w:tc>
                <w:tcPr>
                  <w:tcW w:w="1452" w:type="pct"/>
                  <w:tcBorders>
                    <w:top w:val="single" w:color="auto" w:sz="4" w:space="0"/>
                    <w:left w:val="single" w:color="auto" w:sz="4" w:space="0"/>
                    <w:bottom w:val="single" w:color="auto" w:sz="4" w:space="0"/>
                    <w:right w:val="single" w:color="auto" w:sz="4" w:space="0"/>
                  </w:tcBorders>
                  <w:vAlign w:val="center"/>
                </w:tcPr>
                <w:p w14:paraId="4584FF92">
                  <w:pPr>
                    <w:adjustRightInd w:val="0"/>
                    <w:snapToGrid w:val="0"/>
                    <w:spacing w:line="36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东经10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1.275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598" w:type="pct"/>
                  <w:tcBorders>
                    <w:top w:val="single" w:color="auto" w:sz="4" w:space="0"/>
                    <w:left w:val="single" w:color="auto" w:sz="4" w:space="0"/>
                    <w:bottom w:val="single" w:color="auto" w:sz="4" w:space="0"/>
                    <w:right w:val="single" w:color="auto" w:sz="4" w:space="0"/>
                  </w:tcBorders>
                  <w:vAlign w:val="center"/>
                </w:tcPr>
                <w:p w14:paraId="0F4267E3">
                  <w:pPr>
                    <w:adjustRightInd w:val="0"/>
                    <w:snapToGrid w:val="0"/>
                    <w:spacing w:line="36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纬度</w:t>
                  </w:r>
                </w:p>
              </w:tc>
              <w:tc>
                <w:tcPr>
                  <w:tcW w:w="1400" w:type="pct"/>
                  <w:tcBorders>
                    <w:top w:val="single" w:color="auto" w:sz="4" w:space="0"/>
                    <w:left w:val="single" w:color="auto" w:sz="4" w:space="0"/>
                    <w:bottom w:val="single" w:color="auto" w:sz="4" w:space="0"/>
                    <w:right w:val="single" w:color="auto" w:sz="4" w:space="0"/>
                  </w:tcBorders>
                  <w:vAlign w:val="center"/>
                </w:tcPr>
                <w:p w14:paraId="454EC5D6">
                  <w:pPr>
                    <w:adjustRightInd w:val="0"/>
                    <w:snapToGrid w:val="0"/>
                    <w:spacing w:line="360" w:lineRule="exact"/>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北纬</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5.664</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3922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5" w:type="pct"/>
                  <w:tcBorders>
                    <w:top w:val="single" w:color="auto" w:sz="4" w:space="0"/>
                    <w:left w:val="single" w:color="auto" w:sz="4" w:space="0"/>
                    <w:bottom w:val="single" w:color="auto" w:sz="4" w:space="0"/>
                    <w:right w:val="single" w:color="auto" w:sz="4" w:space="0"/>
                  </w:tcBorders>
                  <w:vAlign w:val="center"/>
                </w:tcPr>
                <w:p w14:paraId="511DC374">
                  <w:pPr>
                    <w:adjustRightInd w:val="0"/>
                    <w:snapToGrid w:val="0"/>
                    <w:spacing w:line="360" w:lineRule="exact"/>
                    <w:ind w:firstLine="0" w:firstLineChars="0"/>
                    <w:jc w:val="center"/>
                    <w:rPr>
                      <w:b/>
                      <w:bCs/>
                      <w:sz w:val="21"/>
                      <w:szCs w:val="21"/>
                    </w:rPr>
                  </w:pPr>
                  <w:r>
                    <w:rPr>
                      <w:b/>
                      <w:bCs/>
                      <w:sz w:val="21"/>
                      <w:szCs w:val="21"/>
                    </w:rPr>
                    <w:t>主要危险物质及分布</w:t>
                  </w:r>
                </w:p>
              </w:tc>
              <w:tc>
                <w:tcPr>
                  <w:tcW w:w="3944" w:type="pct"/>
                  <w:gridSpan w:val="4"/>
                  <w:tcBorders>
                    <w:top w:val="single" w:color="auto" w:sz="4" w:space="0"/>
                    <w:left w:val="single" w:color="auto" w:sz="4" w:space="0"/>
                    <w:bottom w:val="single" w:color="auto" w:sz="4" w:space="0"/>
                    <w:right w:val="single" w:color="auto" w:sz="4" w:space="0"/>
                  </w:tcBorders>
                  <w:vAlign w:val="center"/>
                </w:tcPr>
                <w:p w14:paraId="460430F7">
                  <w:pPr>
                    <w:adjustRightInd w:val="0"/>
                    <w:snapToGrid w:val="0"/>
                    <w:spacing w:line="360" w:lineRule="exact"/>
                    <w:ind w:firstLine="0" w:firstLineChars="0"/>
                    <w:rPr>
                      <w:sz w:val="21"/>
                      <w:szCs w:val="21"/>
                    </w:rPr>
                  </w:pPr>
                  <w:r>
                    <w:rPr>
                      <w:rFonts w:hint="eastAsia"/>
                      <w:sz w:val="21"/>
                      <w:szCs w:val="21"/>
                      <w:lang w:val="en-US" w:eastAsia="zh-CN"/>
                    </w:rPr>
                    <w:t>柴油储存于柴油储罐；导热油分布在导热油循环系统区域；</w:t>
                  </w:r>
                  <w:r>
                    <w:rPr>
                      <w:rFonts w:hint="eastAsia"/>
                      <w:bCs/>
                      <w:color w:val="000000" w:themeColor="text1"/>
                      <w:sz w:val="21"/>
                      <w:szCs w:val="21"/>
                      <w14:textFill>
                        <w14:solidFill>
                          <w14:schemeClr w14:val="tx1"/>
                        </w14:solidFill>
                      </w14:textFill>
                    </w:rPr>
                    <w:t>废机油</w:t>
                  </w:r>
                  <w:r>
                    <w:rPr>
                      <w:sz w:val="21"/>
                      <w:szCs w:val="21"/>
                    </w:rPr>
                    <w:t>暂存于厂房内</w:t>
                  </w:r>
                  <w:r>
                    <w:rPr>
                      <w:rFonts w:hint="eastAsia"/>
                      <w:sz w:val="21"/>
                      <w:szCs w:val="21"/>
                    </w:rPr>
                    <w:t>危废</w:t>
                  </w:r>
                  <w:r>
                    <w:rPr>
                      <w:rFonts w:hint="eastAsia"/>
                      <w:sz w:val="21"/>
                      <w:szCs w:val="21"/>
                      <w:lang w:val="en-US" w:eastAsia="zh-CN"/>
                    </w:rPr>
                    <w:t>暂存间</w:t>
                  </w:r>
                  <w:r>
                    <w:rPr>
                      <w:sz w:val="21"/>
                      <w:szCs w:val="21"/>
                    </w:rPr>
                    <w:t>。</w:t>
                  </w:r>
                </w:p>
              </w:tc>
            </w:tr>
            <w:tr w14:paraId="5078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5" w:type="pct"/>
                  <w:tcBorders>
                    <w:top w:val="single" w:color="auto" w:sz="4" w:space="0"/>
                    <w:left w:val="single" w:color="auto" w:sz="4" w:space="0"/>
                    <w:bottom w:val="single" w:color="auto" w:sz="4" w:space="0"/>
                    <w:right w:val="single" w:color="auto" w:sz="4" w:space="0"/>
                  </w:tcBorders>
                  <w:vAlign w:val="center"/>
                </w:tcPr>
                <w:p w14:paraId="3C143226">
                  <w:pPr>
                    <w:adjustRightInd w:val="0"/>
                    <w:snapToGrid w:val="0"/>
                    <w:spacing w:line="360" w:lineRule="exact"/>
                    <w:ind w:firstLine="0" w:firstLineChars="0"/>
                    <w:jc w:val="center"/>
                    <w:rPr>
                      <w:b/>
                      <w:bCs/>
                      <w:sz w:val="21"/>
                      <w:szCs w:val="21"/>
                    </w:rPr>
                  </w:pPr>
                  <w:r>
                    <w:rPr>
                      <w:b/>
                      <w:bCs/>
                      <w:sz w:val="21"/>
                      <w:szCs w:val="21"/>
                    </w:rPr>
                    <w:t>环境影响途径及危害后果（大气、地表水、地下水等）</w:t>
                  </w:r>
                </w:p>
              </w:tc>
              <w:tc>
                <w:tcPr>
                  <w:tcW w:w="3944" w:type="pct"/>
                  <w:gridSpan w:val="4"/>
                  <w:tcBorders>
                    <w:top w:val="single" w:color="auto" w:sz="4" w:space="0"/>
                    <w:left w:val="single" w:color="auto" w:sz="4" w:space="0"/>
                    <w:bottom w:val="single" w:color="auto" w:sz="4" w:space="0"/>
                    <w:right w:val="single" w:color="auto" w:sz="4" w:space="0"/>
                  </w:tcBorders>
                  <w:vAlign w:val="center"/>
                </w:tcPr>
                <w:p w14:paraId="4BB881A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各油品及危险废物泄露挥发的有机废气→进入大气，造成大气环境影响；</w:t>
                  </w:r>
                </w:p>
                <w:p w14:paraId="2B98A2C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各油品及危险废物泄露、防渗机制损坏→渗入土壤、地下→土壤、地下水污染；</w:t>
                  </w:r>
                </w:p>
                <w:p w14:paraId="0773F997">
                  <w:pPr>
                    <w:pStyle w:val="5"/>
                    <w:keepNext w:val="0"/>
                    <w:keepLines w:val="0"/>
                    <w:pageBreakBefore w:val="0"/>
                    <w:widowControl w:val="0"/>
                    <w:kinsoku/>
                    <w:wordWrap/>
                    <w:overflowPunct/>
                    <w:topLinePunct w:val="0"/>
                    <w:autoSpaceDE/>
                    <w:autoSpaceDN/>
                    <w:bidi w:val="0"/>
                    <w:adjustRightInd/>
                    <w:snapToGrid/>
                    <w:spacing w:after="0"/>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各油品泄露，遇明火引发火灾→烟气污染大气环境，消防废水若收集处理不当会污染地表水；</w:t>
                  </w:r>
                </w:p>
                <w:p w14:paraId="167BC8FF">
                  <w:pPr>
                    <w:spacing w:line="360" w:lineRule="exact"/>
                    <w:ind w:firstLine="0" w:firstLineChars="0"/>
                    <w:jc w:val="left"/>
                    <w:rPr>
                      <w:sz w:val="21"/>
                      <w:szCs w:val="21"/>
                    </w:rPr>
                  </w:pPr>
                  <w:r>
                    <w:rPr>
                      <w:rFonts w:hint="eastAsia"/>
                      <w:color w:val="auto"/>
                      <w:sz w:val="21"/>
                      <w:szCs w:val="21"/>
                      <w:vertAlign w:val="baseline"/>
                      <w:lang w:val="en-US" w:eastAsia="zh-CN"/>
                    </w:rPr>
                    <w:t>废气处理设备故障——废气超标排放，造成大气污染。</w:t>
                  </w:r>
                </w:p>
              </w:tc>
            </w:tr>
            <w:tr w14:paraId="1E83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55" w:type="pct"/>
                  <w:tcBorders>
                    <w:top w:val="single" w:color="auto" w:sz="4" w:space="0"/>
                    <w:left w:val="single" w:color="auto" w:sz="4" w:space="0"/>
                    <w:bottom w:val="single" w:color="auto" w:sz="4" w:space="0"/>
                    <w:right w:val="single" w:color="auto" w:sz="4" w:space="0"/>
                  </w:tcBorders>
                  <w:vAlign w:val="center"/>
                </w:tcPr>
                <w:p w14:paraId="2A9C36AA">
                  <w:pPr>
                    <w:adjustRightInd w:val="0"/>
                    <w:snapToGrid w:val="0"/>
                    <w:spacing w:line="360" w:lineRule="exact"/>
                    <w:ind w:firstLine="0" w:firstLineChars="0"/>
                    <w:jc w:val="center"/>
                    <w:rPr>
                      <w:b/>
                      <w:bCs/>
                      <w:sz w:val="21"/>
                      <w:szCs w:val="21"/>
                      <w:highlight w:val="yellow"/>
                    </w:rPr>
                  </w:pPr>
                  <w:r>
                    <w:rPr>
                      <w:b/>
                      <w:bCs/>
                      <w:sz w:val="21"/>
                      <w:szCs w:val="21"/>
                    </w:rPr>
                    <w:t>风险防范措施要求</w:t>
                  </w:r>
                </w:p>
              </w:tc>
              <w:tc>
                <w:tcPr>
                  <w:tcW w:w="3944" w:type="pct"/>
                  <w:gridSpan w:val="4"/>
                  <w:tcBorders>
                    <w:top w:val="single" w:color="auto" w:sz="4" w:space="0"/>
                    <w:left w:val="single" w:color="auto" w:sz="4" w:space="0"/>
                    <w:bottom w:val="single" w:color="auto" w:sz="4" w:space="0"/>
                    <w:right w:val="single" w:color="auto" w:sz="4" w:space="0"/>
                  </w:tcBorders>
                  <w:vAlign w:val="center"/>
                </w:tcPr>
                <w:p w14:paraId="79CCD06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color w:val="auto"/>
                      <w:sz w:val="21"/>
                      <w:szCs w:val="21"/>
                    </w:rPr>
                  </w:pPr>
                  <w:r>
                    <w:rPr>
                      <w:rFonts w:hint="eastAsia" w:ascii="宋体" w:hAnsi="宋体" w:cs="宋体"/>
                      <w:color w:val="auto"/>
                      <w:sz w:val="21"/>
                      <w:szCs w:val="21"/>
                    </w:rPr>
                    <w:t>①</w:t>
                  </w:r>
                  <w:r>
                    <w:rPr>
                      <w:color w:val="auto"/>
                      <w:sz w:val="21"/>
                      <w:szCs w:val="21"/>
                    </w:rPr>
                    <w:t>在生产过程中应加强管理，</w:t>
                  </w:r>
                  <w:r>
                    <w:rPr>
                      <w:rFonts w:hint="eastAsia"/>
                      <w:sz w:val="21"/>
                      <w:szCs w:val="21"/>
                      <w:lang w:val="en-US" w:eastAsia="zh-CN"/>
                    </w:rPr>
                    <w:t>柴</w:t>
                  </w:r>
                  <w:r>
                    <w:rPr>
                      <w:rFonts w:hint="eastAsia"/>
                      <w:color w:val="auto"/>
                      <w:sz w:val="21"/>
                      <w:szCs w:val="21"/>
                      <w:lang w:val="en-US" w:eastAsia="zh-CN"/>
                    </w:rPr>
                    <w:t>油储罐区、导热油循环系统周围、有机热载体炉区域、沥青储罐区、危废暂存间及</w:t>
                  </w:r>
                  <w:r>
                    <w:rPr>
                      <w:color w:val="auto"/>
                      <w:sz w:val="21"/>
                      <w:szCs w:val="21"/>
                    </w:rPr>
                    <w:t>相应的生产区配备灭火装置，并设置禁火标志，避免发生火灾事故。</w:t>
                  </w:r>
                </w:p>
                <w:p w14:paraId="591CC82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color w:val="auto"/>
                      <w:sz w:val="21"/>
                      <w:szCs w:val="21"/>
                    </w:rPr>
                  </w:pPr>
                  <w:r>
                    <w:rPr>
                      <w:rFonts w:hint="eastAsia" w:ascii="宋体" w:hAnsi="宋体" w:cs="宋体"/>
                      <w:color w:val="auto"/>
                      <w:sz w:val="21"/>
                      <w:szCs w:val="21"/>
                    </w:rPr>
                    <w:t>②</w:t>
                  </w:r>
                  <w:r>
                    <w:rPr>
                      <w:rFonts w:hint="eastAsia" w:ascii="宋体" w:hAnsi="宋体" w:cs="宋体"/>
                      <w:color w:val="auto"/>
                      <w:sz w:val="21"/>
                      <w:szCs w:val="21"/>
                      <w:lang w:val="en-US" w:eastAsia="zh-CN"/>
                    </w:rPr>
                    <w:t>各类危险废物</w:t>
                  </w:r>
                  <w:r>
                    <w:rPr>
                      <w:color w:val="auto"/>
                      <w:kern w:val="2"/>
                      <w:sz w:val="21"/>
                      <w:szCs w:val="21"/>
                    </w:rPr>
                    <w:t>经专门的</w:t>
                  </w:r>
                  <w:r>
                    <w:rPr>
                      <w:rFonts w:hint="eastAsia"/>
                      <w:color w:val="auto"/>
                      <w:kern w:val="2"/>
                      <w:sz w:val="21"/>
                      <w:szCs w:val="21"/>
                      <w:lang w:val="en-US" w:eastAsia="zh-CN"/>
                    </w:rPr>
                    <w:t>密闭容器</w:t>
                  </w:r>
                  <w:r>
                    <w:rPr>
                      <w:color w:val="auto"/>
                      <w:kern w:val="2"/>
                      <w:sz w:val="21"/>
                      <w:szCs w:val="21"/>
                    </w:rPr>
                    <w:t>收集后，</w:t>
                  </w:r>
                  <w:r>
                    <w:rPr>
                      <w:rFonts w:hint="eastAsia"/>
                      <w:color w:val="auto"/>
                      <w:kern w:val="2"/>
                      <w:sz w:val="21"/>
                      <w:szCs w:val="21"/>
                      <w:lang w:val="en-US" w:eastAsia="zh-CN"/>
                    </w:rPr>
                    <w:t>分类、分区</w:t>
                  </w:r>
                  <w:r>
                    <w:rPr>
                      <w:color w:val="auto"/>
                      <w:kern w:val="2"/>
                      <w:sz w:val="21"/>
                      <w:szCs w:val="21"/>
                    </w:rPr>
                    <w:t>暂存于危废暂存</w:t>
                  </w:r>
                  <w:r>
                    <w:rPr>
                      <w:rFonts w:hint="eastAsia"/>
                      <w:color w:val="auto"/>
                      <w:kern w:val="2"/>
                      <w:sz w:val="21"/>
                      <w:szCs w:val="21"/>
                      <w:lang w:val="en-US" w:eastAsia="zh-CN"/>
                    </w:rPr>
                    <w:t>间</w:t>
                  </w:r>
                  <w:r>
                    <w:rPr>
                      <w:color w:val="auto"/>
                      <w:kern w:val="2"/>
                      <w:sz w:val="21"/>
                      <w:szCs w:val="21"/>
                    </w:rPr>
                    <w:t>，由专职人员负责收集、暂存，交由有资质的单位进行处置，</w:t>
                  </w:r>
                  <w:r>
                    <w:rPr>
                      <w:rFonts w:hint="eastAsia"/>
                      <w:color w:val="auto"/>
                      <w:kern w:val="2"/>
                      <w:sz w:val="21"/>
                      <w:szCs w:val="21"/>
                      <w:lang w:val="en-US" w:eastAsia="zh-CN"/>
                    </w:rPr>
                    <w:t>危险废物的</w:t>
                  </w:r>
                  <w:r>
                    <w:rPr>
                      <w:color w:val="auto"/>
                      <w:kern w:val="2"/>
                      <w:sz w:val="21"/>
                      <w:szCs w:val="21"/>
                    </w:rPr>
                    <w:t>产生及处置须记录有台账，定时进行危废暂存</w:t>
                  </w:r>
                  <w:r>
                    <w:rPr>
                      <w:rFonts w:hint="eastAsia"/>
                      <w:color w:val="auto"/>
                      <w:kern w:val="2"/>
                      <w:sz w:val="21"/>
                      <w:szCs w:val="21"/>
                      <w:lang w:val="en-US" w:eastAsia="zh-CN"/>
                    </w:rPr>
                    <w:t>间</w:t>
                  </w:r>
                  <w:r>
                    <w:rPr>
                      <w:color w:val="auto"/>
                      <w:kern w:val="2"/>
                      <w:sz w:val="21"/>
                      <w:szCs w:val="21"/>
                    </w:rPr>
                    <w:t>的检查巡视</w:t>
                  </w:r>
                  <w:r>
                    <w:rPr>
                      <w:rFonts w:hint="eastAsia" w:ascii="宋体" w:hAnsi="宋体" w:cs="宋体"/>
                      <w:color w:val="auto"/>
                      <w:sz w:val="21"/>
                      <w:szCs w:val="21"/>
                    </w:rPr>
                    <w:t>；</w:t>
                  </w:r>
                </w:p>
                <w:p w14:paraId="57239C7D">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color w:val="auto"/>
                      <w:sz w:val="21"/>
                      <w:szCs w:val="21"/>
                    </w:rPr>
                  </w:pPr>
                  <w:r>
                    <w:rPr>
                      <w:rFonts w:hint="eastAsia" w:ascii="宋体" w:hAnsi="宋体" w:cs="宋体"/>
                      <w:color w:val="auto"/>
                      <w:sz w:val="21"/>
                      <w:szCs w:val="21"/>
                    </w:rPr>
                    <w:t>③定期检查</w:t>
                  </w:r>
                  <w:r>
                    <w:rPr>
                      <w:rFonts w:hint="eastAsia" w:ascii="宋体" w:hAnsi="宋体" w:cs="宋体"/>
                      <w:color w:val="auto"/>
                      <w:sz w:val="21"/>
                      <w:szCs w:val="21"/>
                      <w:lang w:val="en-US" w:eastAsia="zh-CN"/>
                    </w:rPr>
                    <w:t>各分区防渗区域的防渗措施</w:t>
                  </w:r>
                  <w:r>
                    <w:rPr>
                      <w:rFonts w:hint="eastAsia" w:ascii="宋体" w:hAnsi="宋体" w:cs="宋体"/>
                      <w:color w:val="auto"/>
                      <w:sz w:val="21"/>
                      <w:szCs w:val="21"/>
                    </w:rPr>
                    <w:t>，对有裂隙及破损的</w:t>
                  </w:r>
                  <w:r>
                    <w:rPr>
                      <w:rFonts w:hint="eastAsia" w:ascii="宋体" w:hAnsi="宋体" w:cs="宋体"/>
                      <w:color w:val="auto"/>
                      <w:sz w:val="21"/>
                      <w:szCs w:val="21"/>
                      <w:lang w:val="en-US" w:eastAsia="zh-CN"/>
                    </w:rPr>
                    <w:t>区域</w:t>
                  </w:r>
                  <w:r>
                    <w:rPr>
                      <w:rFonts w:hint="eastAsia" w:ascii="宋体" w:hAnsi="宋体" w:cs="宋体"/>
                      <w:color w:val="auto"/>
                      <w:sz w:val="21"/>
                      <w:szCs w:val="21"/>
                    </w:rPr>
                    <w:t>应及时修补好</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确保全厂的防渗性能良好</w:t>
                  </w:r>
                  <w:r>
                    <w:rPr>
                      <w:rFonts w:hint="eastAsia" w:ascii="宋体" w:hAnsi="宋体" w:cs="宋体"/>
                      <w:color w:val="auto"/>
                      <w:sz w:val="21"/>
                      <w:szCs w:val="21"/>
                    </w:rPr>
                    <w:t>；</w:t>
                  </w:r>
                </w:p>
                <w:p w14:paraId="0D9F86F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color w:val="auto"/>
                      <w:sz w:val="21"/>
                      <w:szCs w:val="21"/>
                    </w:rPr>
                  </w:pPr>
                  <w:r>
                    <w:rPr>
                      <w:rFonts w:hint="eastAsia" w:ascii="宋体" w:hAnsi="宋体" w:cs="宋体"/>
                      <w:color w:val="auto"/>
                      <w:sz w:val="21"/>
                      <w:szCs w:val="21"/>
                    </w:rPr>
                    <w:t>④加强</w:t>
                  </w:r>
                  <w:r>
                    <w:rPr>
                      <w:rFonts w:hint="eastAsia" w:ascii="宋体" w:hAnsi="宋体" w:cs="宋体"/>
                      <w:color w:val="auto"/>
                      <w:sz w:val="21"/>
                      <w:szCs w:val="21"/>
                      <w:lang w:val="en-US" w:eastAsia="zh-CN"/>
                    </w:rPr>
                    <w:t>废气处理设备</w:t>
                  </w:r>
                  <w:r>
                    <w:rPr>
                      <w:rFonts w:hint="eastAsia" w:ascii="宋体" w:hAnsi="宋体" w:cs="宋体"/>
                      <w:color w:val="auto"/>
                      <w:sz w:val="21"/>
                      <w:szCs w:val="21"/>
                    </w:rPr>
                    <w:t>日常维护保养，避免或减少故障发生，确保设备处于正常的工作状态；</w:t>
                  </w:r>
                </w:p>
                <w:p w14:paraId="11686DD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color w:val="auto"/>
                      <w:sz w:val="21"/>
                      <w:szCs w:val="21"/>
                    </w:rPr>
                  </w:pPr>
                  <w:r>
                    <w:rPr>
                      <w:rFonts w:hint="eastAsia" w:ascii="宋体" w:hAnsi="宋体" w:cs="宋体"/>
                      <w:color w:val="auto"/>
                      <w:sz w:val="21"/>
                      <w:szCs w:val="21"/>
                    </w:rPr>
                    <w:t>⑤</w:t>
                  </w:r>
                  <w:r>
                    <w:rPr>
                      <w:color w:val="auto"/>
                      <w:sz w:val="21"/>
                      <w:szCs w:val="21"/>
                    </w:rPr>
                    <w:t>沥青储罐区设置不低于</w:t>
                  </w:r>
                  <w:r>
                    <w:rPr>
                      <w:rFonts w:hint="eastAsia"/>
                      <w:color w:val="auto"/>
                      <w:sz w:val="21"/>
                      <w:szCs w:val="21"/>
                      <w:lang w:val="en-US" w:eastAsia="zh-CN"/>
                    </w:rPr>
                    <w:t>5</w:t>
                  </w:r>
                  <w:r>
                    <w:rPr>
                      <w:color w:val="auto"/>
                      <w:sz w:val="21"/>
                      <w:szCs w:val="21"/>
                    </w:rPr>
                    <w:t>0cm高的围堰，围堰总容积约为</w:t>
                  </w:r>
                  <w:r>
                    <w:rPr>
                      <w:rFonts w:hint="eastAsia"/>
                      <w:color w:val="auto"/>
                      <w:sz w:val="21"/>
                      <w:szCs w:val="21"/>
                      <w:lang w:val="en-US" w:eastAsia="zh-CN"/>
                    </w:rPr>
                    <w:t>75</w:t>
                  </w:r>
                  <w:r>
                    <w:rPr>
                      <w:color w:val="auto"/>
                      <w:sz w:val="21"/>
                      <w:szCs w:val="21"/>
                    </w:rPr>
                    <w:t>m</w:t>
                  </w:r>
                  <w:r>
                    <w:rPr>
                      <w:color w:val="auto"/>
                      <w:sz w:val="21"/>
                      <w:szCs w:val="21"/>
                      <w:vertAlign w:val="superscript"/>
                    </w:rPr>
                    <w:t>3</w:t>
                  </w:r>
                  <w:r>
                    <w:rPr>
                      <w:color w:val="auto"/>
                      <w:sz w:val="21"/>
                      <w:szCs w:val="21"/>
                    </w:rPr>
                    <w:t>；</w:t>
                  </w:r>
                  <w:r>
                    <w:rPr>
                      <w:rFonts w:hint="eastAsia"/>
                      <w:color w:val="auto"/>
                      <w:sz w:val="21"/>
                      <w:szCs w:val="21"/>
                      <w:lang w:val="en-US" w:eastAsia="zh-CN"/>
                    </w:rPr>
                    <w:t>50t柴</w:t>
                  </w:r>
                  <w:r>
                    <w:rPr>
                      <w:color w:val="auto"/>
                      <w:sz w:val="21"/>
                      <w:szCs w:val="21"/>
                    </w:rPr>
                    <w:t>油储罐区设置50cm高的围堰，围堰容积</w:t>
                  </w:r>
                  <w:r>
                    <w:rPr>
                      <w:rFonts w:hint="eastAsia"/>
                      <w:color w:val="auto"/>
                      <w:sz w:val="21"/>
                      <w:szCs w:val="21"/>
                      <w:lang w:val="en-US" w:eastAsia="zh-CN"/>
                    </w:rPr>
                    <w:t>4</w:t>
                  </w:r>
                  <w:r>
                    <w:rPr>
                      <w:color w:val="auto"/>
                      <w:sz w:val="21"/>
                      <w:szCs w:val="21"/>
                    </w:rPr>
                    <w:t>5m</w:t>
                  </w:r>
                  <w:r>
                    <w:rPr>
                      <w:color w:val="auto"/>
                      <w:sz w:val="21"/>
                      <w:szCs w:val="21"/>
                      <w:vertAlign w:val="superscript"/>
                    </w:rPr>
                    <w:t>3</w:t>
                  </w:r>
                  <w:r>
                    <w:rPr>
                      <w:rFonts w:hint="eastAsia"/>
                      <w:color w:val="auto"/>
                      <w:sz w:val="21"/>
                      <w:szCs w:val="21"/>
                      <w:lang w:eastAsia="zh-CN"/>
                    </w:rPr>
                    <w:t>；</w:t>
                  </w:r>
                  <w:r>
                    <w:rPr>
                      <w:rFonts w:hint="eastAsia"/>
                      <w:color w:val="auto"/>
                      <w:sz w:val="21"/>
                      <w:szCs w:val="21"/>
                      <w:lang w:val="en-US" w:eastAsia="zh-CN"/>
                    </w:rPr>
                    <w:t>10t柴</w:t>
                  </w:r>
                  <w:r>
                    <w:rPr>
                      <w:color w:val="auto"/>
                      <w:sz w:val="21"/>
                      <w:szCs w:val="21"/>
                    </w:rPr>
                    <w:t>油储罐区设置</w:t>
                  </w:r>
                  <w:r>
                    <w:rPr>
                      <w:rFonts w:hint="eastAsia"/>
                      <w:color w:val="auto"/>
                      <w:sz w:val="21"/>
                      <w:szCs w:val="21"/>
                      <w:lang w:val="en-US" w:eastAsia="zh-CN"/>
                    </w:rPr>
                    <w:t>2</w:t>
                  </w:r>
                  <w:r>
                    <w:rPr>
                      <w:color w:val="auto"/>
                      <w:sz w:val="21"/>
                      <w:szCs w:val="21"/>
                    </w:rPr>
                    <w:t>0cm高的围堰，围堰容积</w:t>
                  </w:r>
                  <w:r>
                    <w:rPr>
                      <w:rFonts w:hint="eastAsia"/>
                      <w:color w:val="auto"/>
                      <w:sz w:val="21"/>
                      <w:szCs w:val="21"/>
                      <w:lang w:val="en-US" w:eastAsia="zh-CN"/>
                    </w:rPr>
                    <w:t>10</w:t>
                  </w:r>
                  <w:r>
                    <w:rPr>
                      <w:color w:val="auto"/>
                      <w:sz w:val="21"/>
                      <w:szCs w:val="21"/>
                    </w:rPr>
                    <w:t>m</w:t>
                  </w:r>
                  <w:r>
                    <w:rPr>
                      <w:color w:val="auto"/>
                      <w:sz w:val="21"/>
                      <w:szCs w:val="21"/>
                      <w:vertAlign w:val="superscript"/>
                    </w:rPr>
                    <w:t>3</w:t>
                  </w:r>
                  <w:r>
                    <w:rPr>
                      <w:rFonts w:hint="eastAsia"/>
                      <w:color w:val="auto"/>
                      <w:sz w:val="21"/>
                      <w:szCs w:val="21"/>
                      <w:lang w:eastAsia="zh-CN"/>
                    </w:rPr>
                    <w:t>；</w:t>
                  </w:r>
                  <w:r>
                    <w:rPr>
                      <w:rFonts w:hint="eastAsia" w:ascii="宋体" w:hAnsi="宋体" w:cs="宋体"/>
                      <w:color w:val="auto"/>
                      <w:sz w:val="21"/>
                      <w:szCs w:val="21"/>
                    </w:rPr>
                    <w:t>加强风险防范措施，完善厂区防渗、防雨、防漏措施。</w:t>
                  </w:r>
                </w:p>
                <w:p w14:paraId="25BCB10B">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kern w:val="0"/>
                      <w:sz w:val="21"/>
                      <w:szCs w:val="21"/>
                      <w:lang w:bidi="ar"/>
                    </w:rPr>
                  </w:pPr>
                  <w:r>
                    <w:rPr>
                      <w:rFonts w:hint="eastAsia" w:ascii="宋体" w:hAnsi="宋体" w:cs="宋体"/>
                      <w:color w:val="auto"/>
                      <w:sz w:val="21"/>
                      <w:szCs w:val="21"/>
                    </w:rPr>
                    <w:t>⑥建议</w:t>
                  </w:r>
                  <w:r>
                    <w:rPr>
                      <w:rFonts w:hint="eastAsia" w:ascii="宋体" w:hAnsi="宋体" w:cs="宋体"/>
                      <w:color w:val="auto"/>
                      <w:sz w:val="21"/>
                      <w:szCs w:val="21"/>
                      <w:lang w:val="en-US" w:eastAsia="zh-CN"/>
                    </w:rPr>
                    <w:t>建设单位</w:t>
                  </w:r>
                  <w:r>
                    <w:rPr>
                      <w:rFonts w:ascii="宋体" w:hAnsi="宋体" w:cs="宋体"/>
                      <w:color w:val="auto"/>
                      <w:sz w:val="21"/>
                      <w:szCs w:val="21"/>
                    </w:rPr>
                    <w:t>制订环境风险事故应急预案</w:t>
                  </w:r>
                  <w:r>
                    <w:rPr>
                      <w:rFonts w:hint="eastAsia" w:ascii="宋体" w:hAnsi="宋体" w:cs="宋体"/>
                      <w:color w:val="auto"/>
                      <w:sz w:val="21"/>
                      <w:szCs w:val="21"/>
                      <w:lang w:val="en-US" w:eastAsia="zh-CN"/>
                    </w:rPr>
                    <w:t>并进行备案</w:t>
                  </w:r>
                  <w:r>
                    <w:rPr>
                      <w:rFonts w:ascii="宋体" w:hAnsi="宋体" w:cs="宋体"/>
                      <w:color w:val="auto"/>
                      <w:sz w:val="21"/>
                      <w:szCs w:val="21"/>
                    </w:rPr>
                    <w:t>，配备一系列有效的应急措施和相应的各种设备，使各有关工作人员接受应急事故处理培训，一旦发生事故时，应有条不紊地按应急方案实施，以将事故损失减少至最低限度</w:t>
                  </w:r>
                  <w:r>
                    <w:rPr>
                      <w:rFonts w:hint="eastAsia"/>
                      <w:color w:val="auto"/>
                      <w:sz w:val="21"/>
                      <w:szCs w:val="21"/>
                    </w:rPr>
                    <w:t>。</w:t>
                  </w:r>
                </w:p>
              </w:tc>
            </w:tr>
            <w:tr w14:paraId="7E4D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017F9B6A">
                  <w:pPr>
                    <w:adjustRightInd w:val="0"/>
                    <w:snapToGrid w:val="0"/>
                    <w:spacing w:line="360" w:lineRule="exact"/>
                    <w:ind w:firstLine="0" w:firstLineChars="0"/>
                    <w:rPr>
                      <w:sz w:val="21"/>
                      <w:szCs w:val="21"/>
                    </w:rPr>
                  </w:pPr>
                  <w:r>
                    <w:rPr>
                      <w:sz w:val="21"/>
                      <w:szCs w:val="21"/>
                    </w:rPr>
                    <w:t>填表说明（列出项目相关信息及评价说明）：</w:t>
                  </w:r>
                </w:p>
                <w:p w14:paraId="58856343">
                  <w:pPr>
                    <w:adjustRightInd w:val="0"/>
                    <w:snapToGrid w:val="0"/>
                    <w:spacing w:line="360" w:lineRule="exact"/>
                    <w:ind w:firstLine="0" w:firstLineChars="0"/>
                    <w:rPr>
                      <w:sz w:val="21"/>
                      <w:szCs w:val="21"/>
                      <w:highlight w:val="yellow"/>
                    </w:rPr>
                  </w:pPr>
                  <w:r>
                    <w:rPr>
                      <w:sz w:val="21"/>
                      <w:szCs w:val="21"/>
                    </w:rPr>
                    <w:t>本项目Q＜1，直接判别本项目的环境风险潜势为Ⅰ级，进行简单分析。只要建设单位及时落实本表中提出的风险防范措施要求，本项目的环境风险可控。</w:t>
                  </w:r>
                </w:p>
              </w:tc>
            </w:tr>
          </w:tbl>
          <w:p w14:paraId="7BB92E41">
            <w:pPr>
              <w:pStyle w:val="2"/>
              <w:jc w:val="center"/>
              <w:rPr>
                <w:rFonts w:hint="eastAsia"/>
                <w:vertAlign w:val="baseline"/>
              </w:rPr>
            </w:pPr>
          </w:p>
        </w:tc>
      </w:tr>
    </w:tbl>
    <w:p w14:paraId="61EE4F5E">
      <w:pPr>
        <w:pStyle w:val="2"/>
        <w:jc w:val="center"/>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C3E6699">
      <w:pPr>
        <w:pStyle w:val="2"/>
        <w:jc w:val="center"/>
        <w:rPr>
          <w:rFonts w:hint="eastAsia" w:eastAsia="宋体"/>
          <w:lang w:eastAsia="zh-CN"/>
        </w:rPr>
      </w:pPr>
      <w:bookmarkStart w:id="18" w:name="_Toc18391"/>
      <w:r>
        <w:rPr>
          <w:rFonts w:hint="eastAsia"/>
        </w:rPr>
        <w:t>五、</w:t>
      </w:r>
      <w:r>
        <w:rPr>
          <w:rFonts w:hint="eastAsia"/>
          <w:lang w:eastAsia="zh-CN"/>
        </w:rPr>
        <w:t>环境保护措施监督检查清单</w:t>
      </w:r>
      <w:bookmarkEnd w:id="18"/>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7"/>
        <w:gridCol w:w="375"/>
        <w:gridCol w:w="1440"/>
        <w:gridCol w:w="1425"/>
        <w:gridCol w:w="2412"/>
        <w:gridCol w:w="1853"/>
      </w:tblGrid>
      <w:tr w14:paraId="693912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trPr>
        <w:tc>
          <w:tcPr>
            <w:tcW w:w="1017" w:type="dxa"/>
            <w:noWrap w:val="0"/>
            <w:vAlign w:val="center"/>
            <mc:AlternateContent>
              <mc:Choice Requires="wpsCustomData">
                <wpsCustomData:diagonals>
                  <wpsCustomData:diagonal from="10000" to="30000">
                    <wpsCustomData:border w:val="single" w:color="auto" w:sz="6" w:space="0"/>
                  </wpsCustomData:diagonal>
                </wpsCustomData:diagonals>
              </mc:Choice>
            </mc:AlternateContent>
          </w:tcPr>
          <w:p w14:paraId="1D807ACF">
            <w:pPr>
              <w:pStyle w:val="5"/>
              <w:snapToGrid w:val="0"/>
              <w:rPr>
                <w:rFonts w:hint="eastAsia"/>
                <w:b/>
                <w:bCs/>
                <w:sz w:val="24"/>
                <w:szCs w:val="24"/>
                <w:lang w:eastAsia="zh-CN"/>
              </w:rPr>
            </w:pPr>
          </w:p>
          <w:p w14:paraId="51F7BA04">
            <w:pPr>
              <w:pStyle w:val="5"/>
              <w:snapToGrid w:val="0"/>
              <mc:AlternateContent>
                <mc:Choice Requires="wpsCustomData">
                  <wpsCustomData:diagonalParaType/>
                </mc:Choice>
              </mc:AlternateContent>
              <w:rPr>
                <w:rFonts w:hint="eastAsia"/>
                <w:b/>
                <w:bCs/>
                <w:lang w:eastAsia="zh-CN"/>
              </w:rPr>
            </w:pPr>
            <w:r>
              <w:rPr>
                <w:rFonts w:hint="eastAsia"/>
                <w:b/>
                <w:bCs/>
                <w:sz w:val="24"/>
                <w:szCs w:val="24"/>
                <w:lang w:eastAsia="zh-CN"/>
              </w:rPr>
              <w:t>要素</w:t>
            </w:r>
          </w:p>
          <w:p w14:paraId="428B0780">
            <w:pPr>
              <w:ind w:firstLine="0" w:firstLineChars="0"/>
              <w:jc w:val="right"/>
              <w:rPr>
                <w:rFonts w:hint="eastAsia"/>
                <w:b/>
                <w:bCs/>
                <w:lang w:eastAsia="zh-CN"/>
              </w:rPr>
            </w:pPr>
            <w:r>
              <w:rPr>
                <w:rFonts w:hint="eastAsia"/>
                <w:b/>
                <w:bCs/>
                <w:lang w:eastAsia="zh-CN"/>
              </w:rPr>
              <w:t>内容</w:t>
            </w:r>
          </w:p>
          <w:p w14:paraId="01C90DCC">
            <w:pPr>
              <w:pStyle w:val="5"/>
              <w:rPr>
                <w:rFonts w:hint="eastAsia"/>
                <w:b/>
                <w:bCs/>
                <w:lang w:eastAsia="zh-CN"/>
              </w:rPr>
            </w:pPr>
          </w:p>
        </w:tc>
        <w:tc>
          <w:tcPr>
            <w:tcW w:w="1815" w:type="dxa"/>
            <w:gridSpan w:val="2"/>
            <w:noWrap w:val="0"/>
            <w:vAlign w:val="center"/>
          </w:tcPr>
          <w:p w14:paraId="3BC9DC43">
            <w:pPr>
              <w:ind w:firstLine="0" w:firstLineChars="0"/>
              <w:jc w:val="center"/>
              <w:rPr>
                <w:rFonts w:hint="default" w:eastAsia="宋体"/>
                <w:b/>
                <w:bCs/>
                <w:szCs w:val="24"/>
                <w:lang w:val="en-US" w:eastAsia="zh-CN"/>
              </w:rPr>
            </w:pPr>
            <w:r>
              <w:rPr>
                <w:rFonts w:hint="eastAsia"/>
                <w:b/>
                <w:bCs/>
                <w:szCs w:val="24"/>
                <w:lang w:eastAsia="zh-CN"/>
              </w:rPr>
              <w:t>排放口（编号、名称）</w:t>
            </w:r>
            <w:r>
              <w:rPr>
                <w:rFonts w:hint="eastAsia"/>
                <w:b/>
                <w:bCs/>
                <w:szCs w:val="24"/>
                <w:lang w:val="en-US" w:eastAsia="zh-CN"/>
              </w:rPr>
              <w:t>/污染源</w:t>
            </w:r>
          </w:p>
        </w:tc>
        <w:tc>
          <w:tcPr>
            <w:tcW w:w="1425" w:type="dxa"/>
            <w:noWrap w:val="0"/>
            <w:vAlign w:val="center"/>
          </w:tcPr>
          <w:p w14:paraId="1368369E">
            <w:pPr>
              <w:ind w:firstLine="0" w:firstLineChars="0"/>
              <w:jc w:val="center"/>
              <w:rPr>
                <w:rFonts w:hint="eastAsia"/>
                <w:b/>
                <w:bCs/>
                <w:szCs w:val="24"/>
                <w:lang w:eastAsia="zh-CN"/>
              </w:rPr>
            </w:pPr>
            <w:r>
              <w:rPr>
                <w:rFonts w:hint="eastAsia"/>
                <w:b/>
                <w:bCs/>
                <w:szCs w:val="24"/>
                <w:lang w:eastAsia="zh-CN"/>
              </w:rPr>
              <w:t>污染物项目</w:t>
            </w:r>
          </w:p>
        </w:tc>
        <w:tc>
          <w:tcPr>
            <w:tcW w:w="2412" w:type="dxa"/>
            <w:noWrap w:val="0"/>
            <w:vAlign w:val="center"/>
          </w:tcPr>
          <w:p w14:paraId="71ED00EE">
            <w:pPr>
              <w:ind w:firstLine="0" w:firstLineChars="0"/>
              <w:jc w:val="center"/>
              <w:rPr>
                <w:rFonts w:hint="eastAsia"/>
                <w:b/>
                <w:bCs/>
                <w:szCs w:val="24"/>
                <w:lang w:eastAsia="zh-CN"/>
              </w:rPr>
            </w:pPr>
            <w:r>
              <w:rPr>
                <w:rFonts w:hint="eastAsia"/>
                <w:b/>
                <w:bCs/>
                <w:szCs w:val="24"/>
                <w:lang w:eastAsia="zh-CN"/>
              </w:rPr>
              <w:t>环境保护措施</w:t>
            </w:r>
          </w:p>
        </w:tc>
        <w:tc>
          <w:tcPr>
            <w:tcW w:w="1853" w:type="dxa"/>
            <w:noWrap w:val="0"/>
            <w:vAlign w:val="center"/>
          </w:tcPr>
          <w:p w14:paraId="65D399AE">
            <w:pPr>
              <w:ind w:firstLine="0" w:firstLineChars="0"/>
              <w:jc w:val="center"/>
              <w:rPr>
                <w:rFonts w:hint="eastAsia"/>
                <w:b/>
                <w:bCs/>
                <w:szCs w:val="24"/>
                <w:lang w:eastAsia="zh-CN"/>
              </w:rPr>
            </w:pPr>
            <w:r>
              <w:rPr>
                <w:rFonts w:hint="eastAsia"/>
                <w:b/>
                <w:bCs/>
                <w:szCs w:val="24"/>
                <w:lang w:eastAsia="zh-CN"/>
              </w:rPr>
              <w:t>执行标准</w:t>
            </w:r>
          </w:p>
        </w:tc>
      </w:tr>
      <w:tr w14:paraId="20F38F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restart"/>
            <w:noWrap w:val="0"/>
            <w:vAlign w:val="center"/>
          </w:tcPr>
          <w:p w14:paraId="4B18FF89">
            <w:pPr>
              <w:ind w:firstLine="0" w:firstLineChars="0"/>
              <w:jc w:val="center"/>
              <w:rPr>
                <w:rFonts w:hint="eastAsia" w:eastAsia="宋体"/>
                <w:szCs w:val="24"/>
                <w:lang w:eastAsia="zh-CN"/>
              </w:rPr>
            </w:pPr>
            <w:r>
              <w:rPr>
                <w:rFonts w:hint="eastAsia"/>
                <w:szCs w:val="24"/>
                <w:lang w:eastAsia="zh-CN"/>
              </w:rPr>
              <w:t>大气环境</w:t>
            </w:r>
          </w:p>
        </w:tc>
        <w:tc>
          <w:tcPr>
            <w:tcW w:w="375" w:type="dxa"/>
            <w:vMerge w:val="restart"/>
            <w:tcBorders>
              <w:right w:val="single" w:color="auto" w:sz="4" w:space="0"/>
            </w:tcBorders>
            <w:noWrap w:val="0"/>
            <w:vAlign w:val="center"/>
          </w:tcPr>
          <w:p w14:paraId="617A44E4">
            <w:pPr>
              <w:ind w:firstLine="0" w:firstLineChars="0"/>
              <w:rPr>
                <w:rFonts w:hint="eastAsia" w:eastAsia="宋体"/>
                <w:szCs w:val="24"/>
                <w:lang w:val="en-US" w:eastAsia="zh-CN"/>
              </w:rPr>
            </w:pPr>
            <w:r>
              <w:rPr>
                <w:rFonts w:hint="eastAsia"/>
                <w:szCs w:val="24"/>
                <w:lang w:val="en-US" w:eastAsia="zh-CN"/>
              </w:rPr>
              <w:t>有组织</w:t>
            </w:r>
          </w:p>
        </w:tc>
        <w:tc>
          <w:tcPr>
            <w:tcW w:w="1440" w:type="dxa"/>
            <w:tcBorders>
              <w:left w:val="single" w:color="auto" w:sz="4" w:space="0"/>
            </w:tcBorders>
            <w:noWrap w:val="0"/>
            <w:vAlign w:val="center"/>
          </w:tcPr>
          <w:p w14:paraId="041A39AE">
            <w:pPr>
              <w:snapToGrid w:val="0"/>
              <w:spacing w:line="240" w:lineRule="auto"/>
              <w:ind w:firstLine="0" w:firstLineChars="0"/>
              <w:jc w:val="center"/>
              <w:rPr>
                <w:rFonts w:hint="default"/>
                <w:szCs w:val="24"/>
                <w:lang w:val="en-US"/>
              </w:rPr>
            </w:pPr>
            <w:r>
              <w:rPr>
                <w:rFonts w:hint="default" w:ascii="Times New Roman" w:hAnsi="Times New Roman" w:eastAsia="宋体" w:cs="Times New Roman"/>
                <w:bCs/>
                <w:color w:val="auto"/>
                <w:sz w:val="21"/>
                <w:szCs w:val="21"/>
                <w:lang w:val="en-US" w:eastAsia="zh-CN"/>
              </w:rPr>
              <w:t>DA001</w:t>
            </w:r>
            <w:r>
              <w:rPr>
                <w:rFonts w:hint="eastAsia" w:cs="Times New Roman"/>
                <w:bCs/>
                <w:color w:val="auto"/>
                <w:sz w:val="21"/>
                <w:szCs w:val="21"/>
                <w:highlight w:val="none"/>
                <w:lang w:val="en-US" w:eastAsia="zh-CN"/>
              </w:rPr>
              <w:t>上料扬尘、烘干滚筒燃烧废气、烘干滚筒石料滚动扬尘、筛分扬尘</w:t>
            </w:r>
          </w:p>
        </w:tc>
        <w:tc>
          <w:tcPr>
            <w:tcW w:w="1425" w:type="dxa"/>
            <w:noWrap w:val="0"/>
            <w:vAlign w:val="center"/>
          </w:tcPr>
          <w:p w14:paraId="63F95650">
            <w:pPr>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颗粒物、二氧化硫、氮氧化物</w:t>
            </w:r>
          </w:p>
        </w:tc>
        <w:tc>
          <w:tcPr>
            <w:tcW w:w="2412" w:type="dxa"/>
            <w:noWrap w:val="0"/>
            <w:vAlign w:val="center"/>
          </w:tcPr>
          <w:p w14:paraId="7F96A2C7">
            <w:pPr>
              <w:snapToGrid w:val="0"/>
              <w:spacing w:line="240" w:lineRule="auto"/>
              <w:ind w:firstLine="0" w:firstLineChars="0"/>
              <w:jc w:val="left"/>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收集进入旋风除尘器处理再经过布袋除尘器处理后通过1根15m高排气筒</w:t>
            </w:r>
            <w:r>
              <w:rPr>
                <w:rFonts w:hint="eastAsia" w:cs="Times New Roman"/>
                <w:bCs/>
                <w:color w:val="auto"/>
                <w:sz w:val="21"/>
                <w:szCs w:val="21"/>
                <w:lang w:val="en-US" w:eastAsia="zh-CN"/>
              </w:rPr>
              <w:t>（DA001）</w:t>
            </w:r>
            <w:r>
              <w:rPr>
                <w:rFonts w:hint="eastAsia" w:ascii="Times New Roman" w:hAnsi="Times New Roman" w:eastAsia="宋体" w:cs="Times New Roman"/>
                <w:bCs/>
                <w:color w:val="auto"/>
                <w:sz w:val="21"/>
                <w:szCs w:val="21"/>
                <w:lang w:val="en-US" w:eastAsia="zh-CN"/>
              </w:rPr>
              <w:t>排放（直径0.</w:t>
            </w:r>
            <w:r>
              <w:rPr>
                <w:rFonts w:hint="eastAsia" w:cs="Times New Roman"/>
                <w:bCs/>
                <w:color w:val="auto"/>
                <w:sz w:val="21"/>
                <w:szCs w:val="21"/>
                <w:lang w:val="en-US" w:eastAsia="zh-CN"/>
              </w:rPr>
              <w:t>5</w:t>
            </w:r>
            <w:r>
              <w:rPr>
                <w:rFonts w:hint="eastAsia" w:ascii="Times New Roman" w:hAnsi="Times New Roman" w:eastAsia="宋体" w:cs="Times New Roman"/>
                <w:bCs/>
                <w:color w:val="auto"/>
                <w:sz w:val="21"/>
                <w:szCs w:val="21"/>
                <w:lang w:val="en-US" w:eastAsia="zh-CN"/>
              </w:rPr>
              <w:t>m）</w:t>
            </w:r>
            <w:r>
              <w:rPr>
                <w:rFonts w:hint="eastAsia" w:cs="Times New Roman"/>
                <w:bCs/>
                <w:color w:val="auto"/>
                <w:sz w:val="21"/>
                <w:szCs w:val="21"/>
                <w:lang w:val="en-US" w:eastAsia="zh-CN"/>
              </w:rPr>
              <w:t>。</w:t>
            </w:r>
          </w:p>
        </w:tc>
        <w:tc>
          <w:tcPr>
            <w:tcW w:w="1853" w:type="dxa"/>
            <w:noWrap w:val="0"/>
            <w:vAlign w:val="center"/>
          </w:tcPr>
          <w:p w14:paraId="4F83863F">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《大气污染物综合排放标准》（GB16297-1996）表2规定新污染物源大气污染物排放限值</w:t>
            </w:r>
          </w:p>
        </w:tc>
      </w:tr>
      <w:tr w14:paraId="17FA8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546DE71A">
            <w:pPr>
              <w:ind w:firstLine="0" w:firstLineChars="0"/>
              <w:rPr>
                <w:rFonts w:hint="eastAsia" w:eastAsia="宋体"/>
                <w:szCs w:val="24"/>
                <w:lang w:eastAsia="zh-CN"/>
              </w:rPr>
            </w:pPr>
          </w:p>
        </w:tc>
        <w:tc>
          <w:tcPr>
            <w:tcW w:w="375" w:type="dxa"/>
            <w:vMerge w:val="continue"/>
            <w:tcBorders>
              <w:right w:val="single" w:color="auto" w:sz="4" w:space="0"/>
            </w:tcBorders>
            <w:noWrap w:val="0"/>
            <w:vAlign w:val="center"/>
          </w:tcPr>
          <w:p w14:paraId="6AC4E957">
            <w:pPr>
              <w:ind w:firstLine="0" w:firstLineChars="0"/>
              <w:rPr>
                <w:szCs w:val="24"/>
              </w:rPr>
            </w:pPr>
          </w:p>
        </w:tc>
        <w:tc>
          <w:tcPr>
            <w:tcW w:w="1440" w:type="dxa"/>
            <w:tcBorders>
              <w:left w:val="single" w:color="auto" w:sz="4" w:space="0"/>
            </w:tcBorders>
            <w:noWrap w:val="0"/>
            <w:vAlign w:val="center"/>
          </w:tcPr>
          <w:p w14:paraId="4CD38734">
            <w:pPr>
              <w:snapToGrid w:val="0"/>
              <w:spacing w:line="240" w:lineRule="auto"/>
              <w:ind w:firstLine="0" w:firstLineChars="0"/>
              <w:jc w:val="center"/>
              <w:rPr>
                <w:color w:val="auto"/>
                <w:szCs w:val="24"/>
              </w:rPr>
            </w:pPr>
            <w:r>
              <w:rPr>
                <w:rFonts w:hint="default" w:ascii="Times New Roman" w:hAnsi="Times New Roman" w:eastAsia="宋体" w:cs="Times New Roman"/>
                <w:bCs/>
                <w:color w:val="auto"/>
                <w:sz w:val="21"/>
                <w:szCs w:val="21"/>
                <w:lang w:val="en-US" w:eastAsia="zh-CN"/>
              </w:rPr>
              <w:t>DA002</w:t>
            </w:r>
            <w:r>
              <w:rPr>
                <w:rFonts w:hint="eastAsia" w:ascii="Times New Roman" w:hAnsi="Times New Roman" w:eastAsia="宋体" w:cs="Times New Roman"/>
                <w:color w:val="auto"/>
                <w:sz w:val="21"/>
                <w:szCs w:val="21"/>
                <w:highlight w:val="none"/>
                <w:lang w:val="en-US" w:eastAsia="zh-CN"/>
              </w:rPr>
              <w:t>有机热载体炉</w:t>
            </w:r>
            <w:r>
              <w:rPr>
                <w:rFonts w:hint="eastAsia" w:cs="Times New Roman"/>
                <w:color w:val="auto"/>
                <w:sz w:val="21"/>
                <w:szCs w:val="21"/>
                <w:highlight w:val="none"/>
                <w:lang w:val="en-US" w:eastAsia="zh-CN"/>
              </w:rPr>
              <w:t>废气</w:t>
            </w:r>
          </w:p>
        </w:tc>
        <w:tc>
          <w:tcPr>
            <w:tcW w:w="1425" w:type="dxa"/>
            <w:noWrap w:val="0"/>
            <w:vAlign w:val="center"/>
          </w:tcPr>
          <w:p w14:paraId="75D4035A">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颗粒物、二氧化硫、氮氧化物、林格曼黑度</w:t>
            </w:r>
          </w:p>
        </w:tc>
        <w:tc>
          <w:tcPr>
            <w:tcW w:w="2412" w:type="dxa"/>
            <w:noWrap w:val="0"/>
            <w:vAlign w:val="center"/>
          </w:tcPr>
          <w:p w14:paraId="23543B92">
            <w:pPr>
              <w:snapToGrid w:val="0"/>
              <w:spacing w:line="240" w:lineRule="auto"/>
              <w:ind w:firstLine="0" w:firstLineChars="0"/>
              <w:jc w:val="left"/>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r>
              <w:rPr>
                <w:rFonts w:hint="eastAsia" w:cs="Times New Roman"/>
                <w:bCs/>
                <w:color w:val="auto"/>
                <w:sz w:val="21"/>
                <w:szCs w:val="21"/>
                <w:lang w:val="en-US" w:eastAsia="zh-CN"/>
              </w:rPr>
              <w:t>根8</w:t>
            </w:r>
            <w:r>
              <w:rPr>
                <w:rFonts w:hint="eastAsia" w:ascii="Times New Roman" w:hAnsi="Times New Roman" w:eastAsia="宋体" w:cs="Times New Roman"/>
                <w:bCs/>
                <w:color w:val="auto"/>
                <w:sz w:val="21"/>
                <w:szCs w:val="21"/>
                <w:lang w:val="en-US" w:eastAsia="zh-CN"/>
              </w:rPr>
              <w:t>m高排气筒</w:t>
            </w:r>
            <w:r>
              <w:rPr>
                <w:rFonts w:hint="eastAsia" w:cs="Times New Roman"/>
                <w:bCs/>
                <w:color w:val="auto"/>
                <w:sz w:val="21"/>
                <w:szCs w:val="21"/>
                <w:lang w:val="en-US" w:eastAsia="zh-CN"/>
              </w:rPr>
              <w:t>（DA002）</w:t>
            </w:r>
            <w:r>
              <w:rPr>
                <w:rFonts w:hint="eastAsia" w:ascii="Times New Roman" w:hAnsi="Times New Roman" w:eastAsia="宋体" w:cs="Times New Roman"/>
                <w:bCs/>
                <w:color w:val="auto"/>
                <w:sz w:val="21"/>
                <w:szCs w:val="21"/>
                <w:lang w:val="en-US" w:eastAsia="zh-CN"/>
              </w:rPr>
              <w:t>排放（直径0.2m）</w:t>
            </w:r>
            <w:r>
              <w:rPr>
                <w:rFonts w:hint="eastAsia" w:cs="Times New Roman"/>
                <w:bCs/>
                <w:color w:val="auto"/>
                <w:sz w:val="21"/>
                <w:szCs w:val="21"/>
                <w:lang w:val="en-US" w:eastAsia="zh-CN"/>
              </w:rPr>
              <w:t>。</w:t>
            </w:r>
          </w:p>
        </w:tc>
        <w:tc>
          <w:tcPr>
            <w:tcW w:w="1853" w:type="dxa"/>
            <w:noWrap w:val="0"/>
            <w:vAlign w:val="center"/>
          </w:tcPr>
          <w:p w14:paraId="36A9C28B">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《锅炉大气污染物排放标准》（GB13271-2014）中表2 大气污染物排放限值中的燃油锅炉浓度限值</w:t>
            </w:r>
          </w:p>
        </w:tc>
      </w:tr>
      <w:tr w14:paraId="3EA13B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537207F8">
            <w:pPr>
              <w:ind w:firstLine="0" w:firstLineChars="0"/>
              <w:rPr>
                <w:rFonts w:hint="eastAsia" w:eastAsia="宋体"/>
                <w:szCs w:val="24"/>
                <w:lang w:eastAsia="zh-CN"/>
              </w:rPr>
            </w:pPr>
          </w:p>
        </w:tc>
        <w:tc>
          <w:tcPr>
            <w:tcW w:w="375" w:type="dxa"/>
            <w:vMerge w:val="continue"/>
            <w:tcBorders>
              <w:right w:val="single" w:color="auto" w:sz="4" w:space="0"/>
            </w:tcBorders>
            <w:noWrap w:val="0"/>
            <w:vAlign w:val="center"/>
          </w:tcPr>
          <w:p w14:paraId="61698297">
            <w:pPr>
              <w:ind w:firstLine="0" w:firstLineChars="0"/>
              <w:rPr>
                <w:szCs w:val="24"/>
              </w:rPr>
            </w:pPr>
          </w:p>
        </w:tc>
        <w:tc>
          <w:tcPr>
            <w:tcW w:w="1440" w:type="dxa"/>
            <w:tcBorders>
              <w:left w:val="single" w:color="auto" w:sz="4" w:space="0"/>
            </w:tcBorders>
            <w:noWrap w:val="0"/>
            <w:vAlign w:val="center"/>
          </w:tcPr>
          <w:p w14:paraId="5BB48A25">
            <w:pPr>
              <w:snapToGrid w:val="0"/>
              <w:spacing w:line="240" w:lineRule="auto"/>
              <w:ind w:firstLine="0" w:firstLineChars="0"/>
              <w:rPr>
                <w:color w:val="auto"/>
                <w:szCs w:val="24"/>
              </w:rPr>
            </w:pPr>
            <w:r>
              <w:rPr>
                <w:rFonts w:hint="eastAsia" w:ascii="Times New Roman" w:hAnsi="Times New Roman" w:eastAsia="宋体" w:cs="Times New Roman"/>
                <w:bCs/>
                <w:color w:val="auto"/>
                <w:sz w:val="21"/>
                <w:szCs w:val="21"/>
                <w:lang w:val="en-US" w:eastAsia="zh-CN"/>
              </w:rPr>
              <w:t>DA003</w:t>
            </w:r>
            <w:r>
              <w:rPr>
                <w:rFonts w:hint="eastAsia" w:ascii="Times New Roman" w:hAnsi="Times New Roman" w:eastAsia="宋体" w:cs="Times New Roman"/>
                <w:color w:val="auto"/>
                <w:sz w:val="21"/>
                <w:szCs w:val="21"/>
                <w:highlight w:val="none"/>
                <w:lang w:val="en-US" w:eastAsia="zh-CN"/>
              </w:rPr>
              <w:t>沥青加热、搅拌</w:t>
            </w:r>
            <w:r>
              <w:rPr>
                <w:rFonts w:hint="eastAsia" w:cs="Times New Roman"/>
                <w:color w:val="auto"/>
                <w:sz w:val="21"/>
                <w:szCs w:val="21"/>
                <w:highlight w:val="none"/>
                <w:lang w:val="en-US" w:eastAsia="zh-CN"/>
              </w:rPr>
              <w:t>和</w:t>
            </w:r>
            <w:r>
              <w:rPr>
                <w:rFonts w:hint="eastAsia" w:ascii="Times New Roman" w:hAnsi="Times New Roman" w:eastAsia="宋体" w:cs="Times New Roman"/>
                <w:color w:val="auto"/>
                <w:sz w:val="21"/>
                <w:szCs w:val="21"/>
                <w:highlight w:val="none"/>
                <w:lang w:val="en-US" w:eastAsia="zh-CN"/>
              </w:rPr>
              <w:t>出料</w:t>
            </w:r>
            <w:r>
              <w:rPr>
                <w:rFonts w:hint="eastAsia" w:cs="Times New Roman"/>
                <w:color w:val="auto"/>
                <w:sz w:val="21"/>
                <w:szCs w:val="21"/>
                <w:highlight w:val="none"/>
                <w:lang w:val="en-US" w:eastAsia="zh-CN"/>
              </w:rPr>
              <w:t>逸散</w:t>
            </w:r>
            <w:r>
              <w:rPr>
                <w:rFonts w:hint="eastAsia" w:ascii="Times New Roman" w:hAnsi="Times New Roman" w:eastAsia="宋体" w:cs="Times New Roman"/>
                <w:color w:val="auto"/>
                <w:sz w:val="21"/>
                <w:szCs w:val="21"/>
                <w:highlight w:val="none"/>
                <w:lang w:val="en-US" w:eastAsia="zh-CN"/>
              </w:rPr>
              <w:t>废气</w:t>
            </w:r>
          </w:p>
        </w:tc>
        <w:tc>
          <w:tcPr>
            <w:tcW w:w="1425" w:type="dxa"/>
            <w:shd w:val="clear" w:color="auto" w:fill="auto"/>
            <w:noWrap w:val="0"/>
            <w:vAlign w:val="center"/>
          </w:tcPr>
          <w:p w14:paraId="1AAF3CC1">
            <w:pPr>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沥青烟、</w:t>
            </w:r>
            <w:r>
              <w:rPr>
                <w:rFonts w:hint="default" w:ascii="Times New Roman" w:hAnsi="Times New Roman" w:eastAsia="宋体" w:cs="Times New Roman"/>
                <w:bCs/>
                <w:color w:val="auto"/>
                <w:sz w:val="21"/>
                <w:szCs w:val="21"/>
                <w:lang w:val="en-US" w:eastAsia="zh-CN"/>
              </w:rPr>
              <w:t>苯并[a]芘</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非甲烷总烃</w:t>
            </w:r>
            <w:r>
              <w:rPr>
                <w:rFonts w:hint="eastAsia" w:ascii="Times New Roman" w:hAnsi="Times New Roman" w:eastAsia="宋体" w:cs="Times New Roman"/>
                <w:bCs/>
                <w:color w:val="auto"/>
                <w:sz w:val="21"/>
                <w:szCs w:val="21"/>
                <w:lang w:val="en-US" w:eastAsia="zh-CN"/>
              </w:rPr>
              <w:t>、颗粒物</w:t>
            </w:r>
          </w:p>
        </w:tc>
        <w:tc>
          <w:tcPr>
            <w:tcW w:w="2412" w:type="dxa"/>
            <w:noWrap w:val="0"/>
            <w:vAlign w:val="center"/>
          </w:tcPr>
          <w:p w14:paraId="40A3120B">
            <w:pPr>
              <w:snapToGrid w:val="0"/>
              <w:spacing w:line="240" w:lineRule="auto"/>
              <w:ind w:firstLine="0" w:firstLineChars="0"/>
              <w:jc w:val="left"/>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r>
              <w:rPr>
                <w:rFonts w:hint="eastAsia" w:cs="Times New Roman"/>
                <w:bCs/>
                <w:color w:val="auto"/>
                <w:sz w:val="21"/>
                <w:szCs w:val="21"/>
                <w:lang w:val="en-US" w:eastAsia="zh-CN"/>
              </w:rPr>
              <w:t>电捕焦油器+</w:t>
            </w:r>
            <w:r>
              <w:rPr>
                <w:rFonts w:hint="eastAsia" w:ascii="Times New Roman" w:hAnsi="Times New Roman" w:eastAsia="宋体" w:cs="Times New Roman"/>
                <w:bCs/>
                <w:color w:val="auto"/>
                <w:sz w:val="21"/>
                <w:szCs w:val="21"/>
                <w:lang w:val="en-US" w:eastAsia="zh-CN"/>
              </w:rPr>
              <w:t>活性炭吸附”</w:t>
            </w:r>
            <w:r>
              <w:rPr>
                <w:rFonts w:hint="eastAsia" w:ascii="Times New Roman" w:hAnsi="Times New Roman" w:eastAsia="宋体" w:cs="Times New Roman"/>
                <w:bCs/>
                <w:color w:val="auto"/>
                <w:sz w:val="21"/>
                <w:szCs w:val="21"/>
                <w:lang w:val="zh-CN" w:eastAsia="zh-CN"/>
              </w:rPr>
              <w:t>装置</w:t>
            </w:r>
            <w:r>
              <w:rPr>
                <w:rFonts w:hint="eastAsia" w:ascii="Times New Roman" w:hAnsi="Times New Roman" w:eastAsia="宋体" w:cs="Times New Roman"/>
                <w:bCs/>
                <w:color w:val="auto"/>
                <w:sz w:val="21"/>
                <w:szCs w:val="21"/>
                <w:lang w:val="en-US" w:eastAsia="zh-CN"/>
              </w:rPr>
              <w:t>处理后由1根15m排气筒</w:t>
            </w:r>
            <w:r>
              <w:rPr>
                <w:rFonts w:hint="eastAsia" w:cs="Times New Roman"/>
                <w:bCs/>
                <w:color w:val="auto"/>
                <w:sz w:val="21"/>
                <w:szCs w:val="21"/>
                <w:lang w:val="en-US" w:eastAsia="zh-CN"/>
              </w:rPr>
              <w:t>（DA002）</w:t>
            </w:r>
            <w:r>
              <w:rPr>
                <w:rFonts w:hint="eastAsia" w:ascii="Times New Roman" w:hAnsi="Times New Roman" w:eastAsia="宋体" w:cs="Times New Roman"/>
                <w:bCs/>
                <w:color w:val="auto"/>
                <w:sz w:val="21"/>
                <w:szCs w:val="21"/>
                <w:lang w:val="en-US" w:eastAsia="zh-CN"/>
              </w:rPr>
              <w:t>排放（直径0.2m）</w:t>
            </w:r>
            <w:r>
              <w:rPr>
                <w:rFonts w:hint="eastAsia" w:cs="Times New Roman"/>
                <w:bCs/>
                <w:color w:val="auto"/>
                <w:sz w:val="21"/>
                <w:szCs w:val="21"/>
                <w:lang w:val="en-US" w:eastAsia="zh-CN"/>
              </w:rPr>
              <w:t>。</w:t>
            </w:r>
          </w:p>
        </w:tc>
        <w:tc>
          <w:tcPr>
            <w:tcW w:w="1853" w:type="dxa"/>
            <w:shd w:val="clear" w:color="auto" w:fill="auto"/>
            <w:noWrap w:val="0"/>
            <w:vAlign w:val="center"/>
          </w:tcPr>
          <w:p w14:paraId="362BF35E">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《大气污染物综合排放标准》（GB16297-1996）表2规定新污染物源大气污染物排放限值</w:t>
            </w:r>
          </w:p>
        </w:tc>
      </w:tr>
      <w:tr w14:paraId="13567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17" w:type="dxa"/>
            <w:vMerge w:val="continue"/>
            <w:noWrap w:val="0"/>
            <w:vAlign w:val="center"/>
          </w:tcPr>
          <w:p w14:paraId="3959A03F">
            <w:pPr>
              <w:ind w:firstLine="0" w:firstLineChars="0"/>
              <w:rPr>
                <w:rFonts w:hint="eastAsia" w:eastAsia="宋体"/>
                <w:szCs w:val="24"/>
                <w:lang w:eastAsia="zh-CN"/>
              </w:rPr>
            </w:pPr>
          </w:p>
        </w:tc>
        <w:tc>
          <w:tcPr>
            <w:tcW w:w="375" w:type="dxa"/>
            <w:vMerge w:val="restart"/>
            <w:tcBorders>
              <w:right w:val="single" w:color="auto" w:sz="4" w:space="0"/>
            </w:tcBorders>
            <w:noWrap w:val="0"/>
            <w:vAlign w:val="center"/>
          </w:tcPr>
          <w:p w14:paraId="6995143D">
            <w:pPr>
              <w:ind w:firstLine="0" w:firstLineChars="0"/>
              <w:rPr>
                <w:rFonts w:hint="eastAsia" w:eastAsia="宋体"/>
                <w:szCs w:val="24"/>
                <w:lang w:val="en-US" w:eastAsia="zh-CN"/>
              </w:rPr>
            </w:pPr>
            <w:r>
              <w:rPr>
                <w:rFonts w:hint="eastAsia"/>
                <w:szCs w:val="24"/>
                <w:lang w:val="en-US" w:eastAsia="zh-CN"/>
              </w:rPr>
              <w:t>无组织</w:t>
            </w:r>
          </w:p>
        </w:tc>
        <w:tc>
          <w:tcPr>
            <w:tcW w:w="1440" w:type="dxa"/>
            <w:tcBorders>
              <w:left w:val="single" w:color="auto" w:sz="4" w:space="0"/>
            </w:tcBorders>
            <w:shd w:val="clear" w:color="auto" w:fill="auto"/>
            <w:noWrap w:val="0"/>
            <w:vAlign w:val="center"/>
          </w:tcPr>
          <w:p w14:paraId="17FD6E5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砂石料</w:t>
            </w:r>
            <w:r>
              <w:rPr>
                <w:rFonts w:hint="eastAsia" w:cs="Times New Roman"/>
                <w:bCs/>
                <w:color w:val="auto"/>
                <w:sz w:val="21"/>
                <w:szCs w:val="21"/>
                <w:lang w:val="en-US" w:eastAsia="zh-CN"/>
              </w:rPr>
              <w:t>装卸废气</w:t>
            </w:r>
          </w:p>
        </w:tc>
        <w:tc>
          <w:tcPr>
            <w:tcW w:w="1425" w:type="dxa"/>
            <w:noWrap w:val="0"/>
            <w:vAlign w:val="center"/>
          </w:tcPr>
          <w:p w14:paraId="66DE2383">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412" w:type="dxa"/>
            <w:noWrap w:val="0"/>
            <w:vAlign w:val="center"/>
          </w:tcPr>
          <w:p w14:paraId="6CBB71E0">
            <w:pPr>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人工软管</w:t>
            </w:r>
            <w:r>
              <w:rPr>
                <w:rFonts w:hint="eastAsia" w:ascii="Times New Roman" w:hAnsi="Times New Roman" w:eastAsia="宋体" w:cs="Times New Roman"/>
                <w:bCs/>
                <w:color w:val="auto"/>
                <w:sz w:val="21"/>
                <w:szCs w:val="21"/>
                <w:lang w:val="en-US" w:eastAsia="zh-CN"/>
              </w:rPr>
              <w:t>洒水降尘</w:t>
            </w:r>
          </w:p>
        </w:tc>
        <w:tc>
          <w:tcPr>
            <w:tcW w:w="1853" w:type="dxa"/>
            <w:vMerge w:val="restart"/>
            <w:noWrap w:val="0"/>
            <w:vAlign w:val="center"/>
          </w:tcPr>
          <w:p w14:paraId="63EA452B">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《大气污染物综合排放标准》（GB16297-1996）表2中无组织排放浓度监控限值。非甲烷总烃无组织排放控制执行《挥发性有机物无组织排放控制标准》（GB37822-2019）中无组织排放控制要求。</w:t>
            </w:r>
          </w:p>
        </w:tc>
      </w:tr>
      <w:tr w14:paraId="7CC57B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17" w:type="dxa"/>
            <w:vMerge w:val="continue"/>
            <w:noWrap w:val="0"/>
            <w:vAlign w:val="center"/>
          </w:tcPr>
          <w:p w14:paraId="514EC84A">
            <w:pPr>
              <w:ind w:firstLine="0" w:firstLineChars="0"/>
              <w:rPr>
                <w:rFonts w:hint="eastAsia" w:eastAsia="宋体"/>
                <w:szCs w:val="24"/>
                <w:lang w:eastAsia="zh-CN"/>
              </w:rPr>
            </w:pPr>
          </w:p>
        </w:tc>
        <w:tc>
          <w:tcPr>
            <w:tcW w:w="375" w:type="dxa"/>
            <w:vMerge w:val="continue"/>
            <w:tcBorders>
              <w:right w:val="single" w:color="auto" w:sz="4" w:space="0"/>
            </w:tcBorders>
            <w:noWrap w:val="0"/>
            <w:vAlign w:val="center"/>
          </w:tcPr>
          <w:p w14:paraId="35C48E72">
            <w:pPr>
              <w:ind w:firstLine="0" w:firstLineChars="0"/>
              <w:rPr>
                <w:rFonts w:hint="eastAsia"/>
                <w:szCs w:val="24"/>
                <w:lang w:val="en-US" w:eastAsia="zh-CN"/>
              </w:rPr>
            </w:pPr>
          </w:p>
        </w:tc>
        <w:tc>
          <w:tcPr>
            <w:tcW w:w="1440" w:type="dxa"/>
            <w:tcBorders>
              <w:left w:val="single" w:color="auto" w:sz="4" w:space="0"/>
            </w:tcBorders>
            <w:shd w:val="clear" w:color="auto" w:fill="auto"/>
            <w:noWrap w:val="0"/>
            <w:vAlign w:val="center"/>
          </w:tcPr>
          <w:p w14:paraId="73DE9A3F">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未收集上料扬尘</w:t>
            </w:r>
          </w:p>
        </w:tc>
        <w:tc>
          <w:tcPr>
            <w:tcW w:w="1425" w:type="dxa"/>
            <w:noWrap w:val="0"/>
            <w:vAlign w:val="center"/>
          </w:tcPr>
          <w:p w14:paraId="1E00BE53">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412" w:type="dxa"/>
            <w:noWrap w:val="0"/>
            <w:vAlign w:val="center"/>
          </w:tcPr>
          <w:p w14:paraId="2D411925">
            <w:pPr>
              <w:snapToGrid w:val="0"/>
              <w:spacing w:line="240" w:lineRule="auto"/>
              <w:ind w:firstLine="0" w:firstLine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人工软管</w:t>
            </w:r>
            <w:r>
              <w:rPr>
                <w:rFonts w:hint="eastAsia" w:ascii="Times New Roman" w:hAnsi="Times New Roman" w:eastAsia="宋体" w:cs="Times New Roman"/>
                <w:bCs/>
                <w:color w:val="auto"/>
                <w:sz w:val="21"/>
                <w:szCs w:val="21"/>
                <w:lang w:val="en-US" w:eastAsia="zh-CN"/>
              </w:rPr>
              <w:t>洒水降尘</w:t>
            </w:r>
          </w:p>
        </w:tc>
        <w:tc>
          <w:tcPr>
            <w:tcW w:w="1853" w:type="dxa"/>
            <w:vMerge w:val="continue"/>
            <w:noWrap w:val="0"/>
            <w:vAlign w:val="center"/>
          </w:tcPr>
          <w:p w14:paraId="3DB3E82A">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p>
        </w:tc>
      </w:tr>
      <w:tr w14:paraId="51983B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17" w:type="dxa"/>
            <w:vMerge w:val="continue"/>
            <w:noWrap w:val="0"/>
            <w:vAlign w:val="center"/>
          </w:tcPr>
          <w:p w14:paraId="3B0C653B">
            <w:pPr>
              <w:ind w:firstLine="0" w:firstLineChars="0"/>
              <w:rPr>
                <w:rFonts w:hint="eastAsia" w:eastAsia="宋体"/>
                <w:szCs w:val="24"/>
                <w:lang w:eastAsia="zh-CN"/>
              </w:rPr>
            </w:pPr>
          </w:p>
        </w:tc>
        <w:tc>
          <w:tcPr>
            <w:tcW w:w="375" w:type="dxa"/>
            <w:vMerge w:val="continue"/>
            <w:tcBorders>
              <w:right w:val="single" w:color="auto" w:sz="4" w:space="0"/>
            </w:tcBorders>
            <w:noWrap w:val="0"/>
            <w:vAlign w:val="center"/>
          </w:tcPr>
          <w:p w14:paraId="3EFC2F61">
            <w:pPr>
              <w:ind w:firstLine="0" w:firstLineChars="0"/>
              <w:rPr>
                <w:rFonts w:hint="eastAsia"/>
                <w:szCs w:val="24"/>
                <w:lang w:val="en-US" w:eastAsia="zh-CN"/>
              </w:rPr>
            </w:pPr>
          </w:p>
        </w:tc>
        <w:tc>
          <w:tcPr>
            <w:tcW w:w="1440" w:type="dxa"/>
            <w:tcBorders>
              <w:left w:val="single" w:color="auto" w:sz="4" w:space="0"/>
            </w:tcBorders>
            <w:shd w:val="clear" w:color="auto" w:fill="auto"/>
            <w:noWrap w:val="0"/>
            <w:vAlign w:val="center"/>
          </w:tcPr>
          <w:p w14:paraId="6596208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皮带输送扬尘</w:t>
            </w:r>
          </w:p>
        </w:tc>
        <w:tc>
          <w:tcPr>
            <w:tcW w:w="1425" w:type="dxa"/>
            <w:noWrap w:val="0"/>
            <w:vAlign w:val="center"/>
          </w:tcPr>
          <w:p w14:paraId="6A10ECC9">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412" w:type="dxa"/>
            <w:noWrap w:val="0"/>
            <w:vAlign w:val="center"/>
          </w:tcPr>
          <w:p w14:paraId="46E3F0E2">
            <w:pPr>
              <w:snapToGrid w:val="0"/>
              <w:spacing w:line="240" w:lineRule="auto"/>
              <w:ind w:firstLine="0" w:firstLineChars="0"/>
              <w:jc w:val="center"/>
              <w:rPr>
                <w:rFonts w:hint="eastAsia" w:cs="Times New Roman"/>
                <w:bCs/>
                <w:color w:val="auto"/>
                <w:sz w:val="21"/>
                <w:szCs w:val="21"/>
                <w:lang w:val="en-US" w:eastAsia="zh-CN"/>
              </w:rPr>
            </w:pPr>
            <w:r>
              <w:rPr>
                <w:rFonts w:hint="eastAsia" w:cs="Times New Roman"/>
                <w:bCs/>
                <w:color w:val="auto"/>
                <w:sz w:val="21"/>
                <w:szCs w:val="21"/>
                <w:lang w:val="en-US" w:eastAsia="zh-CN"/>
              </w:rPr>
              <w:t>人工软管</w:t>
            </w:r>
            <w:r>
              <w:rPr>
                <w:rFonts w:hint="eastAsia" w:ascii="Times New Roman" w:hAnsi="Times New Roman" w:eastAsia="宋体" w:cs="Times New Roman"/>
                <w:bCs/>
                <w:color w:val="auto"/>
                <w:sz w:val="21"/>
                <w:szCs w:val="21"/>
                <w:lang w:val="en-US" w:eastAsia="zh-CN"/>
              </w:rPr>
              <w:t>洒水降尘</w:t>
            </w:r>
          </w:p>
        </w:tc>
        <w:tc>
          <w:tcPr>
            <w:tcW w:w="1853" w:type="dxa"/>
            <w:vMerge w:val="continue"/>
            <w:noWrap w:val="0"/>
            <w:vAlign w:val="center"/>
          </w:tcPr>
          <w:p w14:paraId="5D59143F">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p>
        </w:tc>
      </w:tr>
      <w:tr w14:paraId="395488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7" w:hRule="atLeast"/>
        </w:trPr>
        <w:tc>
          <w:tcPr>
            <w:tcW w:w="1017" w:type="dxa"/>
            <w:vMerge w:val="continue"/>
            <w:noWrap w:val="0"/>
            <w:vAlign w:val="center"/>
          </w:tcPr>
          <w:p w14:paraId="33F190BF">
            <w:pPr>
              <w:ind w:firstLine="0" w:firstLineChars="0"/>
              <w:rPr>
                <w:rFonts w:hint="eastAsia" w:eastAsia="宋体"/>
                <w:szCs w:val="24"/>
                <w:lang w:eastAsia="zh-CN"/>
              </w:rPr>
            </w:pPr>
          </w:p>
        </w:tc>
        <w:tc>
          <w:tcPr>
            <w:tcW w:w="375" w:type="dxa"/>
            <w:vMerge w:val="continue"/>
            <w:tcBorders>
              <w:right w:val="single" w:color="auto" w:sz="4" w:space="0"/>
            </w:tcBorders>
            <w:noWrap w:val="0"/>
            <w:vAlign w:val="center"/>
          </w:tcPr>
          <w:p w14:paraId="1DDEB770">
            <w:pPr>
              <w:ind w:firstLine="0" w:firstLineChars="0"/>
              <w:rPr>
                <w:szCs w:val="24"/>
              </w:rPr>
            </w:pPr>
          </w:p>
        </w:tc>
        <w:tc>
          <w:tcPr>
            <w:tcW w:w="1440" w:type="dxa"/>
            <w:tcBorders>
              <w:left w:val="single" w:color="auto" w:sz="4" w:space="0"/>
              <w:bottom w:val="single" w:color="auto" w:sz="4" w:space="0"/>
            </w:tcBorders>
            <w:shd w:val="clear" w:color="auto" w:fill="auto"/>
            <w:noWrap w:val="0"/>
            <w:vAlign w:val="center"/>
          </w:tcPr>
          <w:p w14:paraId="1409F8D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rPr>
              <w:t>运输扬尘</w:t>
            </w:r>
          </w:p>
        </w:tc>
        <w:tc>
          <w:tcPr>
            <w:tcW w:w="1425" w:type="dxa"/>
            <w:tcBorders>
              <w:bottom w:val="single" w:color="auto" w:sz="4" w:space="0"/>
            </w:tcBorders>
            <w:noWrap w:val="0"/>
            <w:vAlign w:val="center"/>
          </w:tcPr>
          <w:p w14:paraId="6E968FE8">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412" w:type="dxa"/>
            <w:tcBorders>
              <w:bottom w:val="single" w:color="auto" w:sz="4" w:space="0"/>
            </w:tcBorders>
            <w:noWrap w:val="0"/>
            <w:vAlign w:val="center"/>
          </w:tcPr>
          <w:p w14:paraId="604B63E1">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洒水车</w:t>
            </w:r>
            <w:r>
              <w:rPr>
                <w:rFonts w:hint="eastAsia" w:ascii="Times New Roman" w:hAnsi="Times New Roman" w:eastAsia="宋体" w:cs="Times New Roman"/>
                <w:bCs/>
                <w:color w:val="auto"/>
                <w:sz w:val="21"/>
                <w:szCs w:val="21"/>
                <w:lang w:val="en-US" w:eastAsia="zh-CN"/>
              </w:rPr>
              <w:t>洒水降尘</w:t>
            </w:r>
          </w:p>
        </w:tc>
        <w:tc>
          <w:tcPr>
            <w:tcW w:w="1853" w:type="dxa"/>
            <w:vMerge w:val="continue"/>
            <w:noWrap w:val="0"/>
            <w:vAlign w:val="center"/>
          </w:tcPr>
          <w:p w14:paraId="4242767C">
            <w:pPr>
              <w:ind w:firstLine="0" w:firstLineChars="0"/>
              <w:rPr>
                <w:szCs w:val="24"/>
              </w:rPr>
            </w:pPr>
          </w:p>
        </w:tc>
      </w:tr>
      <w:tr w14:paraId="4C11A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6" w:hRule="atLeast"/>
        </w:trPr>
        <w:tc>
          <w:tcPr>
            <w:tcW w:w="1017" w:type="dxa"/>
            <w:vMerge w:val="continue"/>
            <w:noWrap w:val="0"/>
            <w:vAlign w:val="center"/>
          </w:tcPr>
          <w:p w14:paraId="49B4BFE0">
            <w:pPr>
              <w:ind w:firstLine="0" w:firstLineChars="0"/>
              <w:rPr>
                <w:rFonts w:hint="eastAsia" w:eastAsia="宋体"/>
                <w:szCs w:val="24"/>
                <w:lang w:eastAsia="zh-CN"/>
              </w:rPr>
            </w:pPr>
          </w:p>
        </w:tc>
        <w:tc>
          <w:tcPr>
            <w:tcW w:w="375" w:type="dxa"/>
            <w:vMerge w:val="continue"/>
            <w:tcBorders>
              <w:right w:val="single" w:color="auto" w:sz="4" w:space="0"/>
            </w:tcBorders>
            <w:noWrap w:val="0"/>
            <w:vAlign w:val="center"/>
          </w:tcPr>
          <w:p w14:paraId="6359CC8B">
            <w:pPr>
              <w:ind w:firstLine="0" w:firstLineChars="0"/>
              <w:rPr>
                <w:szCs w:val="24"/>
              </w:rPr>
            </w:pPr>
          </w:p>
        </w:tc>
        <w:tc>
          <w:tcPr>
            <w:tcW w:w="1440" w:type="dxa"/>
            <w:tcBorders>
              <w:top w:val="single" w:color="auto" w:sz="4" w:space="0"/>
              <w:left w:val="single" w:color="auto" w:sz="4" w:space="0"/>
            </w:tcBorders>
            <w:shd w:val="clear" w:color="auto" w:fill="auto"/>
            <w:noWrap w:val="0"/>
            <w:vAlign w:val="center"/>
          </w:tcPr>
          <w:p w14:paraId="329EFEA1">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矿粉进、出筒仓</w:t>
            </w:r>
          </w:p>
        </w:tc>
        <w:tc>
          <w:tcPr>
            <w:tcW w:w="1425" w:type="dxa"/>
            <w:tcBorders>
              <w:top w:val="single" w:color="auto" w:sz="4" w:space="0"/>
            </w:tcBorders>
            <w:noWrap w:val="0"/>
            <w:vAlign w:val="center"/>
          </w:tcPr>
          <w:p w14:paraId="2D590BDF">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颗粒物</w:t>
            </w:r>
          </w:p>
        </w:tc>
        <w:tc>
          <w:tcPr>
            <w:tcW w:w="2412" w:type="dxa"/>
            <w:tcBorders>
              <w:top w:val="single" w:color="auto" w:sz="4" w:space="0"/>
            </w:tcBorders>
            <w:noWrap w:val="0"/>
            <w:vAlign w:val="center"/>
          </w:tcPr>
          <w:p w14:paraId="405E6927">
            <w:pPr>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配套袋式除尘器处理，</w:t>
            </w:r>
            <w:r>
              <w:rPr>
                <w:rFonts w:hint="eastAsia" w:ascii="Times New Roman" w:hAnsi="Times New Roman" w:eastAsia="宋体" w:cs="Times New Roman"/>
                <w:bCs/>
                <w:color w:val="auto"/>
                <w:sz w:val="21"/>
                <w:szCs w:val="21"/>
                <w:lang w:val="en-US" w:eastAsia="zh-CN"/>
              </w:rPr>
              <w:t>洒水降尘</w:t>
            </w:r>
          </w:p>
        </w:tc>
        <w:tc>
          <w:tcPr>
            <w:tcW w:w="1853" w:type="dxa"/>
            <w:vMerge w:val="continue"/>
            <w:noWrap w:val="0"/>
            <w:vAlign w:val="center"/>
          </w:tcPr>
          <w:p w14:paraId="5092DC89">
            <w:pPr>
              <w:ind w:firstLine="0" w:firstLineChars="0"/>
              <w:rPr>
                <w:szCs w:val="24"/>
              </w:rPr>
            </w:pPr>
          </w:p>
        </w:tc>
      </w:tr>
      <w:tr w14:paraId="76F01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4" w:hRule="atLeast"/>
        </w:trPr>
        <w:tc>
          <w:tcPr>
            <w:tcW w:w="1017" w:type="dxa"/>
            <w:vMerge w:val="continue"/>
            <w:noWrap w:val="0"/>
            <w:vAlign w:val="center"/>
          </w:tcPr>
          <w:p w14:paraId="00422297">
            <w:pPr>
              <w:ind w:firstLine="0" w:firstLineChars="0"/>
              <w:rPr>
                <w:rFonts w:hint="eastAsia" w:eastAsia="宋体"/>
                <w:szCs w:val="24"/>
                <w:lang w:eastAsia="zh-CN"/>
              </w:rPr>
            </w:pPr>
          </w:p>
        </w:tc>
        <w:tc>
          <w:tcPr>
            <w:tcW w:w="375" w:type="dxa"/>
            <w:vMerge w:val="continue"/>
            <w:tcBorders>
              <w:right w:val="single" w:color="auto" w:sz="4" w:space="0"/>
            </w:tcBorders>
            <w:noWrap w:val="0"/>
            <w:vAlign w:val="center"/>
          </w:tcPr>
          <w:p w14:paraId="4CC45C11">
            <w:pPr>
              <w:ind w:firstLine="0" w:firstLineChars="0"/>
              <w:rPr>
                <w:szCs w:val="24"/>
              </w:rPr>
            </w:pPr>
          </w:p>
        </w:tc>
        <w:tc>
          <w:tcPr>
            <w:tcW w:w="1440" w:type="dxa"/>
            <w:tcBorders>
              <w:top w:val="single" w:color="auto" w:sz="4" w:space="0"/>
              <w:left w:val="single" w:color="auto" w:sz="4" w:space="0"/>
            </w:tcBorders>
            <w:shd w:val="clear" w:color="auto" w:fill="auto"/>
            <w:noWrap w:val="0"/>
            <w:vAlign w:val="center"/>
          </w:tcPr>
          <w:p w14:paraId="666804A9">
            <w:pPr>
              <w:keepNext w:val="0"/>
              <w:keepLines w:val="0"/>
              <w:pageBreakBefore w:val="0"/>
              <w:widowControl w:val="0"/>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未收集到的</w:t>
            </w:r>
            <w:r>
              <w:rPr>
                <w:rFonts w:hint="eastAsia" w:cs="Times New Roman"/>
                <w:bCs/>
                <w:color w:val="auto"/>
                <w:sz w:val="21"/>
                <w:szCs w:val="21"/>
                <w:lang w:val="en-US" w:eastAsia="zh-CN"/>
              </w:rPr>
              <w:t>沥青</w:t>
            </w:r>
            <w:r>
              <w:rPr>
                <w:rFonts w:hint="eastAsia" w:ascii="Times New Roman" w:hAnsi="Times New Roman" w:eastAsia="宋体" w:cs="Times New Roman"/>
                <w:bCs/>
                <w:color w:val="auto"/>
                <w:sz w:val="21"/>
                <w:szCs w:val="21"/>
                <w:lang w:val="en-US" w:eastAsia="zh-CN"/>
              </w:rPr>
              <w:t>废气</w:t>
            </w:r>
          </w:p>
        </w:tc>
        <w:tc>
          <w:tcPr>
            <w:tcW w:w="1425" w:type="dxa"/>
            <w:tcBorders>
              <w:top w:val="single" w:color="auto" w:sz="4" w:space="0"/>
            </w:tcBorders>
            <w:noWrap w:val="0"/>
            <w:vAlign w:val="center"/>
          </w:tcPr>
          <w:p w14:paraId="35C1832C">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沥青烟、</w:t>
            </w:r>
            <w:r>
              <w:rPr>
                <w:rFonts w:hint="default" w:ascii="Times New Roman" w:hAnsi="Times New Roman" w:eastAsia="宋体" w:cs="Times New Roman"/>
                <w:bCs/>
                <w:color w:val="auto"/>
                <w:sz w:val="21"/>
                <w:szCs w:val="21"/>
                <w:lang w:val="en-US" w:eastAsia="zh-CN"/>
              </w:rPr>
              <w:t>苯并[a]芘</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非甲烷总烃</w:t>
            </w:r>
            <w:r>
              <w:rPr>
                <w:rFonts w:hint="eastAsia" w:ascii="Times New Roman" w:hAnsi="Times New Roman" w:eastAsia="宋体" w:cs="Times New Roman"/>
                <w:bCs/>
                <w:color w:val="auto"/>
                <w:sz w:val="21"/>
                <w:szCs w:val="21"/>
                <w:lang w:val="en-US" w:eastAsia="zh-CN"/>
              </w:rPr>
              <w:t>、颗粒物</w:t>
            </w:r>
          </w:p>
        </w:tc>
        <w:tc>
          <w:tcPr>
            <w:tcW w:w="2412" w:type="dxa"/>
            <w:tcBorders>
              <w:top w:val="single" w:color="auto" w:sz="4" w:space="0"/>
            </w:tcBorders>
            <w:noWrap w:val="0"/>
            <w:vAlign w:val="center"/>
          </w:tcPr>
          <w:p w14:paraId="6A2CFAD9">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人工软管</w:t>
            </w:r>
            <w:r>
              <w:rPr>
                <w:rFonts w:hint="eastAsia" w:ascii="Times New Roman" w:hAnsi="Times New Roman" w:eastAsia="宋体" w:cs="Times New Roman"/>
                <w:bCs/>
                <w:color w:val="auto"/>
                <w:sz w:val="21"/>
                <w:szCs w:val="21"/>
                <w:lang w:val="en-US" w:eastAsia="zh-CN"/>
              </w:rPr>
              <w:t>洒水降尘</w:t>
            </w:r>
          </w:p>
        </w:tc>
        <w:tc>
          <w:tcPr>
            <w:tcW w:w="1853" w:type="dxa"/>
            <w:vMerge w:val="continue"/>
            <w:noWrap w:val="0"/>
            <w:vAlign w:val="center"/>
          </w:tcPr>
          <w:p w14:paraId="1B6464E3">
            <w:pPr>
              <w:ind w:firstLine="0" w:firstLineChars="0"/>
              <w:rPr>
                <w:szCs w:val="24"/>
              </w:rPr>
            </w:pPr>
          </w:p>
        </w:tc>
      </w:tr>
      <w:tr w14:paraId="7C5E8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1" w:hRule="exact"/>
        </w:trPr>
        <w:tc>
          <w:tcPr>
            <w:tcW w:w="1017" w:type="dxa"/>
            <w:vMerge w:val="restart"/>
            <w:noWrap w:val="0"/>
            <w:vAlign w:val="center"/>
          </w:tcPr>
          <w:p w14:paraId="5D61A1BA">
            <w:pPr>
              <w:ind w:firstLine="0" w:firstLineChars="0"/>
              <w:jc w:val="center"/>
              <w:rPr>
                <w:rFonts w:hint="eastAsia"/>
                <w:szCs w:val="24"/>
                <w:lang w:eastAsia="zh-CN"/>
              </w:rPr>
            </w:pPr>
            <w:r>
              <w:rPr>
                <w:rFonts w:hint="eastAsia"/>
                <w:szCs w:val="24"/>
                <w:lang w:eastAsia="zh-CN"/>
              </w:rPr>
              <w:t>地表水环境</w:t>
            </w:r>
          </w:p>
        </w:tc>
        <w:tc>
          <w:tcPr>
            <w:tcW w:w="1815" w:type="dxa"/>
            <w:gridSpan w:val="2"/>
            <w:noWrap w:val="0"/>
            <w:vAlign w:val="center"/>
          </w:tcPr>
          <w:p w14:paraId="56A00AE9">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办公废水</w:t>
            </w:r>
          </w:p>
        </w:tc>
        <w:tc>
          <w:tcPr>
            <w:tcW w:w="1425" w:type="dxa"/>
            <w:noWrap w:val="0"/>
            <w:vAlign w:val="center"/>
          </w:tcPr>
          <w:p w14:paraId="2304D7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sz w:val="21"/>
                <w:szCs w:val="21"/>
                <w:lang w:val="en-US" w:eastAsia="zh-CN"/>
              </w:rPr>
              <w:t>COD、SS、NH</w:t>
            </w:r>
            <w:r>
              <w:rPr>
                <w:rFonts w:hint="eastAsia"/>
                <w:color w:val="auto"/>
                <w:sz w:val="21"/>
                <w:szCs w:val="21"/>
                <w:vertAlign w:val="subscript"/>
                <w:lang w:val="en-US" w:eastAsia="zh-CN"/>
              </w:rPr>
              <w:t>3</w:t>
            </w:r>
            <w:r>
              <w:rPr>
                <w:rFonts w:hint="eastAsia"/>
                <w:color w:val="auto"/>
                <w:sz w:val="21"/>
                <w:szCs w:val="21"/>
                <w:lang w:val="en-US" w:eastAsia="zh-CN"/>
              </w:rPr>
              <w:t>-N、TP、BOD</w:t>
            </w:r>
            <w:r>
              <w:rPr>
                <w:rFonts w:hint="eastAsia"/>
                <w:color w:val="auto"/>
                <w:sz w:val="21"/>
                <w:szCs w:val="21"/>
                <w:vertAlign w:val="subscript"/>
                <w:lang w:val="en-US" w:eastAsia="zh-CN"/>
              </w:rPr>
              <w:t>5</w:t>
            </w:r>
            <w:r>
              <w:rPr>
                <w:rFonts w:hint="eastAsia"/>
                <w:color w:val="auto"/>
                <w:sz w:val="21"/>
                <w:szCs w:val="21"/>
                <w:vertAlign w:val="baseline"/>
                <w:lang w:val="en-US" w:eastAsia="zh-CN"/>
              </w:rPr>
              <w:t>等</w:t>
            </w:r>
          </w:p>
        </w:tc>
        <w:tc>
          <w:tcPr>
            <w:tcW w:w="2412" w:type="dxa"/>
            <w:noWrap w:val="0"/>
            <w:vAlign w:val="center"/>
          </w:tcPr>
          <w:p w14:paraId="0FC21C7E">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Cs/>
                <w:color w:val="auto"/>
                <w:sz w:val="21"/>
                <w:szCs w:val="21"/>
                <w:lang w:val="en-US" w:eastAsia="zh-CN"/>
              </w:rPr>
            </w:pPr>
            <w:r>
              <w:rPr>
                <w:rFonts w:hint="eastAsia" w:cs="Times New Roman"/>
                <w:color w:val="auto"/>
                <w:sz w:val="21"/>
                <w:szCs w:val="21"/>
                <w:vertAlign w:val="baseline"/>
                <w:lang w:val="en-US" w:eastAsia="zh-CN"/>
              </w:rPr>
              <w:t>依托云南龙泉矿业开发有限公司办公生活区化粪池处理后</w:t>
            </w:r>
            <w:r>
              <w:rPr>
                <w:rFonts w:hint="eastAsia" w:ascii="Times New Roman" w:hAnsi="Times New Roman" w:eastAsia="宋体" w:cs="Times New Roman"/>
                <w:color w:val="auto"/>
                <w:sz w:val="21"/>
                <w:szCs w:val="21"/>
                <w:lang w:val="en-US" w:eastAsia="zh-CN"/>
              </w:rPr>
              <w:t>定期清掏用周围农作物施肥。</w:t>
            </w:r>
          </w:p>
        </w:tc>
        <w:tc>
          <w:tcPr>
            <w:tcW w:w="1853" w:type="dxa"/>
            <w:noWrap w:val="0"/>
            <w:vAlign w:val="center"/>
          </w:tcPr>
          <w:p w14:paraId="44DF92F4">
            <w:pPr>
              <w:snapToGrid w:val="0"/>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14:paraId="493E8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660A0B0B">
            <w:pPr>
              <w:ind w:firstLine="0" w:firstLineChars="0"/>
              <w:jc w:val="center"/>
              <w:rPr>
                <w:rFonts w:hint="eastAsia"/>
                <w:szCs w:val="24"/>
                <w:lang w:eastAsia="zh-CN"/>
              </w:rPr>
            </w:pPr>
          </w:p>
        </w:tc>
        <w:tc>
          <w:tcPr>
            <w:tcW w:w="1815" w:type="dxa"/>
            <w:gridSpan w:val="2"/>
            <w:noWrap w:val="0"/>
            <w:vAlign w:val="center"/>
          </w:tcPr>
          <w:p w14:paraId="09ED9D80">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运输车辆清洗废水</w:t>
            </w:r>
          </w:p>
        </w:tc>
        <w:tc>
          <w:tcPr>
            <w:tcW w:w="1425" w:type="dxa"/>
            <w:noWrap w:val="0"/>
            <w:vAlign w:val="center"/>
          </w:tcPr>
          <w:p w14:paraId="2F9C26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olor w:val="auto"/>
                <w:sz w:val="21"/>
                <w:szCs w:val="24"/>
                <w:lang w:val="en-US" w:eastAsia="zh-CN"/>
              </w:rPr>
              <w:t>SS</w:t>
            </w:r>
          </w:p>
        </w:tc>
        <w:tc>
          <w:tcPr>
            <w:tcW w:w="2412" w:type="dxa"/>
            <w:noWrap w:val="0"/>
            <w:vAlign w:val="center"/>
          </w:tcPr>
          <w:p w14:paraId="2E6F7AE1">
            <w:pPr>
              <w:pageBreakBefore w:val="0"/>
              <w:kinsoku/>
              <w:wordWrap/>
              <w:overflowPunct/>
              <w:topLinePunct w:val="0"/>
              <w:autoSpaceDE/>
              <w:autoSpaceDN/>
              <w:bidi w:val="0"/>
              <w:adjustRightInd/>
              <w:spacing w:line="360" w:lineRule="exact"/>
              <w:ind w:firstLine="0" w:firstLineChars="0"/>
              <w:jc w:val="both"/>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进出口处设置1个容积为</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洗车池，运输</w:t>
            </w:r>
            <w:r>
              <w:rPr>
                <w:rFonts w:hint="eastAsia" w:ascii="Times New Roman" w:hAnsi="Times New Roman" w:eastAsia="宋体" w:cs="Times New Roman"/>
                <w:color w:val="auto"/>
                <w:sz w:val="21"/>
                <w:szCs w:val="21"/>
                <w:lang w:val="en-US" w:eastAsia="zh-CN"/>
              </w:rPr>
              <w:t>车辆</w:t>
            </w:r>
            <w:r>
              <w:rPr>
                <w:rFonts w:hint="default" w:ascii="Times New Roman" w:hAnsi="Times New Roman" w:eastAsia="宋体" w:cs="Times New Roman"/>
                <w:color w:val="auto"/>
                <w:sz w:val="21"/>
                <w:szCs w:val="21"/>
                <w:lang w:val="en-US" w:eastAsia="zh-CN"/>
              </w:rPr>
              <w:t>清洗废水</w:t>
            </w:r>
            <w:r>
              <w:rPr>
                <w:rFonts w:hint="eastAsia" w:cs="Times New Roman"/>
                <w:color w:val="auto"/>
                <w:sz w:val="21"/>
                <w:szCs w:val="21"/>
                <w:lang w:val="en-US" w:eastAsia="zh-CN"/>
              </w:rPr>
              <w:t>循环使用，当不能满足洗车条件后用于厂区洒水降尘</w:t>
            </w:r>
            <w:r>
              <w:rPr>
                <w:rFonts w:hint="default" w:ascii="Times New Roman" w:hAnsi="Times New Roman" w:eastAsia="宋体" w:cs="Times New Roman"/>
                <w:color w:val="auto"/>
                <w:sz w:val="21"/>
                <w:szCs w:val="21"/>
                <w:lang w:val="en-US" w:eastAsia="zh-CN"/>
              </w:rPr>
              <w:t>，不外排</w:t>
            </w:r>
            <w:r>
              <w:rPr>
                <w:rFonts w:hint="eastAsia" w:ascii="Times New Roman" w:hAnsi="Times New Roman" w:eastAsia="宋体" w:cs="Times New Roman"/>
                <w:color w:val="auto"/>
                <w:sz w:val="21"/>
                <w:szCs w:val="21"/>
                <w:lang w:val="en-US" w:eastAsia="zh-CN"/>
              </w:rPr>
              <w:t>。</w:t>
            </w:r>
          </w:p>
        </w:tc>
        <w:tc>
          <w:tcPr>
            <w:tcW w:w="1853" w:type="dxa"/>
            <w:noWrap w:val="0"/>
            <w:vAlign w:val="center"/>
          </w:tcPr>
          <w:p w14:paraId="274F08F6">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14:paraId="6CC0F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vMerge w:val="continue"/>
            <w:noWrap w:val="0"/>
            <w:vAlign w:val="center"/>
          </w:tcPr>
          <w:p w14:paraId="69ECFBC1">
            <w:pPr>
              <w:ind w:firstLine="0" w:firstLineChars="0"/>
              <w:jc w:val="center"/>
              <w:rPr>
                <w:rFonts w:hint="eastAsia"/>
                <w:szCs w:val="24"/>
                <w:lang w:eastAsia="zh-CN"/>
              </w:rPr>
            </w:pPr>
          </w:p>
        </w:tc>
        <w:tc>
          <w:tcPr>
            <w:tcW w:w="1815" w:type="dxa"/>
            <w:gridSpan w:val="2"/>
            <w:noWrap w:val="0"/>
            <w:vAlign w:val="center"/>
          </w:tcPr>
          <w:p w14:paraId="42C9475D">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初期雨水</w:t>
            </w:r>
          </w:p>
        </w:tc>
        <w:tc>
          <w:tcPr>
            <w:tcW w:w="1425" w:type="dxa"/>
            <w:noWrap w:val="0"/>
            <w:vAlign w:val="center"/>
          </w:tcPr>
          <w:p w14:paraId="2A6041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color w:val="auto"/>
                <w:sz w:val="21"/>
                <w:szCs w:val="24"/>
                <w:lang w:val="en-US" w:eastAsia="zh-CN"/>
              </w:rPr>
              <w:t>SS、油类</w:t>
            </w:r>
          </w:p>
        </w:tc>
        <w:tc>
          <w:tcPr>
            <w:tcW w:w="2412" w:type="dxa"/>
            <w:noWrap w:val="0"/>
            <w:vAlign w:val="center"/>
          </w:tcPr>
          <w:p w14:paraId="111A3630">
            <w:pPr>
              <w:pageBreakBefore w:val="0"/>
              <w:kinsoku/>
              <w:wordWrap/>
              <w:overflowPunct/>
              <w:topLinePunct w:val="0"/>
              <w:autoSpaceDE/>
              <w:autoSpaceDN/>
              <w:bidi w:val="0"/>
              <w:adjustRightInd/>
              <w:spacing w:line="360" w:lineRule="exact"/>
              <w:ind w:firstLine="0" w:firstLineChars="0"/>
              <w:jc w:val="both"/>
              <w:textAlignment w:val="auto"/>
              <w:rPr>
                <w:rFonts w:hint="eastAsia"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新建1个</w:t>
            </w:r>
            <w:r>
              <w:rPr>
                <w:rFonts w:hint="default" w:ascii="Times New Roman" w:hAnsi="Times New Roman" w:eastAsia="宋体" w:cs="Times New Roman"/>
                <w:color w:val="auto"/>
                <w:sz w:val="21"/>
                <w:szCs w:val="21"/>
              </w:rPr>
              <w:t>容积为</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的</w:t>
            </w:r>
            <w:r>
              <w:rPr>
                <w:rFonts w:hint="eastAsia" w:ascii="Times New Roman" w:hAnsi="Times New Roman" w:eastAsia="宋体" w:cs="Times New Roman"/>
                <w:color w:val="auto"/>
                <w:sz w:val="21"/>
                <w:szCs w:val="21"/>
                <w:lang w:val="en-US" w:eastAsia="zh-CN"/>
              </w:rPr>
              <w:t>初期雨水</w:t>
            </w:r>
            <w:r>
              <w:rPr>
                <w:rFonts w:hint="eastAsia" w:cs="Times New Roman"/>
                <w:color w:val="auto"/>
                <w:sz w:val="21"/>
                <w:szCs w:val="21"/>
                <w:lang w:val="en-US" w:eastAsia="zh-CN"/>
              </w:rPr>
              <w:t>隔油沉淀</w:t>
            </w:r>
            <w:r>
              <w:rPr>
                <w:rFonts w:hint="eastAsia" w:ascii="Times New Roman" w:hAnsi="Times New Roman" w:eastAsia="宋体" w:cs="Times New Roman"/>
                <w:color w:val="auto"/>
                <w:sz w:val="21"/>
                <w:szCs w:val="21"/>
                <w:lang w:val="en-US" w:eastAsia="zh-CN"/>
              </w:rPr>
              <w:t>池，</w:t>
            </w:r>
            <w:r>
              <w:rPr>
                <w:rFonts w:hint="eastAsia" w:cs="Times New Roman"/>
                <w:color w:val="auto"/>
                <w:sz w:val="21"/>
                <w:szCs w:val="21"/>
                <w:lang w:val="en-US" w:eastAsia="zh-CN"/>
              </w:rPr>
              <w:t>经隔油、</w:t>
            </w:r>
            <w:r>
              <w:rPr>
                <w:rFonts w:hint="default" w:ascii="Times New Roman" w:hAnsi="Times New Roman" w:eastAsia="宋体" w:cs="Times New Roman"/>
                <w:color w:val="auto"/>
                <w:sz w:val="21"/>
                <w:szCs w:val="21"/>
              </w:rPr>
              <w:t>沉淀</w:t>
            </w:r>
            <w:r>
              <w:rPr>
                <w:rFonts w:hint="eastAsia" w:ascii="Times New Roman" w:hAnsi="Times New Roman" w:eastAsia="宋体" w:cs="Times New Roman"/>
                <w:color w:val="auto"/>
                <w:sz w:val="21"/>
                <w:szCs w:val="21"/>
                <w:lang w:val="en-US" w:eastAsia="zh-CN"/>
              </w:rPr>
              <w:t>处理</w:t>
            </w:r>
            <w:r>
              <w:rPr>
                <w:rFonts w:hint="default" w:ascii="Times New Roman" w:hAnsi="Times New Roman" w:eastAsia="宋体" w:cs="Times New Roman"/>
                <w:color w:val="auto"/>
                <w:sz w:val="21"/>
                <w:szCs w:val="21"/>
              </w:rPr>
              <w:t>后用于厂区洒水降尘</w:t>
            </w:r>
            <w:r>
              <w:rPr>
                <w:rFonts w:hint="eastAsia" w:ascii="Times New Roman" w:hAnsi="Times New Roman" w:eastAsia="宋体" w:cs="Times New Roman"/>
                <w:color w:val="auto"/>
                <w:sz w:val="21"/>
                <w:szCs w:val="21"/>
                <w:lang w:val="en-US" w:eastAsia="zh-CN"/>
              </w:rPr>
              <w:t>。</w:t>
            </w:r>
          </w:p>
        </w:tc>
        <w:tc>
          <w:tcPr>
            <w:tcW w:w="1853" w:type="dxa"/>
            <w:noWrap w:val="0"/>
            <w:vAlign w:val="center"/>
          </w:tcPr>
          <w:p w14:paraId="3558B184">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14:paraId="701F0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9" w:hRule="atLeast"/>
        </w:trPr>
        <w:tc>
          <w:tcPr>
            <w:tcW w:w="1017" w:type="dxa"/>
            <w:noWrap w:val="0"/>
            <w:vAlign w:val="center"/>
          </w:tcPr>
          <w:p w14:paraId="2D27E846">
            <w:pPr>
              <w:ind w:firstLine="0" w:firstLineChars="0"/>
              <w:jc w:val="center"/>
              <w:rPr>
                <w:rFonts w:hint="eastAsia"/>
                <w:szCs w:val="24"/>
                <w:lang w:eastAsia="zh-CN"/>
              </w:rPr>
            </w:pPr>
            <w:r>
              <w:rPr>
                <w:rFonts w:hint="eastAsia"/>
                <w:szCs w:val="24"/>
                <w:lang w:eastAsia="zh-CN"/>
              </w:rPr>
              <w:t>声环境</w:t>
            </w:r>
          </w:p>
        </w:tc>
        <w:tc>
          <w:tcPr>
            <w:tcW w:w="1815" w:type="dxa"/>
            <w:gridSpan w:val="2"/>
            <w:noWrap w:val="0"/>
            <w:vAlign w:val="center"/>
          </w:tcPr>
          <w:p w14:paraId="7FE8F451">
            <w:pPr>
              <w:pStyle w:val="20"/>
              <w:spacing w:line="360" w:lineRule="exact"/>
              <w:ind w:firstLine="0" w:firstLineChars="0"/>
              <w:rPr>
                <w:szCs w:val="24"/>
              </w:rPr>
            </w:pPr>
            <w:r>
              <w:t>机械设备</w:t>
            </w:r>
          </w:p>
        </w:tc>
        <w:tc>
          <w:tcPr>
            <w:tcW w:w="1425" w:type="dxa"/>
            <w:noWrap w:val="0"/>
            <w:vAlign w:val="center"/>
          </w:tcPr>
          <w:p w14:paraId="48B9AC37">
            <w:pPr>
              <w:snapToGrid w:val="0"/>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噪声，</w:t>
            </w:r>
            <w:r>
              <w:rPr>
                <w:rFonts w:hint="eastAsia" w:cs="Times New Roman"/>
                <w:bCs/>
                <w:color w:val="auto"/>
                <w:sz w:val="21"/>
                <w:szCs w:val="21"/>
                <w:lang w:val="en-US" w:eastAsia="zh-CN"/>
              </w:rPr>
              <w:t>60</w:t>
            </w:r>
            <w:r>
              <w:rPr>
                <w:rFonts w:hint="eastAsia" w:ascii="Times New Roman" w:hAnsi="Times New Roman" w:eastAsia="宋体" w:cs="Times New Roman"/>
                <w:bCs/>
                <w:color w:val="auto"/>
                <w:sz w:val="21"/>
                <w:szCs w:val="21"/>
                <w:lang w:val="en-US" w:eastAsia="zh-CN"/>
              </w:rPr>
              <w:t>~8</w:t>
            </w:r>
            <w:r>
              <w:rPr>
                <w:rFonts w:hint="eastAsia" w:cs="Times New Roman"/>
                <w:bCs/>
                <w:color w:val="auto"/>
                <w:sz w:val="21"/>
                <w:szCs w:val="21"/>
                <w:lang w:val="en-US" w:eastAsia="zh-CN"/>
              </w:rPr>
              <w:t>0</w:t>
            </w:r>
            <w:r>
              <w:rPr>
                <w:rFonts w:hint="eastAsia" w:ascii="Times New Roman" w:hAnsi="Times New Roman" w:eastAsia="宋体" w:cs="Times New Roman"/>
                <w:bCs/>
                <w:color w:val="auto"/>
                <w:sz w:val="21"/>
                <w:szCs w:val="21"/>
                <w:lang w:val="en-US" w:eastAsia="zh-CN"/>
              </w:rPr>
              <w:t>dB(A)</w:t>
            </w:r>
          </w:p>
        </w:tc>
        <w:tc>
          <w:tcPr>
            <w:tcW w:w="2412" w:type="dxa"/>
            <w:noWrap w:val="0"/>
            <w:vAlign w:val="center"/>
          </w:tcPr>
          <w:p w14:paraId="293B280E">
            <w:pPr>
              <w:snapToGrid w:val="0"/>
              <w:spacing w:line="240" w:lineRule="auto"/>
              <w:ind w:firstLine="0" w:firstLineChars="0"/>
              <w:jc w:val="left"/>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（1）皮带输送机、烘干滚筒、提升机、筛分机、搅拌器等生产设备安装减振垫；</w:t>
            </w:r>
          </w:p>
          <w:p w14:paraId="0247E0BE">
            <w:pPr>
              <w:snapToGrid w:val="0"/>
              <w:spacing w:line="240" w:lineRule="auto"/>
              <w:ind w:firstLine="0" w:firstLineChars="0"/>
              <w:jc w:val="left"/>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（2）引风机安装消声器，从源头降低噪声值；</w:t>
            </w:r>
          </w:p>
          <w:p w14:paraId="5EDD20DE">
            <w:pPr>
              <w:snapToGrid w:val="0"/>
              <w:spacing w:line="240" w:lineRule="auto"/>
              <w:ind w:firstLine="0" w:firstLineChars="0"/>
              <w:jc w:val="left"/>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（3）做好设备日常维护和保养工作，防止因故障导致高噪声的产生；</w:t>
            </w:r>
          </w:p>
          <w:p w14:paraId="1DDF3245">
            <w:pPr>
              <w:snapToGrid w:val="0"/>
              <w:spacing w:line="240" w:lineRule="auto"/>
              <w:ind w:firstLine="0" w:firstLineChars="0"/>
              <w:jc w:val="left"/>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（4）合理安排生产线各设备运行时间，合理布局，降低项目设备噪声对周围环境的影响。</w:t>
            </w:r>
          </w:p>
        </w:tc>
        <w:tc>
          <w:tcPr>
            <w:tcW w:w="1853" w:type="dxa"/>
            <w:noWrap w:val="0"/>
            <w:vAlign w:val="center"/>
          </w:tcPr>
          <w:p w14:paraId="3CF397B4">
            <w:pPr>
              <w:snapToGrid w:val="0"/>
              <w:spacing w:line="240" w:lineRule="auto"/>
              <w:ind w:firstLine="0" w:firstLineChars="0"/>
              <w:jc w:val="left"/>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《工业企业厂界环境噪声排放标准》（GB12348-2008）中2类标准限值，即昼间≤60 dB(A)</w:t>
            </w:r>
            <w:r>
              <w:rPr>
                <w:rFonts w:hint="eastAsia" w:cs="Times New Roman"/>
                <w:bCs/>
                <w:color w:val="auto"/>
                <w:sz w:val="21"/>
                <w:szCs w:val="21"/>
                <w:lang w:val="en-US" w:eastAsia="zh-CN"/>
              </w:rPr>
              <w:t>。</w:t>
            </w:r>
          </w:p>
        </w:tc>
      </w:tr>
      <w:tr w14:paraId="57E43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 w:hRule="atLeast"/>
        </w:trPr>
        <w:tc>
          <w:tcPr>
            <w:tcW w:w="1017" w:type="dxa"/>
            <w:noWrap w:val="0"/>
            <w:vAlign w:val="center"/>
          </w:tcPr>
          <w:p w14:paraId="689A3D43">
            <w:pPr>
              <w:ind w:firstLine="0" w:firstLineChars="0"/>
              <w:jc w:val="center"/>
              <w:rPr>
                <w:rFonts w:hint="eastAsia"/>
                <w:szCs w:val="24"/>
                <w:lang w:eastAsia="zh-CN"/>
              </w:rPr>
            </w:pPr>
            <w:r>
              <w:rPr>
                <w:rFonts w:hint="eastAsia"/>
                <w:szCs w:val="24"/>
                <w:lang w:eastAsia="zh-CN"/>
              </w:rPr>
              <w:t>电磁辐射</w:t>
            </w:r>
          </w:p>
        </w:tc>
        <w:tc>
          <w:tcPr>
            <w:tcW w:w="7505" w:type="dxa"/>
            <w:gridSpan w:val="5"/>
            <w:noWrap w:val="0"/>
            <w:vAlign w:val="center"/>
          </w:tcPr>
          <w:p w14:paraId="6EED2AB0">
            <w:pPr>
              <w:ind w:firstLine="0" w:firstLineChars="0"/>
              <w:jc w:val="center"/>
              <w:rPr>
                <w:rFonts w:hint="eastAsia" w:eastAsia="宋体"/>
                <w:szCs w:val="24"/>
                <w:lang w:val="en-US" w:eastAsia="zh-CN"/>
              </w:rPr>
            </w:pPr>
            <w:r>
              <w:rPr>
                <w:rFonts w:hint="eastAsia"/>
                <w:szCs w:val="24"/>
                <w:lang w:val="en-US" w:eastAsia="zh-CN"/>
              </w:rPr>
              <w:t>/</w:t>
            </w:r>
          </w:p>
        </w:tc>
      </w:tr>
      <w:tr w14:paraId="09D856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58961CF7">
            <w:pPr>
              <w:ind w:firstLine="0" w:firstLineChars="0"/>
              <w:jc w:val="center"/>
              <w:rPr>
                <w:rFonts w:hint="eastAsia"/>
                <w:szCs w:val="24"/>
                <w:lang w:eastAsia="zh-CN"/>
              </w:rPr>
            </w:pPr>
            <w:r>
              <w:rPr>
                <w:rFonts w:hint="eastAsia"/>
                <w:szCs w:val="24"/>
                <w:lang w:eastAsia="zh-CN"/>
              </w:rPr>
              <w:t>固体废物</w:t>
            </w:r>
          </w:p>
        </w:tc>
        <w:tc>
          <w:tcPr>
            <w:tcW w:w="7505" w:type="dxa"/>
            <w:gridSpan w:val="5"/>
            <w:noWrap w:val="0"/>
            <w:vAlign w:val="center"/>
          </w:tcPr>
          <w:p w14:paraId="178B8FA0">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（1）生活垃圾由垃圾桶统一收集后由环卫部门清运处置；</w:t>
            </w:r>
          </w:p>
          <w:p w14:paraId="316815B6">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（2）旋风除尘器和布袋除尘器收集的粉尘定期收集后作为矿粉（原料）填料回用与生产；</w:t>
            </w:r>
          </w:p>
          <w:p w14:paraId="756CF579">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（3）布袋除尘器更换布袋产生的废布袋由厂家带走回收处置，不在厂区暂存；</w:t>
            </w:r>
          </w:p>
          <w:p w14:paraId="499273C5">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（4）搅拌器底部定期清理出的沥青残渣收集后暂存于密闭的塑料桶内，外售作为建筑材料；</w:t>
            </w:r>
          </w:p>
          <w:p w14:paraId="1AB73C6D">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（5）产生的废导热油由更换厂家带走回收处置，不在厂区暂存；</w:t>
            </w:r>
          </w:p>
          <w:p w14:paraId="6D500318">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（6）产生的焦油渣使用专用收集容器收集，依托采石场一间5m</w:t>
            </w:r>
            <w:r>
              <w:rPr>
                <w:rFonts w:hint="eastAsia"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危废暂存间暂存，定期委托有资质的单位进行清运处置；</w:t>
            </w:r>
          </w:p>
          <w:p w14:paraId="04DF53D8">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（7）废活性炭由更换厂家带走回收处置；</w:t>
            </w:r>
          </w:p>
          <w:p w14:paraId="27C07CE5">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（8）产生的废机油使用空机油桶收集后依托采石场一间5m</w:t>
            </w:r>
            <w:r>
              <w:rPr>
                <w:rFonts w:hint="eastAsia"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危废暂存间暂存，定期委托有资质的单位进行清运处置；</w:t>
            </w:r>
          </w:p>
          <w:p w14:paraId="191869A7">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szCs w:val="24"/>
              </w:rPr>
            </w:pPr>
            <w:r>
              <w:rPr>
                <w:rFonts w:hint="default" w:ascii="Times New Roman" w:hAnsi="Times New Roman" w:eastAsia="宋体" w:cs="Times New Roman"/>
                <w:color w:val="auto"/>
                <w:sz w:val="21"/>
                <w:szCs w:val="21"/>
                <w:lang w:val="en-US" w:eastAsia="zh-CN"/>
              </w:rPr>
              <w:t>（9）产生的含机油废抹布和废手套依托采石场一间5m</w:t>
            </w:r>
            <w:r>
              <w:rPr>
                <w:rFonts w:hint="eastAsia"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危废暂存间暂存，定期委托有资质的单位进行清运处置。</w:t>
            </w:r>
          </w:p>
        </w:tc>
      </w:tr>
      <w:tr w14:paraId="75CB54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42A56F82">
            <w:pPr>
              <w:ind w:firstLine="0" w:firstLineChars="0"/>
              <w:jc w:val="center"/>
              <w:rPr>
                <w:rFonts w:hint="eastAsia"/>
                <w:szCs w:val="24"/>
                <w:lang w:eastAsia="zh-CN"/>
              </w:rPr>
            </w:pPr>
            <w:r>
              <w:rPr>
                <w:rFonts w:hint="eastAsia"/>
                <w:szCs w:val="24"/>
                <w:lang w:eastAsia="zh-CN"/>
              </w:rPr>
              <w:t>土壤及地下水污染防治措施</w:t>
            </w:r>
          </w:p>
        </w:tc>
        <w:tc>
          <w:tcPr>
            <w:tcW w:w="7505" w:type="dxa"/>
            <w:gridSpan w:val="5"/>
            <w:noWrap w:val="0"/>
            <w:vAlign w:val="center"/>
          </w:tcPr>
          <w:p w14:paraId="006A446C">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①在储存罐区、管道、设备采取相应防腐、防渗措施，加强管理和维保工作，防止污染物跑、冒、滴、漏的发生，将污染物泄漏的环境风险事故降到最低程度；</w:t>
            </w:r>
          </w:p>
          <w:p w14:paraId="4D8F3E1D">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②在生产过程中加强生产管理和环境管理工作，做到规范生产，对物料撒落等情况及时处理，防止物料撒落后因雨水冲刷等，导致污染物进入土壤、地下水，造成污染；</w:t>
            </w:r>
          </w:p>
          <w:p w14:paraId="392F2F6F">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szCs w:val="24"/>
              </w:rPr>
            </w:pPr>
            <w:r>
              <w:rPr>
                <w:rFonts w:hint="eastAsia" w:ascii="Times New Roman" w:hAnsi="Times New Roman" w:eastAsia="宋体" w:cs="Times New Roman"/>
                <w:color w:val="auto"/>
                <w:sz w:val="21"/>
                <w:szCs w:val="21"/>
                <w:lang w:val="en-US" w:eastAsia="zh-CN"/>
              </w:rPr>
              <w:fldChar w:fldCharType="begin"/>
            </w:r>
            <w:r>
              <w:rPr>
                <w:rFonts w:hint="eastAsia" w:ascii="Times New Roman" w:hAnsi="Times New Roman" w:eastAsia="宋体" w:cs="Times New Roman"/>
                <w:color w:val="auto"/>
                <w:sz w:val="21"/>
                <w:szCs w:val="21"/>
                <w:lang w:val="en-US" w:eastAsia="zh-CN"/>
              </w:rPr>
              <w:instrText xml:space="preserve"> = 3 \* GB3 \* MERGEFORMAT </w:instrText>
            </w:r>
            <w:r>
              <w:rPr>
                <w:rFonts w:hint="eastAsia"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lang w:val="en-US" w:eastAsia="zh-CN"/>
              </w:rPr>
              <w:t>③</w:t>
            </w:r>
            <w:r>
              <w:rPr>
                <w:rFonts w:hint="eastAsia" w:ascii="Times New Roman" w:hAnsi="Times New Roman" w:eastAsia="宋体" w:cs="Times New Roman"/>
                <w:color w:val="auto"/>
                <w:sz w:val="21"/>
                <w:szCs w:val="21"/>
                <w:lang w:val="en-US" w:eastAsia="zh-CN"/>
              </w:rPr>
              <w:fldChar w:fldCharType="end"/>
            </w:r>
            <w:r>
              <w:rPr>
                <w:rFonts w:hint="eastAsia" w:ascii="Times New Roman" w:hAnsi="Times New Roman" w:eastAsia="宋体" w:cs="Times New Roman"/>
                <w:color w:val="auto"/>
                <w:sz w:val="21"/>
                <w:szCs w:val="21"/>
                <w:lang w:val="en-US" w:eastAsia="zh-CN"/>
              </w:rPr>
              <w:t>做好项目危险废物的收集、暂存，以及委托处置工作，严格按照相关规范进行危险废物收集及委托处置，避免危废或危废中的有害物质泄露进入土壤、地下水环境中。</w:t>
            </w:r>
          </w:p>
        </w:tc>
      </w:tr>
      <w:tr w14:paraId="754CA7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1202E0AD">
            <w:pPr>
              <w:ind w:firstLine="0" w:firstLineChars="0"/>
              <w:jc w:val="center"/>
              <w:rPr>
                <w:rFonts w:hint="eastAsia"/>
                <w:szCs w:val="24"/>
                <w:lang w:eastAsia="zh-CN"/>
              </w:rPr>
            </w:pPr>
            <w:r>
              <w:rPr>
                <w:rFonts w:hint="eastAsia"/>
                <w:szCs w:val="24"/>
                <w:lang w:eastAsia="zh-CN"/>
              </w:rPr>
              <w:t>生态保护措施</w:t>
            </w:r>
          </w:p>
        </w:tc>
        <w:tc>
          <w:tcPr>
            <w:tcW w:w="7505" w:type="dxa"/>
            <w:gridSpan w:val="5"/>
            <w:noWrap w:val="0"/>
            <w:vAlign w:val="center"/>
          </w:tcPr>
          <w:p w14:paraId="350A3359">
            <w:pPr>
              <w:ind w:firstLine="0" w:firstLineChars="0"/>
              <w:jc w:val="center"/>
              <w:rPr>
                <w:szCs w:val="24"/>
              </w:rPr>
            </w:pPr>
            <w:r>
              <w:rPr>
                <w:rFonts w:hint="eastAsia"/>
                <w:szCs w:val="24"/>
                <w:lang w:val="en-US" w:eastAsia="zh-CN"/>
              </w:rPr>
              <w:t>/</w:t>
            </w:r>
          </w:p>
        </w:tc>
      </w:tr>
      <w:tr w14:paraId="64DF49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797782A4">
            <w:pPr>
              <w:ind w:firstLine="0" w:firstLineChars="0"/>
              <w:jc w:val="center"/>
              <w:rPr>
                <w:rFonts w:hint="eastAsia"/>
                <w:szCs w:val="24"/>
                <w:lang w:eastAsia="zh-CN"/>
              </w:rPr>
            </w:pPr>
            <w:r>
              <w:rPr>
                <w:rFonts w:hint="eastAsia"/>
                <w:szCs w:val="24"/>
                <w:lang w:eastAsia="zh-CN"/>
              </w:rPr>
              <w:t>环境风险</w:t>
            </w:r>
          </w:p>
          <w:p w14:paraId="2F3B905D">
            <w:pPr>
              <w:ind w:firstLine="0" w:firstLineChars="0"/>
              <w:jc w:val="center"/>
              <w:rPr>
                <w:rFonts w:hint="eastAsia"/>
                <w:szCs w:val="24"/>
                <w:lang w:eastAsia="zh-CN"/>
              </w:rPr>
            </w:pPr>
            <w:r>
              <w:rPr>
                <w:rFonts w:hint="eastAsia"/>
                <w:szCs w:val="24"/>
                <w:lang w:eastAsia="zh-CN"/>
              </w:rPr>
              <w:t>防治措施</w:t>
            </w:r>
          </w:p>
        </w:tc>
        <w:tc>
          <w:tcPr>
            <w:tcW w:w="7505" w:type="dxa"/>
            <w:gridSpan w:val="5"/>
            <w:noWrap w:val="0"/>
            <w:vAlign w:val="center"/>
          </w:tcPr>
          <w:p w14:paraId="5D2AC4D4">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color w:val="auto"/>
                <w:sz w:val="21"/>
                <w:szCs w:val="21"/>
              </w:rPr>
            </w:pPr>
            <w:r>
              <w:rPr>
                <w:rFonts w:hint="eastAsia" w:ascii="宋体" w:hAnsi="宋体" w:cs="宋体"/>
                <w:color w:val="auto"/>
                <w:sz w:val="21"/>
                <w:szCs w:val="21"/>
              </w:rPr>
              <w:t>①</w:t>
            </w:r>
            <w:r>
              <w:rPr>
                <w:color w:val="auto"/>
                <w:sz w:val="21"/>
                <w:szCs w:val="21"/>
              </w:rPr>
              <w:t>在生产过程中应加强管理，</w:t>
            </w:r>
            <w:r>
              <w:rPr>
                <w:rFonts w:hint="eastAsia"/>
                <w:sz w:val="21"/>
                <w:szCs w:val="21"/>
                <w:lang w:val="en-US" w:eastAsia="zh-CN"/>
              </w:rPr>
              <w:t>柴</w:t>
            </w:r>
            <w:r>
              <w:rPr>
                <w:rFonts w:hint="eastAsia"/>
                <w:color w:val="auto"/>
                <w:sz w:val="21"/>
                <w:szCs w:val="21"/>
                <w:lang w:val="en-US" w:eastAsia="zh-CN"/>
              </w:rPr>
              <w:t>油储罐区、导热油循环系统周围、有机热载体炉区域、沥青储罐区、危废暂存间及</w:t>
            </w:r>
            <w:r>
              <w:rPr>
                <w:color w:val="auto"/>
                <w:sz w:val="21"/>
                <w:szCs w:val="21"/>
              </w:rPr>
              <w:t>相应的生产区配备灭火装置，并设置禁火标志，避免发生火灾事故。</w:t>
            </w:r>
          </w:p>
          <w:p w14:paraId="1A5783AD">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color w:val="auto"/>
                <w:sz w:val="21"/>
                <w:szCs w:val="21"/>
              </w:rPr>
            </w:pPr>
            <w:r>
              <w:rPr>
                <w:rFonts w:hint="eastAsia" w:ascii="宋体" w:hAnsi="宋体" w:cs="宋体"/>
                <w:color w:val="auto"/>
                <w:sz w:val="21"/>
                <w:szCs w:val="21"/>
              </w:rPr>
              <w:t>②</w:t>
            </w:r>
            <w:r>
              <w:rPr>
                <w:rFonts w:hint="eastAsia" w:ascii="宋体" w:hAnsi="宋体" w:cs="宋体"/>
                <w:color w:val="auto"/>
                <w:sz w:val="21"/>
                <w:szCs w:val="21"/>
                <w:lang w:val="en-US" w:eastAsia="zh-CN"/>
              </w:rPr>
              <w:t>各类危险废物</w:t>
            </w:r>
            <w:r>
              <w:rPr>
                <w:color w:val="auto"/>
                <w:kern w:val="2"/>
                <w:sz w:val="21"/>
                <w:szCs w:val="21"/>
              </w:rPr>
              <w:t>经专门的</w:t>
            </w:r>
            <w:r>
              <w:rPr>
                <w:rFonts w:hint="eastAsia"/>
                <w:color w:val="auto"/>
                <w:kern w:val="2"/>
                <w:sz w:val="21"/>
                <w:szCs w:val="21"/>
                <w:lang w:val="en-US" w:eastAsia="zh-CN"/>
              </w:rPr>
              <w:t>密闭容器</w:t>
            </w:r>
            <w:r>
              <w:rPr>
                <w:color w:val="auto"/>
                <w:kern w:val="2"/>
                <w:sz w:val="21"/>
                <w:szCs w:val="21"/>
              </w:rPr>
              <w:t>收集后，</w:t>
            </w:r>
            <w:r>
              <w:rPr>
                <w:rFonts w:hint="eastAsia"/>
                <w:color w:val="auto"/>
                <w:kern w:val="2"/>
                <w:sz w:val="21"/>
                <w:szCs w:val="21"/>
                <w:lang w:val="en-US" w:eastAsia="zh-CN"/>
              </w:rPr>
              <w:t>分类、分区</w:t>
            </w:r>
            <w:r>
              <w:rPr>
                <w:color w:val="auto"/>
                <w:kern w:val="2"/>
                <w:sz w:val="21"/>
                <w:szCs w:val="21"/>
              </w:rPr>
              <w:t>暂存于危废暂存</w:t>
            </w:r>
            <w:r>
              <w:rPr>
                <w:rFonts w:hint="eastAsia"/>
                <w:color w:val="auto"/>
                <w:kern w:val="2"/>
                <w:sz w:val="21"/>
                <w:szCs w:val="21"/>
                <w:lang w:val="en-US" w:eastAsia="zh-CN"/>
              </w:rPr>
              <w:t>间</w:t>
            </w:r>
            <w:r>
              <w:rPr>
                <w:color w:val="auto"/>
                <w:kern w:val="2"/>
                <w:sz w:val="21"/>
                <w:szCs w:val="21"/>
              </w:rPr>
              <w:t>，由专职人员负责收集、暂存，交由有资质的单位进行处置，</w:t>
            </w:r>
            <w:r>
              <w:rPr>
                <w:rFonts w:hint="eastAsia"/>
                <w:color w:val="auto"/>
                <w:kern w:val="2"/>
                <w:sz w:val="21"/>
                <w:szCs w:val="21"/>
                <w:lang w:val="en-US" w:eastAsia="zh-CN"/>
              </w:rPr>
              <w:t>危险废物的</w:t>
            </w:r>
            <w:r>
              <w:rPr>
                <w:color w:val="auto"/>
                <w:kern w:val="2"/>
                <w:sz w:val="21"/>
                <w:szCs w:val="21"/>
              </w:rPr>
              <w:t>产生及处置须记录有台账，定时进行危废暂存</w:t>
            </w:r>
            <w:r>
              <w:rPr>
                <w:rFonts w:hint="eastAsia"/>
                <w:color w:val="auto"/>
                <w:kern w:val="2"/>
                <w:sz w:val="21"/>
                <w:szCs w:val="21"/>
                <w:lang w:val="en-US" w:eastAsia="zh-CN"/>
              </w:rPr>
              <w:t>间</w:t>
            </w:r>
            <w:r>
              <w:rPr>
                <w:color w:val="auto"/>
                <w:kern w:val="2"/>
                <w:sz w:val="21"/>
                <w:szCs w:val="21"/>
              </w:rPr>
              <w:t>的检查巡视</w:t>
            </w:r>
            <w:r>
              <w:rPr>
                <w:rFonts w:hint="eastAsia" w:ascii="宋体" w:hAnsi="宋体" w:cs="宋体"/>
                <w:color w:val="auto"/>
                <w:sz w:val="21"/>
                <w:szCs w:val="21"/>
              </w:rPr>
              <w:t>；</w:t>
            </w:r>
          </w:p>
          <w:p w14:paraId="4024609E">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cs="宋体"/>
                <w:color w:val="auto"/>
                <w:sz w:val="21"/>
                <w:szCs w:val="21"/>
              </w:rPr>
            </w:pPr>
            <w:r>
              <w:rPr>
                <w:rFonts w:hint="eastAsia" w:ascii="宋体" w:hAnsi="宋体" w:cs="宋体"/>
                <w:color w:val="auto"/>
                <w:sz w:val="21"/>
                <w:szCs w:val="21"/>
              </w:rPr>
              <w:t>③定期检查</w:t>
            </w:r>
            <w:r>
              <w:rPr>
                <w:rFonts w:hint="eastAsia" w:ascii="宋体" w:hAnsi="宋体" w:cs="宋体"/>
                <w:color w:val="auto"/>
                <w:sz w:val="21"/>
                <w:szCs w:val="21"/>
                <w:lang w:val="en-US" w:eastAsia="zh-CN"/>
              </w:rPr>
              <w:t>各分区防渗区域的防渗措施</w:t>
            </w:r>
            <w:r>
              <w:rPr>
                <w:rFonts w:hint="eastAsia" w:ascii="宋体" w:hAnsi="宋体" w:cs="宋体"/>
                <w:color w:val="auto"/>
                <w:sz w:val="21"/>
                <w:szCs w:val="21"/>
              </w:rPr>
              <w:t>，对有裂隙及破损的</w:t>
            </w:r>
            <w:r>
              <w:rPr>
                <w:rFonts w:hint="eastAsia" w:ascii="宋体" w:hAnsi="宋体" w:cs="宋体"/>
                <w:color w:val="auto"/>
                <w:sz w:val="21"/>
                <w:szCs w:val="21"/>
                <w:lang w:val="en-US" w:eastAsia="zh-CN"/>
              </w:rPr>
              <w:t>区域</w:t>
            </w:r>
            <w:r>
              <w:rPr>
                <w:rFonts w:hint="eastAsia" w:ascii="宋体" w:hAnsi="宋体" w:cs="宋体"/>
                <w:color w:val="auto"/>
                <w:sz w:val="21"/>
                <w:szCs w:val="21"/>
              </w:rPr>
              <w:t>应及时修补好</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确保全厂的防渗性能良好</w:t>
            </w:r>
            <w:r>
              <w:rPr>
                <w:rFonts w:hint="eastAsia" w:ascii="宋体" w:hAnsi="宋体" w:cs="宋体"/>
                <w:color w:val="auto"/>
                <w:sz w:val="21"/>
                <w:szCs w:val="21"/>
              </w:rPr>
              <w:t>；</w:t>
            </w:r>
          </w:p>
          <w:p w14:paraId="57C258B3">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cs="宋体"/>
                <w:color w:val="auto"/>
                <w:sz w:val="21"/>
                <w:szCs w:val="21"/>
              </w:rPr>
            </w:pPr>
            <w:r>
              <w:rPr>
                <w:rFonts w:hint="eastAsia" w:ascii="宋体" w:hAnsi="宋体" w:cs="宋体"/>
                <w:color w:val="auto"/>
                <w:sz w:val="21"/>
                <w:szCs w:val="21"/>
              </w:rPr>
              <w:t>④加强</w:t>
            </w:r>
            <w:r>
              <w:rPr>
                <w:rFonts w:hint="eastAsia" w:ascii="宋体" w:hAnsi="宋体" w:cs="宋体"/>
                <w:color w:val="auto"/>
                <w:sz w:val="21"/>
                <w:szCs w:val="21"/>
                <w:lang w:val="en-US" w:eastAsia="zh-CN"/>
              </w:rPr>
              <w:t>废气处理设备</w:t>
            </w:r>
            <w:r>
              <w:rPr>
                <w:rFonts w:hint="eastAsia" w:ascii="宋体" w:hAnsi="宋体" w:cs="宋体"/>
                <w:color w:val="auto"/>
                <w:sz w:val="21"/>
                <w:szCs w:val="21"/>
              </w:rPr>
              <w:t>日常维护保养，避免或减少故障发生，确保设备处于正常的工作状态；</w:t>
            </w:r>
          </w:p>
          <w:p w14:paraId="1250149E">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宋体" w:hAnsi="宋体" w:cs="宋体"/>
                <w:color w:val="auto"/>
                <w:sz w:val="21"/>
                <w:szCs w:val="21"/>
              </w:rPr>
            </w:pPr>
            <w:r>
              <w:rPr>
                <w:rFonts w:hint="eastAsia" w:ascii="宋体" w:hAnsi="宋体" w:cs="宋体"/>
                <w:color w:val="auto"/>
                <w:sz w:val="21"/>
                <w:szCs w:val="21"/>
              </w:rPr>
              <w:t>⑤</w:t>
            </w:r>
            <w:r>
              <w:rPr>
                <w:rFonts w:hint="eastAsia"/>
                <w:color w:val="auto"/>
                <w:sz w:val="21"/>
                <w:szCs w:val="21"/>
              </w:rPr>
              <w:t>沥青储罐区设置不低于50cm高的围堰，围堰总容积约为75m</w:t>
            </w:r>
            <w:r>
              <w:rPr>
                <w:rFonts w:hint="eastAsia"/>
                <w:color w:val="auto"/>
                <w:sz w:val="21"/>
                <w:szCs w:val="21"/>
                <w:vertAlign w:val="superscript"/>
              </w:rPr>
              <w:t>3</w:t>
            </w:r>
            <w:r>
              <w:rPr>
                <w:rFonts w:hint="eastAsia"/>
                <w:color w:val="auto"/>
                <w:sz w:val="21"/>
                <w:szCs w:val="21"/>
              </w:rPr>
              <w:t>；</w:t>
            </w:r>
            <w:r>
              <w:rPr>
                <w:rFonts w:hint="eastAsia"/>
                <w:color w:val="auto"/>
                <w:sz w:val="21"/>
                <w:szCs w:val="21"/>
                <w:lang w:val="en-US" w:eastAsia="zh-CN"/>
              </w:rPr>
              <w:t>50t柴</w:t>
            </w:r>
            <w:r>
              <w:rPr>
                <w:rFonts w:hint="eastAsia"/>
                <w:color w:val="auto"/>
                <w:sz w:val="21"/>
                <w:szCs w:val="21"/>
              </w:rPr>
              <w:t>油储罐区设置50cm高的围堰，围堰容积45m</w:t>
            </w:r>
            <w:r>
              <w:rPr>
                <w:rFonts w:hint="eastAsia"/>
                <w:color w:val="auto"/>
                <w:sz w:val="21"/>
                <w:szCs w:val="21"/>
                <w:vertAlign w:val="superscript"/>
              </w:rPr>
              <w:t>3</w:t>
            </w:r>
            <w:r>
              <w:rPr>
                <w:rFonts w:hint="eastAsia"/>
                <w:color w:val="auto"/>
                <w:sz w:val="21"/>
                <w:szCs w:val="21"/>
              </w:rPr>
              <w:t>；</w:t>
            </w:r>
            <w:r>
              <w:rPr>
                <w:rFonts w:hint="eastAsia"/>
                <w:color w:val="auto"/>
                <w:sz w:val="21"/>
                <w:szCs w:val="21"/>
                <w:lang w:val="en-US" w:eastAsia="zh-CN"/>
              </w:rPr>
              <w:t>10t柴</w:t>
            </w:r>
            <w:r>
              <w:rPr>
                <w:rFonts w:hint="eastAsia"/>
                <w:color w:val="auto"/>
                <w:sz w:val="21"/>
                <w:szCs w:val="21"/>
              </w:rPr>
              <w:t>油储罐区设置20cm高的围堰，围堰容积10m</w:t>
            </w:r>
            <w:r>
              <w:rPr>
                <w:rFonts w:hint="eastAsia"/>
                <w:color w:val="auto"/>
                <w:sz w:val="21"/>
                <w:szCs w:val="21"/>
                <w:vertAlign w:val="superscript"/>
              </w:rPr>
              <w:t>3</w:t>
            </w:r>
            <w:r>
              <w:rPr>
                <w:rFonts w:hint="eastAsia"/>
                <w:color w:val="auto"/>
                <w:sz w:val="21"/>
                <w:szCs w:val="21"/>
              </w:rPr>
              <w:t>；加强风险防范措施，完善厂区防渗、防雨、防漏措施。</w:t>
            </w:r>
          </w:p>
          <w:p w14:paraId="4764B7A0">
            <w:pPr>
              <w:keepNext w:val="0"/>
              <w:keepLines w:val="0"/>
              <w:pageBreakBefore w:val="0"/>
              <w:kinsoku/>
              <w:wordWrap/>
              <w:overflowPunct/>
              <w:topLinePunct w:val="0"/>
              <w:autoSpaceDE/>
              <w:autoSpaceDN/>
              <w:bidi w:val="0"/>
              <w:adjustRightInd/>
              <w:snapToGrid/>
              <w:ind w:firstLine="0" w:firstLineChars="0"/>
              <w:textAlignment w:val="auto"/>
              <w:rPr>
                <w:szCs w:val="24"/>
              </w:rPr>
            </w:pPr>
            <w:r>
              <w:rPr>
                <w:rFonts w:hint="eastAsia" w:ascii="宋体" w:hAnsi="宋体" w:cs="宋体"/>
                <w:color w:val="auto"/>
                <w:sz w:val="21"/>
                <w:szCs w:val="21"/>
              </w:rPr>
              <w:t>⑥建议</w:t>
            </w:r>
            <w:r>
              <w:rPr>
                <w:rFonts w:hint="eastAsia" w:ascii="宋体" w:hAnsi="宋体" w:cs="宋体"/>
                <w:color w:val="auto"/>
                <w:sz w:val="21"/>
                <w:szCs w:val="21"/>
                <w:lang w:val="en-US" w:eastAsia="zh-CN"/>
              </w:rPr>
              <w:t>建设单位</w:t>
            </w:r>
            <w:r>
              <w:rPr>
                <w:rFonts w:ascii="宋体" w:hAnsi="宋体" w:cs="宋体"/>
                <w:color w:val="auto"/>
                <w:sz w:val="21"/>
                <w:szCs w:val="21"/>
              </w:rPr>
              <w:t>制订环境风险事故应急预案</w:t>
            </w:r>
            <w:r>
              <w:rPr>
                <w:rFonts w:hint="eastAsia" w:ascii="宋体" w:hAnsi="宋体" w:cs="宋体"/>
                <w:color w:val="auto"/>
                <w:sz w:val="21"/>
                <w:szCs w:val="21"/>
                <w:lang w:val="en-US" w:eastAsia="zh-CN"/>
              </w:rPr>
              <w:t>并进行备案</w:t>
            </w:r>
            <w:r>
              <w:rPr>
                <w:rFonts w:ascii="宋体" w:hAnsi="宋体" w:cs="宋体"/>
                <w:color w:val="auto"/>
                <w:sz w:val="21"/>
                <w:szCs w:val="21"/>
              </w:rPr>
              <w:t>，配备一系列有效的应急措施和相应的各种设备，使各有关工作人员接受应急事故处理培训，一旦发生事故时，应有条不紊地按应急方案实施，以将事故损失减少至最低限度</w:t>
            </w:r>
            <w:r>
              <w:rPr>
                <w:rFonts w:hint="eastAsia"/>
                <w:color w:val="auto"/>
                <w:sz w:val="21"/>
                <w:szCs w:val="21"/>
              </w:rPr>
              <w:t>。</w:t>
            </w:r>
          </w:p>
        </w:tc>
      </w:tr>
      <w:tr w14:paraId="32AD3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17" w:type="dxa"/>
            <w:noWrap w:val="0"/>
            <w:vAlign w:val="center"/>
          </w:tcPr>
          <w:p w14:paraId="1384F1D6">
            <w:pPr>
              <w:ind w:firstLine="0" w:firstLineChars="0"/>
              <w:jc w:val="center"/>
              <w:rPr>
                <w:rFonts w:hint="eastAsia"/>
                <w:szCs w:val="24"/>
                <w:lang w:eastAsia="zh-CN"/>
              </w:rPr>
            </w:pPr>
            <w:r>
              <w:rPr>
                <w:rFonts w:hint="eastAsia"/>
                <w:szCs w:val="24"/>
                <w:lang w:eastAsia="zh-CN"/>
              </w:rPr>
              <w:t>其他环境管理要求</w:t>
            </w:r>
          </w:p>
        </w:tc>
        <w:tc>
          <w:tcPr>
            <w:tcW w:w="7505" w:type="dxa"/>
            <w:gridSpan w:val="5"/>
            <w:noWrap w:val="0"/>
            <w:vAlign w:val="center"/>
          </w:tcPr>
          <w:p w14:paraId="4806A206">
            <w:pPr>
              <w:widowControl/>
              <w:numPr>
                <w:ilvl w:val="0"/>
                <w:numId w:val="5"/>
              </w:numPr>
              <w:adjustRightInd w:val="0"/>
              <w:spacing w:line="360" w:lineRule="exact"/>
              <w:ind w:firstLine="0" w:firstLineChars="0"/>
              <w:jc w:val="left"/>
              <w:rPr>
                <w:kern w:val="0"/>
                <w:sz w:val="21"/>
                <w:szCs w:val="21"/>
                <w:lang w:bidi="ar"/>
              </w:rPr>
            </w:pPr>
            <w:r>
              <w:rPr>
                <w:kern w:val="0"/>
                <w:sz w:val="21"/>
                <w:szCs w:val="21"/>
                <w:lang w:bidi="ar"/>
              </w:rPr>
              <w:t>竣工环境保护验收</w:t>
            </w:r>
          </w:p>
          <w:p w14:paraId="315A8223">
            <w:pPr>
              <w:widowControl/>
              <w:adjustRightInd w:val="0"/>
              <w:spacing w:line="360" w:lineRule="exact"/>
              <w:ind w:firstLine="0" w:firstLineChars="0"/>
              <w:jc w:val="left"/>
              <w:rPr>
                <w:sz w:val="21"/>
                <w:szCs w:val="21"/>
              </w:rPr>
            </w:pPr>
            <w:r>
              <w:rPr>
                <w:kern w:val="0"/>
                <w:sz w:val="21"/>
                <w:szCs w:val="21"/>
                <w:lang w:bidi="ar"/>
              </w:rPr>
              <w:t>根据《建设项目竣工环境保护验收暂行办法》（国环规环评</w:t>
            </w:r>
            <w:r>
              <w:rPr>
                <w:rFonts w:hint="eastAsia"/>
                <w:kern w:val="0"/>
                <w:sz w:val="21"/>
                <w:szCs w:val="21"/>
                <w:lang w:bidi="ar"/>
              </w:rPr>
              <w:t>〔2017〕4号</w:t>
            </w:r>
            <w:r>
              <w:rPr>
                <w:kern w:val="0"/>
                <w:sz w:val="21"/>
                <w:szCs w:val="21"/>
                <w:lang w:bidi="ar"/>
              </w:rPr>
              <w:t>）文件，建设单位作为项目竣工环保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14:paraId="527516F9">
            <w:pPr>
              <w:widowControl/>
              <w:adjustRightInd w:val="0"/>
              <w:spacing w:line="360" w:lineRule="exact"/>
              <w:ind w:firstLine="0" w:firstLineChars="0"/>
              <w:rPr>
                <w:kern w:val="0"/>
                <w:sz w:val="21"/>
                <w:szCs w:val="21"/>
                <w:lang w:bidi="ar"/>
              </w:rPr>
            </w:pPr>
            <w:r>
              <w:rPr>
                <w:kern w:val="0"/>
                <w:sz w:val="21"/>
                <w:szCs w:val="21"/>
                <w:lang w:bidi="ar"/>
              </w:rPr>
              <w:t>（2）排污许可</w:t>
            </w:r>
          </w:p>
          <w:p w14:paraId="0DAB803F">
            <w:pPr>
              <w:widowControl/>
              <w:adjustRightInd w:val="0"/>
              <w:spacing w:line="360" w:lineRule="exact"/>
              <w:ind w:firstLine="0" w:firstLineChars="0"/>
              <w:rPr>
                <w:kern w:val="0"/>
                <w:sz w:val="21"/>
                <w:szCs w:val="21"/>
                <w:lang w:bidi="ar"/>
              </w:rPr>
            </w:pPr>
            <w:r>
              <w:rPr>
                <w:kern w:val="0"/>
                <w:sz w:val="21"/>
                <w:szCs w:val="21"/>
                <w:lang w:bidi="ar"/>
              </w:rPr>
              <w:t>根据《固定污染源排污许可分类管理名录（2019年版）》（部令〔2019〕第11号），本项目属于简化管理，企业应当在启动生产设施或者发生实际排污之前申领取得排污许可证。</w:t>
            </w:r>
          </w:p>
          <w:p w14:paraId="11612703">
            <w:pPr>
              <w:widowControl/>
              <w:adjustRightInd w:val="0"/>
              <w:spacing w:line="360" w:lineRule="exact"/>
              <w:ind w:firstLine="0" w:firstLineChars="0"/>
              <w:rPr>
                <w:kern w:val="0"/>
                <w:sz w:val="21"/>
                <w:szCs w:val="21"/>
                <w:lang w:bidi="ar"/>
              </w:rPr>
            </w:pPr>
            <w:r>
              <w:rPr>
                <w:kern w:val="0"/>
                <w:sz w:val="21"/>
                <w:szCs w:val="21"/>
                <w:lang w:bidi="ar"/>
              </w:rPr>
              <w:t>（3）标识标牌</w:t>
            </w:r>
          </w:p>
          <w:p w14:paraId="50C6988A">
            <w:pPr>
              <w:widowControl/>
              <w:adjustRightInd w:val="0"/>
              <w:spacing w:line="360" w:lineRule="exact"/>
              <w:ind w:firstLine="0" w:firstLineChars="0"/>
              <w:rPr>
                <w:kern w:val="0"/>
                <w:sz w:val="21"/>
                <w:szCs w:val="21"/>
                <w:lang w:bidi="ar"/>
              </w:rPr>
            </w:pPr>
            <w:r>
              <w:rPr>
                <w:kern w:val="0"/>
                <w:sz w:val="21"/>
                <w:szCs w:val="21"/>
                <w:lang w:bidi="ar"/>
              </w:rPr>
              <w:t>废气排放口预留监测采样孔，并应设置采样平台、规范排污口及其管理、设置排污口环保图形标志牌。</w:t>
            </w:r>
          </w:p>
          <w:p w14:paraId="3BD28DD7">
            <w:pPr>
              <w:ind w:firstLine="0" w:firstLineChars="0"/>
              <w:rPr>
                <w:szCs w:val="24"/>
              </w:rPr>
            </w:pPr>
            <w:r>
              <w:rPr>
                <w:kern w:val="0"/>
                <w:sz w:val="21"/>
                <w:szCs w:val="21"/>
                <w:lang w:bidi="ar"/>
              </w:rPr>
              <w:t>（4）编制《突发环境事件应急预案》并向有关部门备案并定期更新、评审。</w:t>
            </w:r>
          </w:p>
        </w:tc>
      </w:tr>
    </w:tbl>
    <w:p w14:paraId="1B0844D8">
      <w:pPr>
        <w:rPr>
          <w:rFonts w:hint="eastAsia"/>
        </w:rPr>
      </w:pPr>
      <w:r>
        <w:rPr>
          <w:rFonts w:hint="eastAsia"/>
        </w:rPr>
        <w:br w:type="page"/>
      </w:r>
    </w:p>
    <w:p w14:paraId="3084C251">
      <w:pPr>
        <w:pStyle w:val="2"/>
        <w:jc w:val="center"/>
      </w:pPr>
      <w:bookmarkStart w:id="19" w:name="_Toc12811"/>
      <w:r>
        <w:rPr>
          <w:rFonts w:hint="eastAsia" w:ascii="宋体" w:hAnsi="宋体"/>
          <w:lang w:eastAsia="zh-CN"/>
        </w:rPr>
        <w:t>六</w:t>
      </w:r>
      <w:r>
        <w:rPr>
          <w:rFonts w:hint="eastAsia" w:ascii="宋体" w:hAnsi="宋体"/>
        </w:rPr>
        <w:t>、</w:t>
      </w:r>
      <w:r>
        <w:rPr>
          <w:rFonts w:ascii="宋体" w:hAnsi="宋体"/>
        </w:rPr>
        <w:t>结论</w:t>
      </w:r>
      <w:bookmarkEnd w:id="19"/>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8420"/>
      </w:tblGrid>
      <w:tr w14:paraId="3EC81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12607" w:hRule="atLeast"/>
          <w:jc w:val="center"/>
        </w:trPr>
        <w:tc>
          <w:tcPr>
            <w:tcW w:w="8420" w:type="dxa"/>
            <w:noWrap w:val="0"/>
            <w:vAlign w:val="top"/>
          </w:tcPr>
          <w:p w14:paraId="15D0E144">
            <w:pPr>
              <w:spacing w:line="600" w:lineRule="exact"/>
              <w:ind w:firstLine="560"/>
              <w:rPr>
                <w:rFonts w:hint="eastAsia"/>
                <w:sz w:val="28"/>
                <w:szCs w:val="28"/>
              </w:rPr>
            </w:pPr>
            <w:r>
              <w:rPr>
                <w:rFonts w:hint="default" w:ascii="Times New Roman" w:hAnsi="Times New Roman" w:eastAsia="宋体" w:cs="Times New Roman"/>
                <w:color w:val="auto"/>
              </w:rPr>
              <w:t>根据分析评价，本项目符合国家和地方相关产业政策，符合达标排放和总量控制要求，场内平面布置合理。该项目的建设，对当地经济发展起到一定的促进作用。对产生的废气、污水、噪声、固废采取措施治理后，能够实现污染物的达标排放，不会对环境造成大的影响，不会降低当地的环境功能。在严格执行有关环保法规和</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制度，认真落实本报告提出的各项污染防治措施的基础上，该项目能够实现社会效益、经济效益和环境效益的协调发展。从环境保护角度分析，该项目可行。</w:t>
            </w:r>
          </w:p>
          <w:p w14:paraId="7B1AB42D">
            <w:pPr>
              <w:spacing w:line="600" w:lineRule="exact"/>
              <w:ind w:firstLine="560"/>
              <w:rPr>
                <w:rFonts w:hint="eastAsia"/>
                <w:sz w:val="28"/>
                <w:szCs w:val="28"/>
              </w:rPr>
            </w:pPr>
          </w:p>
          <w:p w14:paraId="535EEBC0">
            <w:pPr>
              <w:spacing w:line="600" w:lineRule="exact"/>
              <w:ind w:firstLine="480"/>
              <w:rPr>
                <w:szCs w:val="20"/>
              </w:rPr>
            </w:pPr>
          </w:p>
          <w:p w14:paraId="5DE116DF">
            <w:pPr>
              <w:spacing w:line="600" w:lineRule="exact"/>
              <w:ind w:firstLine="480"/>
              <w:rPr>
                <w:szCs w:val="20"/>
              </w:rPr>
            </w:pPr>
          </w:p>
          <w:p w14:paraId="4A856A5F">
            <w:pPr>
              <w:spacing w:line="600" w:lineRule="exact"/>
              <w:ind w:firstLine="0" w:firstLineChars="0"/>
              <w:rPr>
                <w:szCs w:val="20"/>
              </w:rPr>
            </w:pPr>
          </w:p>
        </w:tc>
      </w:tr>
    </w:tbl>
    <w:p w14:paraId="5C07E564">
      <w:pPr>
        <w:ind w:left="0" w:leftChars="0" w:firstLine="0" w:firstLineChars="0"/>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1C84DF11">
      <w:pPr>
        <w:pStyle w:val="14"/>
        <w:adjustRightInd w:val="0"/>
        <w:snapToGrid w:val="0"/>
        <w:spacing w:before="0" w:beforeAutospacing="0" w:after="0" w:afterAutospacing="0" w:line="240" w:lineRule="auto"/>
        <w:ind w:firstLine="640"/>
        <w:outlineLvl w:val="0"/>
        <w:rPr>
          <w:rFonts w:hint="default" w:ascii="Times New Roman" w:hAnsi="Times New Roman" w:eastAsia="宋体" w:cs="Times New Roman"/>
          <w:snapToGrid w:val="0"/>
          <w:color w:val="auto"/>
          <w:sz w:val="32"/>
          <w:szCs w:val="32"/>
        </w:rPr>
      </w:pPr>
      <w:bookmarkStart w:id="20" w:name="_Toc77840042"/>
      <w:r>
        <w:rPr>
          <w:rFonts w:hint="default" w:ascii="Times New Roman" w:hAnsi="Times New Roman" w:eastAsia="宋体" w:cs="Times New Roman"/>
          <w:snapToGrid w:val="0"/>
          <w:color w:val="auto"/>
          <w:sz w:val="32"/>
          <w:szCs w:val="32"/>
        </w:rPr>
        <w:t>附表</w:t>
      </w:r>
      <w:bookmarkEnd w:id="20"/>
    </w:p>
    <w:p w14:paraId="40E2C3A3">
      <w:pPr>
        <w:pStyle w:val="2"/>
        <w:jc w:val="center"/>
        <w:rPr>
          <w:rFonts w:hint="default" w:ascii="Times New Roman" w:hAnsi="Times New Roman" w:eastAsia="宋体" w:cs="Times New Roman"/>
          <w:snapToGrid w:val="0"/>
          <w:color w:val="auto"/>
          <w:sz w:val="28"/>
          <w:szCs w:val="28"/>
        </w:rPr>
      </w:pPr>
      <w:bookmarkStart w:id="21" w:name="_Toc77840043"/>
      <w:r>
        <w:rPr>
          <w:rFonts w:hint="default" w:ascii="Times New Roman" w:hAnsi="Times New Roman" w:eastAsia="宋体" w:cs="Times New Roman"/>
          <w:snapToGrid w:val="0"/>
          <w:color w:val="auto"/>
          <w:sz w:val="28"/>
          <w:szCs w:val="28"/>
        </w:rPr>
        <w:t>建设项目污染物排放量汇总表</w:t>
      </w:r>
      <w:bookmarkEnd w:id="21"/>
    </w:p>
    <w:tbl>
      <w:tblPr>
        <w:tblStyle w:val="15"/>
        <w:tblW w:w="1395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854"/>
        <w:gridCol w:w="1461"/>
        <w:gridCol w:w="1276"/>
        <w:gridCol w:w="1701"/>
        <w:gridCol w:w="1559"/>
        <w:gridCol w:w="1761"/>
        <w:gridCol w:w="1471"/>
        <w:gridCol w:w="1485"/>
      </w:tblGrid>
      <w:tr w14:paraId="3DEAE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91" w:type="dxa"/>
            <w:tcBorders>
              <w:tl2br w:val="single" w:color="auto" w:sz="4" w:space="0"/>
            </w:tcBorders>
            <w:noWrap w:val="0"/>
            <w:tcMar>
              <w:left w:w="28" w:type="dxa"/>
              <w:right w:w="28" w:type="dxa"/>
            </w:tcMar>
            <w:vAlign w:val="center"/>
          </w:tcPr>
          <w:p w14:paraId="71340C90">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 xml:space="preserve">        项目</w:t>
            </w:r>
          </w:p>
          <w:p w14:paraId="078F42B8">
            <w:pPr>
              <w:pStyle w:val="20"/>
              <w:spacing w:line="240" w:lineRule="auto"/>
              <w:rPr>
                <w:rFonts w:hint="default" w:ascii="Times New Roman" w:hAnsi="Times New Roman" w:eastAsia="宋体" w:cs="Times New Roman"/>
                <w:snapToGrid w:val="0"/>
                <w:color w:val="auto"/>
                <w:sz w:val="21"/>
                <w:szCs w:val="21"/>
              </w:rPr>
            </w:pPr>
          </w:p>
          <w:p w14:paraId="08835565">
            <w:pPr>
              <w:pStyle w:val="20"/>
              <w:spacing w:line="240" w:lineRule="auto"/>
              <w:jc w:val="both"/>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分类</w:t>
            </w:r>
          </w:p>
        </w:tc>
        <w:tc>
          <w:tcPr>
            <w:tcW w:w="1854" w:type="dxa"/>
            <w:noWrap w:val="0"/>
            <w:tcMar>
              <w:left w:w="28" w:type="dxa"/>
              <w:right w:w="28" w:type="dxa"/>
            </w:tcMar>
            <w:vAlign w:val="center"/>
          </w:tcPr>
          <w:p w14:paraId="750DC2B7">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污染物名称</w:t>
            </w:r>
          </w:p>
        </w:tc>
        <w:tc>
          <w:tcPr>
            <w:tcW w:w="1461" w:type="dxa"/>
            <w:noWrap w:val="0"/>
            <w:tcMar>
              <w:left w:w="28" w:type="dxa"/>
              <w:right w:w="28" w:type="dxa"/>
            </w:tcMar>
            <w:vAlign w:val="center"/>
          </w:tcPr>
          <w:p w14:paraId="5362FA7E">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现有工程</w:t>
            </w:r>
          </w:p>
          <w:p w14:paraId="54A32130">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排放量（固体废物产生量）</w:t>
            </w: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1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color w:val="auto"/>
                <w:sz w:val="21"/>
                <w:szCs w:val="21"/>
              </w:rPr>
              <w:t>①</w:t>
            </w:r>
            <w:r>
              <w:rPr>
                <w:rFonts w:hint="default" w:ascii="Times New Roman" w:hAnsi="Times New Roman" w:eastAsia="宋体" w:cs="Times New Roman"/>
                <w:snapToGrid w:val="0"/>
                <w:color w:val="auto"/>
                <w:sz w:val="21"/>
                <w:szCs w:val="21"/>
              </w:rPr>
              <w:fldChar w:fldCharType="end"/>
            </w:r>
          </w:p>
        </w:tc>
        <w:tc>
          <w:tcPr>
            <w:tcW w:w="1276" w:type="dxa"/>
            <w:noWrap w:val="0"/>
            <w:tcMar>
              <w:left w:w="28" w:type="dxa"/>
              <w:right w:w="28" w:type="dxa"/>
            </w:tcMar>
            <w:vAlign w:val="center"/>
          </w:tcPr>
          <w:p w14:paraId="1E3B0F4D">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现有工程</w:t>
            </w:r>
          </w:p>
          <w:p w14:paraId="64B329C5">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许可排放量</w:t>
            </w:r>
          </w:p>
          <w:p w14:paraId="2F0B8F8D">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2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snapToGrid w:val="0"/>
                <w:color w:val="auto"/>
                <w:sz w:val="21"/>
                <w:szCs w:val="21"/>
              </w:rPr>
              <w:t>②</w:t>
            </w:r>
            <w:r>
              <w:rPr>
                <w:rFonts w:hint="default" w:ascii="Times New Roman" w:hAnsi="Times New Roman" w:eastAsia="宋体" w:cs="Times New Roman"/>
                <w:snapToGrid w:val="0"/>
                <w:color w:val="auto"/>
                <w:sz w:val="21"/>
                <w:szCs w:val="21"/>
              </w:rPr>
              <w:fldChar w:fldCharType="end"/>
            </w:r>
          </w:p>
        </w:tc>
        <w:tc>
          <w:tcPr>
            <w:tcW w:w="1701" w:type="dxa"/>
            <w:noWrap w:val="0"/>
            <w:tcMar>
              <w:left w:w="28" w:type="dxa"/>
              <w:right w:w="28" w:type="dxa"/>
            </w:tcMar>
            <w:vAlign w:val="center"/>
          </w:tcPr>
          <w:p w14:paraId="0F01A17F">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在建工程</w:t>
            </w:r>
          </w:p>
          <w:p w14:paraId="5E8DB675">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排放量（固体废物产生量）</w:t>
            </w: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3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color w:val="auto"/>
                <w:sz w:val="21"/>
                <w:szCs w:val="21"/>
              </w:rPr>
              <w:t>③</w:t>
            </w:r>
            <w:r>
              <w:rPr>
                <w:rFonts w:hint="default" w:ascii="Times New Roman" w:hAnsi="Times New Roman" w:eastAsia="宋体" w:cs="Times New Roman"/>
                <w:snapToGrid w:val="0"/>
                <w:color w:val="auto"/>
                <w:sz w:val="21"/>
                <w:szCs w:val="21"/>
              </w:rPr>
              <w:fldChar w:fldCharType="end"/>
            </w:r>
          </w:p>
        </w:tc>
        <w:tc>
          <w:tcPr>
            <w:tcW w:w="1559" w:type="dxa"/>
            <w:noWrap w:val="0"/>
            <w:tcMar>
              <w:left w:w="28" w:type="dxa"/>
              <w:right w:w="28" w:type="dxa"/>
            </w:tcMar>
            <w:vAlign w:val="center"/>
          </w:tcPr>
          <w:p w14:paraId="7F1D97D9">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本项目</w:t>
            </w:r>
          </w:p>
          <w:p w14:paraId="43E518C8">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排放量（固体废物产生量）</w:t>
            </w: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4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color w:val="auto"/>
                <w:sz w:val="21"/>
                <w:szCs w:val="21"/>
              </w:rPr>
              <w:t>④</w:t>
            </w:r>
            <w:r>
              <w:rPr>
                <w:rFonts w:hint="default" w:ascii="Times New Roman" w:hAnsi="Times New Roman" w:eastAsia="宋体" w:cs="Times New Roman"/>
                <w:snapToGrid w:val="0"/>
                <w:color w:val="auto"/>
                <w:sz w:val="21"/>
                <w:szCs w:val="21"/>
              </w:rPr>
              <w:fldChar w:fldCharType="end"/>
            </w:r>
          </w:p>
        </w:tc>
        <w:tc>
          <w:tcPr>
            <w:tcW w:w="1761" w:type="dxa"/>
            <w:noWrap w:val="0"/>
            <w:tcMar>
              <w:left w:w="28" w:type="dxa"/>
              <w:right w:w="28" w:type="dxa"/>
            </w:tcMar>
            <w:vAlign w:val="center"/>
          </w:tcPr>
          <w:p w14:paraId="26D99700">
            <w:pPr>
              <w:pStyle w:val="20"/>
              <w:spacing w:line="240" w:lineRule="auto"/>
              <w:rPr>
                <w:rFonts w:hint="default" w:ascii="Times New Roman" w:hAnsi="Times New Roman" w:eastAsia="宋体" w:cs="Times New Roman"/>
                <w:snapToGrid w:val="0"/>
                <w:color w:val="auto"/>
                <w:spacing w:val="-16"/>
                <w:sz w:val="21"/>
                <w:szCs w:val="21"/>
              </w:rPr>
            </w:pPr>
            <w:r>
              <w:rPr>
                <w:rFonts w:hint="default" w:ascii="Times New Roman" w:hAnsi="Times New Roman" w:eastAsia="宋体" w:cs="Times New Roman"/>
                <w:snapToGrid w:val="0"/>
                <w:color w:val="auto"/>
                <w:spacing w:val="-16"/>
                <w:sz w:val="21"/>
                <w:szCs w:val="21"/>
              </w:rPr>
              <w:t>以新带老削减量</w:t>
            </w:r>
          </w:p>
          <w:p w14:paraId="15BA0AF2">
            <w:pPr>
              <w:pStyle w:val="20"/>
              <w:spacing w:line="240" w:lineRule="auto"/>
              <w:rPr>
                <w:rFonts w:hint="default" w:ascii="Times New Roman" w:hAnsi="Times New Roman" w:eastAsia="宋体" w:cs="Times New Roman"/>
                <w:snapToGrid w:val="0"/>
                <w:color w:val="auto"/>
                <w:spacing w:val="-16"/>
                <w:sz w:val="21"/>
                <w:szCs w:val="21"/>
              </w:rPr>
            </w:pPr>
            <w:r>
              <w:rPr>
                <w:rFonts w:hint="default" w:ascii="Times New Roman" w:hAnsi="Times New Roman" w:eastAsia="宋体" w:cs="Times New Roman"/>
                <w:snapToGrid w:val="0"/>
                <w:color w:val="auto"/>
                <w:spacing w:val="-16"/>
                <w:sz w:val="21"/>
                <w:szCs w:val="21"/>
              </w:rPr>
              <w:t>（新建项目不填）</w:t>
            </w:r>
            <w:r>
              <w:rPr>
                <w:rFonts w:hint="default" w:ascii="Times New Roman" w:hAnsi="Times New Roman" w:eastAsia="宋体" w:cs="Times New Roman"/>
                <w:snapToGrid w:val="0"/>
                <w:color w:val="auto"/>
                <w:spacing w:val="-16"/>
                <w:sz w:val="21"/>
                <w:szCs w:val="21"/>
              </w:rPr>
              <w:fldChar w:fldCharType="begin"/>
            </w:r>
            <w:r>
              <w:rPr>
                <w:rFonts w:hint="default" w:ascii="Times New Roman" w:hAnsi="Times New Roman" w:eastAsia="宋体" w:cs="Times New Roman"/>
                <w:snapToGrid w:val="0"/>
                <w:color w:val="auto"/>
                <w:spacing w:val="-16"/>
                <w:sz w:val="21"/>
                <w:szCs w:val="21"/>
              </w:rPr>
              <w:instrText xml:space="preserve"> = 5 \* GB3 \* MERGEFORMAT </w:instrText>
            </w:r>
            <w:r>
              <w:rPr>
                <w:rFonts w:hint="default" w:ascii="Times New Roman" w:hAnsi="Times New Roman" w:eastAsia="宋体" w:cs="Times New Roman"/>
                <w:snapToGrid w:val="0"/>
                <w:color w:val="auto"/>
                <w:spacing w:val="-16"/>
                <w:sz w:val="21"/>
                <w:szCs w:val="21"/>
              </w:rPr>
              <w:fldChar w:fldCharType="separate"/>
            </w:r>
            <w:r>
              <w:rPr>
                <w:rFonts w:hint="default" w:ascii="Times New Roman" w:hAnsi="Times New Roman" w:eastAsia="宋体" w:cs="Times New Roman"/>
                <w:color w:val="auto"/>
                <w:sz w:val="21"/>
                <w:szCs w:val="21"/>
              </w:rPr>
              <w:t>⑤</w:t>
            </w:r>
            <w:r>
              <w:rPr>
                <w:rFonts w:hint="default" w:ascii="Times New Roman" w:hAnsi="Times New Roman" w:eastAsia="宋体" w:cs="Times New Roman"/>
                <w:snapToGrid w:val="0"/>
                <w:color w:val="auto"/>
                <w:spacing w:val="-16"/>
                <w:sz w:val="21"/>
                <w:szCs w:val="21"/>
              </w:rPr>
              <w:fldChar w:fldCharType="end"/>
            </w:r>
          </w:p>
        </w:tc>
        <w:tc>
          <w:tcPr>
            <w:tcW w:w="1471" w:type="dxa"/>
            <w:noWrap w:val="0"/>
            <w:tcMar>
              <w:left w:w="28" w:type="dxa"/>
              <w:right w:w="28" w:type="dxa"/>
            </w:tcMar>
            <w:vAlign w:val="center"/>
          </w:tcPr>
          <w:p w14:paraId="3CCCC6C3">
            <w:pPr>
              <w:pStyle w:val="20"/>
              <w:spacing w:line="240" w:lineRule="auto"/>
              <w:rPr>
                <w:rFonts w:hint="default" w:ascii="Times New Roman" w:hAnsi="Times New Roman" w:eastAsia="宋体" w:cs="Times New Roman"/>
                <w:snapToGrid w:val="0"/>
                <w:color w:val="auto"/>
                <w:spacing w:val="-16"/>
                <w:sz w:val="21"/>
                <w:szCs w:val="21"/>
              </w:rPr>
            </w:pPr>
            <w:r>
              <w:rPr>
                <w:rFonts w:hint="default" w:ascii="Times New Roman" w:hAnsi="Times New Roman" w:eastAsia="宋体" w:cs="Times New Roman"/>
                <w:snapToGrid w:val="0"/>
                <w:color w:val="auto"/>
                <w:spacing w:val="-16"/>
                <w:sz w:val="21"/>
                <w:szCs w:val="21"/>
              </w:rPr>
              <w:t>本项目建成后</w:t>
            </w:r>
          </w:p>
          <w:p w14:paraId="2B935799">
            <w:pPr>
              <w:pStyle w:val="20"/>
              <w:spacing w:line="240" w:lineRule="auto"/>
              <w:rPr>
                <w:rFonts w:hint="default" w:ascii="Times New Roman" w:hAnsi="Times New Roman" w:eastAsia="宋体" w:cs="Times New Roman"/>
                <w:snapToGrid w:val="0"/>
                <w:color w:val="auto"/>
                <w:spacing w:val="-16"/>
                <w:sz w:val="21"/>
                <w:szCs w:val="21"/>
              </w:rPr>
            </w:pPr>
            <w:r>
              <w:rPr>
                <w:rFonts w:hint="default" w:ascii="Times New Roman" w:hAnsi="Times New Roman" w:eastAsia="宋体" w:cs="Times New Roman"/>
                <w:snapToGrid w:val="0"/>
                <w:color w:val="auto"/>
                <w:spacing w:val="-16"/>
                <w:sz w:val="21"/>
                <w:szCs w:val="21"/>
              </w:rPr>
              <w:t>全厂排放量（固体废物产生量）</w:t>
            </w:r>
            <w:r>
              <w:rPr>
                <w:rFonts w:hint="default" w:ascii="Times New Roman" w:hAnsi="Times New Roman" w:eastAsia="宋体" w:cs="Times New Roman"/>
                <w:snapToGrid w:val="0"/>
                <w:color w:val="auto"/>
                <w:spacing w:val="-16"/>
                <w:sz w:val="21"/>
                <w:szCs w:val="21"/>
              </w:rPr>
              <w:fldChar w:fldCharType="begin"/>
            </w:r>
            <w:r>
              <w:rPr>
                <w:rFonts w:hint="default" w:ascii="Times New Roman" w:hAnsi="Times New Roman" w:eastAsia="宋体" w:cs="Times New Roman"/>
                <w:snapToGrid w:val="0"/>
                <w:color w:val="auto"/>
                <w:spacing w:val="-16"/>
                <w:sz w:val="21"/>
                <w:szCs w:val="21"/>
              </w:rPr>
              <w:instrText xml:space="preserve"> = 6 \* GB3 \* MERGEFORMAT </w:instrText>
            </w:r>
            <w:r>
              <w:rPr>
                <w:rFonts w:hint="default" w:ascii="Times New Roman" w:hAnsi="Times New Roman" w:eastAsia="宋体" w:cs="Times New Roman"/>
                <w:snapToGrid w:val="0"/>
                <w:color w:val="auto"/>
                <w:spacing w:val="-16"/>
                <w:sz w:val="21"/>
                <w:szCs w:val="21"/>
              </w:rPr>
              <w:fldChar w:fldCharType="separate"/>
            </w:r>
            <w:r>
              <w:rPr>
                <w:rFonts w:hint="default" w:ascii="Times New Roman" w:hAnsi="Times New Roman" w:eastAsia="宋体" w:cs="Times New Roman"/>
                <w:color w:val="auto"/>
                <w:sz w:val="21"/>
                <w:szCs w:val="21"/>
              </w:rPr>
              <w:t>⑥</w:t>
            </w:r>
            <w:r>
              <w:rPr>
                <w:rFonts w:hint="default" w:ascii="Times New Roman" w:hAnsi="Times New Roman" w:eastAsia="宋体" w:cs="Times New Roman"/>
                <w:snapToGrid w:val="0"/>
                <w:color w:val="auto"/>
                <w:spacing w:val="-16"/>
                <w:sz w:val="21"/>
                <w:szCs w:val="21"/>
              </w:rPr>
              <w:fldChar w:fldCharType="end"/>
            </w:r>
          </w:p>
        </w:tc>
        <w:tc>
          <w:tcPr>
            <w:tcW w:w="1485" w:type="dxa"/>
            <w:noWrap w:val="0"/>
            <w:tcMar>
              <w:left w:w="28" w:type="dxa"/>
              <w:right w:w="28" w:type="dxa"/>
            </w:tcMar>
            <w:vAlign w:val="center"/>
          </w:tcPr>
          <w:p w14:paraId="61A3694E">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变化量</w:t>
            </w:r>
          </w:p>
          <w:p w14:paraId="72B9CFA6">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fldChar w:fldCharType="begin"/>
            </w:r>
            <w:r>
              <w:rPr>
                <w:rFonts w:hint="default" w:ascii="Times New Roman" w:hAnsi="Times New Roman" w:eastAsia="宋体" w:cs="Times New Roman"/>
                <w:snapToGrid w:val="0"/>
                <w:color w:val="auto"/>
                <w:sz w:val="21"/>
                <w:szCs w:val="21"/>
              </w:rPr>
              <w:instrText xml:space="preserve"> = 7 \* GB3 \* MERGEFORMAT </w:instrText>
            </w:r>
            <w:r>
              <w:rPr>
                <w:rFonts w:hint="default" w:ascii="Times New Roman" w:hAnsi="Times New Roman" w:eastAsia="宋体" w:cs="Times New Roman"/>
                <w:snapToGrid w:val="0"/>
                <w:color w:val="auto"/>
                <w:sz w:val="21"/>
                <w:szCs w:val="21"/>
              </w:rPr>
              <w:fldChar w:fldCharType="separate"/>
            </w:r>
            <w:r>
              <w:rPr>
                <w:rFonts w:hint="default" w:ascii="Times New Roman" w:hAnsi="Times New Roman" w:eastAsia="宋体" w:cs="Times New Roman"/>
                <w:color w:val="auto"/>
                <w:sz w:val="21"/>
                <w:szCs w:val="21"/>
              </w:rPr>
              <w:t>⑦</w:t>
            </w:r>
            <w:r>
              <w:rPr>
                <w:rFonts w:hint="default" w:ascii="Times New Roman" w:hAnsi="Times New Roman" w:eastAsia="宋体" w:cs="Times New Roman"/>
                <w:snapToGrid w:val="0"/>
                <w:color w:val="auto"/>
                <w:sz w:val="21"/>
                <w:szCs w:val="21"/>
              </w:rPr>
              <w:fldChar w:fldCharType="end"/>
            </w:r>
          </w:p>
        </w:tc>
      </w:tr>
      <w:tr w14:paraId="2D3A79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91" w:type="dxa"/>
            <w:vMerge w:val="restart"/>
            <w:noWrap w:val="0"/>
            <w:vAlign w:val="center"/>
          </w:tcPr>
          <w:p w14:paraId="00A415E3">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废气</w:t>
            </w:r>
          </w:p>
        </w:tc>
        <w:tc>
          <w:tcPr>
            <w:tcW w:w="12568" w:type="dxa"/>
            <w:gridSpan w:val="8"/>
            <w:noWrap w:val="0"/>
            <w:vAlign w:val="center"/>
          </w:tcPr>
          <w:p w14:paraId="211E35F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废气量：1.866t/a</w:t>
            </w:r>
          </w:p>
        </w:tc>
      </w:tr>
      <w:tr w14:paraId="4815B6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391" w:type="dxa"/>
            <w:vMerge w:val="continue"/>
            <w:noWrap w:val="0"/>
            <w:vAlign w:val="center"/>
          </w:tcPr>
          <w:p w14:paraId="359CD03C">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60B1A832">
            <w:pPr>
              <w:pStyle w:val="20"/>
              <w:spacing w:line="240" w:lineRule="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颗粒物</w:t>
            </w:r>
          </w:p>
        </w:tc>
        <w:tc>
          <w:tcPr>
            <w:tcW w:w="1461" w:type="dxa"/>
            <w:noWrap w:val="0"/>
            <w:vAlign w:val="center"/>
          </w:tcPr>
          <w:p w14:paraId="2FEB2B68">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13878AF8">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17DA84C5">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69C9549E">
            <w:pPr>
              <w:pStyle w:val="20"/>
              <w:spacing w:line="240" w:lineRule="auto"/>
              <w:ind w:firstLine="0" w:firstLineChars="0"/>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1.217t/a</w:t>
            </w:r>
          </w:p>
        </w:tc>
        <w:tc>
          <w:tcPr>
            <w:tcW w:w="1761" w:type="dxa"/>
            <w:noWrap w:val="0"/>
            <w:vAlign w:val="center"/>
          </w:tcPr>
          <w:p w14:paraId="27A5AC60">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center"/>
          </w:tcPr>
          <w:p w14:paraId="68644A93">
            <w:pPr>
              <w:pStyle w:val="20"/>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 w:val="21"/>
                <w:szCs w:val="21"/>
                <w:lang w:val="en-US" w:eastAsia="zh-CN"/>
              </w:rPr>
              <w:t>1.217t/a</w:t>
            </w:r>
          </w:p>
        </w:tc>
        <w:tc>
          <w:tcPr>
            <w:tcW w:w="1485" w:type="dxa"/>
            <w:noWrap w:val="0"/>
            <w:vAlign w:val="center"/>
          </w:tcPr>
          <w:p w14:paraId="68C03B2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r>
      <w:tr w14:paraId="28866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91" w:type="dxa"/>
            <w:vMerge w:val="continue"/>
            <w:noWrap w:val="0"/>
            <w:vAlign w:val="center"/>
          </w:tcPr>
          <w:p w14:paraId="49B27977">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7AD138AC">
            <w:pPr>
              <w:pStyle w:val="20"/>
              <w:spacing w:line="240" w:lineRule="auto"/>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SO</w:t>
            </w:r>
            <w:r>
              <w:rPr>
                <w:rFonts w:hint="eastAsia" w:cs="Times New Roman"/>
                <w:snapToGrid w:val="0"/>
                <w:color w:val="auto"/>
                <w:sz w:val="21"/>
                <w:szCs w:val="21"/>
                <w:vertAlign w:val="subscript"/>
                <w:lang w:val="en-US" w:eastAsia="zh-CN"/>
              </w:rPr>
              <w:t>2</w:t>
            </w:r>
          </w:p>
        </w:tc>
        <w:tc>
          <w:tcPr>
            <w:tcW w:w="1461" w:type="dxa"/>
            <w:noWrap w:val="0"/>
            <w:vAlign w:val="center"/>
          </w:tcPr>
          <w:p w14:paraId="3DBD060D">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29309EF1">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6132DA4E">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2A2F0AC2">
            <w:pPr>
              <w:pStyle w:val="2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w:t>
            </w:r>
            <w:r>
              <w:rPr>
                <w:rFonts w:hint="eastAsia" w:cs="Times New Roman"/>
                <w:snapToGrid w:val="0"/>
                <w:color w:val="auto"/>
                <w:sz w:val="21"/>
                <w:szCs w:val="21"/>
                <w:lang w:val="en-US" w:eastAsia="zh-CN"/>
              </w:rPr>
              <w:t>t/a</w:t>
            </w:r>
          </w:p>
        </w:tc>
        <w:tc>
          <w:tcPr>
            <w:tcW w:w="1761" w:type="dxa"/>
            <w:noWrap w:val="0"/>
            <w:vAlign w:val="center"/>
          </w:tcPr>
          <w:p w14:paraId="73C09A3F">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7F314CC3">
            <w:pPr>
              <w:pStyle w:val="2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0.3</w:t>
            </w:r>
            <w:r>
              <w:rPr>
                <w:rFonts w:hint="eastAsia" w:cs="Times New Roman"/>
                <w:snapToGrid w:val="0"/>
                <w:color w:val="auto"/>
                <w:sz w:val="21"/>
                <w:szCs w:val="21"/>
                <w:lang w:val="en-US" w:eastAsia="zh-CN"/>
              </w:rPr>
              <w:t>t/a</w:t>
            </w:r>
          </w:p>
        </w:tc>
        <w:tc>
          <w:tcPr>
            <w:tcW w:w="1485" w:type="dxa"/>
            <w:noWrap w:val="0"/>
            <w:vAlign w:val="center"/>
          </w:tcPr>
          <w:p w14:paraId="2678BDF7">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r>
      <w:tr w14:paraId="34B9E3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91" w:type="dxa"/>
            <w:vMerge w:val="continue"/>
            <w:noWrap w:val="0"/>
            <w:vAlign w:val="center"/>
          </w:tcPr>
          <w:p w14:paraId="626DB7FC">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148C6E8B">
            <w:pPr>
              <w:pStyle w:val="20"/>
              <w:spacing w:line="240" w:lineRule="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NO</w:t>
            </w:r>
            <w:r>
              <w:rPr>
                <w:rFonts w:hint="eastAsia" w:cs="Times New Roman"/>
                <w:bCs/>
                <w:color w:val="auto"/>
                <w:sz w:val="21"/>
                <w:szCs w:val="21"/>
                <w:vertAlign w:val="subscript"/>
                <w:lang w:val="en-US" w:eastAsia="zh-CN"/>
              </w:rPr>
              <w:t>x</w:t>
            </w:r>
          </w:p>
        </w:tc>
        <w:tc>
          <w:tcPr>
            <w:tcW w:w="1461" w:type="dxa"/>
            <w:noWrap w:val="0"/>
            <w:vAlign w:val="center"/>
          </w:tcPr>
          <w:p w14:paraId="27783C70">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13A9A4B1">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7D138197">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32D473EB">
            <w:pPr>
              <w:pStyle w:val="2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0.276</w:t>
            </w:r>
            <w:r>
              <w:rPr>
                <w:rFonts w:hint="eastAsia" w:cs="Times New Roman"/>
                <w:snapToGrid w:val="0"/>
                <w:color w:val="auto"/>
                <w:sz w:val="21"/>
                <w:szCs w:val="21"/>
                <w:lang w:val="en-US" w:eastAsia="zh-CN"/>
              </w:rPr>
              <w:t>t/a</w:t>
            </w:r>
          </w:p>
        </w:tc>
        <w:tc>
          <w:tcPr>
            <w:tcW w:w="1761" w:type="dxa"/>
            <w:noWrap w:val="0"/>
            <w:vAlign w:val="center"/>
          </w:tcPr>
          <w:p w14:paraId="38E3DB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47FBF706">
            <w:pPr>
              <w:pStyle w:val="2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0.276</w:t>
            </w:r>
            <w:r>
              <w:rPr>
                <w:rFonts w:hint="eastAsia" w:cs="Times New Roman"/>
                <w:snapToGrid w:val="0"/>
                <w:color w:val="auto"/>
                <w:sz w:val="21"/>
                <w:szCs w:val="21"/>
                <w:lang w:val="en-US" w:eastAsia="zh-CN"/>
              </w:rPr>
              <w:t>t/a</w:t>
            </w:r>
          </w:p>
        </w:tc>
        <w:tc>
          <w:tcPr>
            <w:tcW w:w="1485" w:type="dxa"/>
            <w:noWrap w:val="0"/>
            <w:vAlign w:val="center"/>
          </w:tcPr>
          <w:p w14:paraId="0839BE9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rPr>
              <w:t>/</w:t>
            </w:r>
          </w:p>
        </w:tc>
      </w:tr>
      <w:tr w14:paraId="03700A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91" w:type="dxa"/>
            <w:vMerge w:val="continue"/>
            <w:noWrap w:val="0"/>
            <w:vAlign w:val="center"/>
          </w:tcPr>
          <w:p w14:paraId="6D976C82">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7535CAE7">
            <w:pPr>
              <w:pStyle w:val="20"/>
              <w:spacing w:line="240" w:lineRule="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沥青烟</w:t>
            </w:r>
          </w:p>
        </w:tc>
        <w:tc>
          <w:tcPr>
            <w:tcW w:w="1461" w:type="dxa"/>
            <w:noWrap w:val="0"/>
            <w:vAlign w:val="center"/>
          </w:tcPr>
          <w:p w14:paraId="2490B0C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4A470B69">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4697A7FD">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0509CFD7">
            <w:pPr>
              <w:pStyle w:val="2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0.038</w:t>
            </w:r>
            <w:r>
              <w:rPr>
                <w:rFonts w:hint="eastAsia" w:cs="Times New Roman"/>
                <w:snapToGrid w:val="0"/>
                <w:color w:val="auto"/>
                <w:sz w:val="21"/>
                <w:szCs w:val="21"/>
                <w:lang w:val="en-US" w:eastAsia="zh-CN"/>
              </w:rPr>
              <w:t>t/a</w:t>
            </w:r>
          </w:p>
        </w:tc>
        <w:tc>
          <w:tcPr>
            <w:tcW w:w="1761" w:type="dxa"/>
            <w:noWrap w:val="0"/>
            <w:vAlign w:val="center"/>
          </w:tcPr>
          <w:p w14:paraId="4B5077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5ABB0497">
            <w:pPr>
              <w:pStyle w:val="2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0.038</w:t>
            </w:r>
            <w:r>
              <w:rPr>
                <w:rFonts w:hint="eastAsia" w:cs="Times New Roman"/>
                <w:snapToGrid w:val="0"/>
                <w:color w:val="auto"/>
                <w:sz w:val="21"/>
                <w:szCs w:val="21"/>
                <w:lang w:val="en-US" w:eastAsia="zh-CN"/>
              </w:rPr>
              <w:t>t/a</w:t>
            </w:r>
          </w:p>
        </w:tc>
        <w:tc>
          <w:tcPr>
            <w:tcW w:w="1485" w:type="dxa"/>
            <w:noWrap w:val="0"/>
            <w:vAlign w:val="center"/>
          </w:tcPr>
          <w:p w14:paraId="18FA849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r>
      <w:tr w14:paraId="0309A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91" w:type="dxa"/>
            <w:vMerge w:val="continue"/>
            <w:noWrap w:val="0"/>
            <w:vAlign w:val="center"/>
          </w:tcPr>
          <w:p w14:paraId="31A4275B">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2F356FEE">
            <w:pPr>
              <w:pStyle w:val="20"/>
              <w:spacing w:line="240" w:lineRule="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color w:val="auto"/>
                <w:sz w:val="21"/>
                <w:szCs w:val="21"/>
              </w:rPr>
              <w:t>苯并</w:t>
            </w:r>
            <w:r>
              <w:rPr>
                <w:rFonts w:hint="default" w:ascii="Times New Roman" w:hAnsi="Times New Roman" w:eastAsia="Times New Roman" w:cs="Times New Roman"/>
                <w:color w:val="auto"/>
                <w:sz w:val="21"/>
                <w:szCs w:val="21"/>
                <w:lang w:val="zh-CN"/>
              </w:rPr>
              <w:t>[a]</w:t>
            </w:r>
            <w:r>
              <w:rPr>
                <w:rFonts w:hint="default" w:ascii="Times New Roman" w:hAnsi="Times New Roman" w:cs="Times New Roman"/>
                <w:color w:val="auto"/>
                <w:sz w:val="21"/>
                <w:szCs w:val="21"/>
              </w:rPr>
              <w:t>芘</w:t>
            </w:r>
          </w:p>
        </w:tc>
        <w:tc>
          <w:tcPr>
            <w:tcW w:w="1461" w:type="dxa"/>
            <w:noWrap w:val="0"/>
            <w:vAlign w:val="center"/>
          </w:tcPr>
          <w:p w14:paraId="61A73767">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3EB9441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2494E736">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5CFAD09E">
            <w:pPr>
              <w:pStyle w:val="2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6.272</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r>
              <w:rPr>
                <w:rFonts w:hint="eastAsia" w:cs="Times New Roman"/>
                <w:snapToGrid w:val="0"/>
                <w:color w:val="auto"/>
                <w:sz w:val="21"/>
                <w:szCs w:val="21"/>
                <w:lang w:val="en-US" w:eastAsia="zh-CN"/>
              </w:rPr>
              <w:t>t/a</w:t>
            </w:r>
          </w:p>
        </w:tc>
        <w:tc>
          <w:tcPr>
            <w:tcW w:w="1761" w:type="dxa"/>
            <w:noWrap w:val="0"/>
            <w:vAlign w:val="center"/>
          </w:tcPr>
          <w:p w14:paraId="425C96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285C774C">
            <w:pPr>
              <w:pStyle w:val="2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6.272</w:t>
            </w:r>
            <w:r>
              <w:rPr>
                <w:rFonts w:hint="eastAsia" w:ascii="Times New Roman" w:hAnsi="Times New Roman" w:eastAsia="宋体" w:cs="Times New Roman"/>
                <w:bCs/>
                <w:color w:val="auto"/>
                <w:sz w:val="21"/>
                <w:szCs w:val="21"/>
                <w:lang w:val="en-US" w:eastAsia="zh-CN"/>
              </w:rPr>
              <w:t>×10</w:t>
            </w:r>
            <w:r>
              <w:rPr>
                <w:rFonts w:hint="eastAsia" w:ascii="Times New Roman" w:hAnsi="Times New Roman" w:eastAsia="宋体" w:cs="Times New Roman"/>
                <w:bCs/>
                <w:color w:val="auto"/>
                <w:sz w:val="21"/>
                <w:szCs w:val="21"/>
                <w:vertAlign w:val="superscript"/>
                <w:lang w:val="en-US" w:eastAsia="zh-CN"/>
              </w:rPr>
              <w:t>-</w:t>
            </w:r>
            <w:r>
              <w:rPr>
                <w:rFonts w:hint="eastAsia" w:cs="Times New Roman"/>
                <w:bCs/>
                <w:color w:val="auto"/>
                <w:sz w:val="21"/>
                <w:szCs w:val="21"/>
                <w:vertAlign w:val="superscript"/>
                <w:lang w:val="en-US" w:eastAsia="zh-CN"/>
              </w:rPr>
              <w:t>5</w:t>
            </w:r>
            <w:r>
              <w:rPr>
                <w:rFonts w:hint="eastAsia" w:cs="Times New Roman"/>
                <w:snapToGrid w:val="0"/>
                <w:color w:val="auto"/>
                <w:sz w:val="21"/>
                <w:szCs w:val="21"/>
                <w:lang w:val="en-US" w:eastAsia="zh-CN"/>
              </w:rPr>
              <w:t>t/a</w:t>
            </w:r>
          </w:p>
        </w:tc>
        <w:tc>
          <w:tcPr>
            <w:tcW w:w="1485" w:type="dxa"/>
            <w:noWrap w:val="0"/>
            <w:vAlign w:val="center"/>
          </w:tcPr>
          <w:p w14:paraId="32B18E1B">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rPr>
              <w:t>/</w:t>
            </w:r>
          </w:p>
        </w:tc>
      </w:tr>
      <w:tr w14:paraId="30EBD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91" w:type="dxa"/>
            <w:vMerge w:val="continue"/>
            <w:noWrap w:val="0"/>
            <w:vAlign w:val="center"/>
          </w:tcPr>
          <w:p w14:paraId="6FCE47C5">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74D3CF41">
            <w:pPr>
              <w:pStyle w:val="20"/>
              <w:spacing w:line="240" w:lineRule="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非甲烷总烃</w:t>
            </w:r>
          </w:p>
        </w:tc>
        <w:tc>
          <w:tcPr>
            <w:tcW w:w="1461" w:type="dxa"/>
            <w:noWrap w:val="0"/>
            <w:vAlign w:val="center"/>
          </w:tcPr>
          <w:p w14:paraId="1FEB6FA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136ABB59">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5841F68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4A05A1C8">
            <w:pPr>
              <w:pStyle w:val="20"/>
              <w:spacing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0.035</w:t>
            </w:r>
            <w:r>
              <w:rPr>
                <w:rFonts w:hint="eastAsia" w:cs="Times New Roman"/>
                <w:snapToGrid w:val="0"/>
                <w:color w:val="auto"/>
                <w:sz w:val="21"/>
                <w:szCs w:val="21"/>
                <w:lang w:val="en-US" w:eastAsia="zh-CN"/>
              </w:rPr>
              <w:t>t/a</w:t>
            </w:r>
          </w:p>
        </w:tc>
        <w:tc>
          <w:tcPr>
            <w:tcW w:w="1761" w:type="dxa"/>
            <w:noWrap w:val="0"/>
            <w:vAlign w:val="center"/>
          </w:tcPr>
          <w:p w14:paraId="3E1B9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72C4FED2">
            <w:pPr>
              <w:pStyle w:val="2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0.035</w:t>
            </w:r>
            <w:r>
              <w:rPr>
                <w:rFonts w:hint="eastAsia" w:cs="Times New Roman"/>
                <w:snapToGrid w:val="0"/>
                <w:color w:val="auto"/>
                <w:sz w:val="21"/>
                <w:szCs w:val="21"/>
                <w:lang w:val="en-US" w:eastAsia="zh-CN"/>
              </w:rPr>
              <w:t>t/a</w:t>
            </w:r>
          </w:p>
        </w:tc>
        <w:tc>
          <w:tcPr>
            <w:tcW w:w="1485" w:type="dxa"/>
            <w:noWrap w:val="0"/>
            <w:vAlign w:val="center"/>
          </w:tcPr>
          <w:p w14:paraId="2B4DD7B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r>
      <w:tr w14:paraId="49550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391" w:type="dxa"/>
            <w:vMerge w:val="restart"/>
            <w:noWrap w:val="0"/>
            <w:vAlign w:val="center"/>
          </w:tcPr>
          <w:p w14:paraId="54E1CDE0">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废水</w:t>
            </w:r>
          </w:p>
        </w:tc>
        <w:tc>
          <w:tcPr>
            <w:tcW w:w="1854" w:type="dxa"/>
            <w:noWrap w:val="0"/>
            <w:vAlign w:val="center"/>
          </w:tcPr>
          <w:p w14:paraId="3303C77B">
            <w:pPr>
              <w:pStyle w:val="20"/>
              <w:spacing w:line="240" w:lineRule="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COD</w:t>
            </w:r>
          </w:p>
        </w:tc>
        <w:tc>
          <w:tcPr>
            <w:tcW w:w="1461" w:type="dxa"/>
            <w:noWrap w:val="0"/>
            <w:vAlign w:val="center"/>
          </w:tcPr>
          <w:p w14:paraId="4BB23FA8">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3B836D7F">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65A168C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top"/>
          </w:tcPr>
          <w:p w14:paraId="43F51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0</w:t>
            </w:r>
          </w:p>
        </w:tc>
        <w:tc>
          <w:tcPr>
            <w:tcW w:w="1761" w:type="dxa"/>
            <w:noWrap w:val="0"/>
            <w:vAlign w:val="center"/>
          </w:tcPr>
          <w:p w14:paraId="3DB013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top"/>
          </w:tcPr>
          <w:p w14:paraId="249A6E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sz w:val="21"/>
                <w:szCs w:val="21"/>
                <w:vertAlign w:val="baseline"/>
                <w:lang w:val="en-US" w:eastAsia="zh-CN"/>
              </w:rPr>
              <w:t>0</w:t>
            </w:r>
          </w:p>
        </w:tc>
        <w:tc>
          <w:tcPr>
            <w:tcW w:w="1485" w:type="dxa"/>
            <w:noWrap w:val="0"/>
            <w:vAlign w:val="center"/>
          </w:tcPr>
          <w:p w14:paraId="3F3163C9">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snapToGrid w:val="0"/>
                <w:color w:val="auto"/>
                <w:sz w:val="21"/>
                <w:szCs w:val="21"/>
              </w:rPr>
              <w:t>/</w:t>
            </w:r>
          </w:p>
        </w:tc>
      </w:tr>
      <w:tr w14:paraId="14F60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391" w:type="dxa"/>
            <w:vMerge w:val="continue"/>
            <w:noWrap w:val="0"/>
            <w:vAlign w:val="center"/>
          </w:tcPr>
          <w:p w14:paraId="6F284398">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53004CCC">
            <w:pPr>
              <w:pStyle w:val="20"/>
              <w:spacing w:line="240" w:lineRule="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SS</w:t>
            </w:r>
          </w:p>
        </w:tc>
        <w:tc>
          <w:tcPr>
            <w:tcW w:w="1461" w:type="dxa"/>
            <w:noWrap w:val="0"/>
            <w:vAlign w:val="center"/>
          </w:tcPr>
          <w:p w14:paraId="093ADC9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75573C1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66085FEF">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6D1B926D">
            <w:pPr>
              <w:pStyle w:val="20"/>
              <w:spacing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761" w:type="dxa"/>
            <w:noWrap w:val="0"/>
            <w:vAlign w:val="center"/>
          </w:tcPr>
          <w:p w14:paraId="371301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center"/>
          </w:tcPr>
          <w:p w14:paraId="280E8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 w:val="21"/>
                <w:szCs w:val="21"/>
                <w:lang w:val="en-US" w:eastAsia="zh-CN"/>
              </w:rPr>
              <w:t>0</w:t>
            </w:r>
          </w:p>
        </w:tc>
        <w:tc>
          <w:tcPr>
            <w:tcW w:w="1485" w:type="dxa"/>
            <w:noWrap w:val="0"/>
            <w:vAlign w:val="center"/>
          </w:tcPr>
          <w:p w14:paraId="18FC1F0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r>
      <w:tr w14:paraId="02AB1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noWrap w:val="0"/>
            <w:vAlign w:val="center"/>
          </w:tcPr>
          <w:p w14:paraId="16E131CA">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0A1D4FA8">
            <w:pPr>
              <w:pStyle w:val="20"/>
              <w:spacing w:line="240" w:lineRule="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NH</w:t>
            </w:r>
            <w:r>
              <w:rPr>
                <w:rFonts w:hint="eastAsia" w:cs="Times New Roman"/>
                <w:bCs/>
                <w:color w:val="auto"/>
                <w:sz w:val="21"/>
                <w:szCs w:val="21"/>
                <w:vertAlign w:val="subscript"/>
                <w:lang w:val="en-US" w:eastAsia="zh-CN"/>
              </w:rPr>
              <w:t>3</w:t>
            </w:r>
            <w:r>
              <w:rPr>
                <w:rFonts w:hint="eastAsia" w:cs="Times New Roman"/>
                <w:bCs/>
                <w:color w:val="auto"/>
                <w:sz w:val="21"/>
                <w:szCs w:val="21"/>
                <w:lang w:val="en-US" w:eastAsia="zh-CN"/>
              </w:rPr>
              <w:t>-N</w:t>
            </w:r>
          </w:p>
        </w:tc>
        <w:tc>
          <w:tcPr>
            <w:tcW w:w="1461" w:type="dxa"/>
            <w:noWrap w:val="0"/>
            <w:vAlign w:val="center"/>
          </w:tcPr>
          <w:p w14:paraId="3C3C3F5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7C4AF54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5D1AD25B">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top"/>
          </w:tcPr>
          <w:p w14:paraId="57D8FCCB">
            <w:pPr>
              <w:pStyle w:val="20"/>
              <w:spacing w:line="240" w:lineRule="auto"/>
              <w:ind w:firstLine="0" w:firstLineChars="0"/>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761" w:type="dxa"/>
            <w:noWrap w:val="0"/>
            <w:vAlign w:val="center"/>
          </w:tcPr>
          <w:p w14:paraId="4212A8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top"/>
          </w:tcPr>
          <w:p w14:paraId="64D5D8FF">
            <w:pPr>
              <w:pStyle w:val="20"/>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color w:val="auto"/>
                <w:sz w:val="21"/>
                <w:szCs w:val="21"/>
                <w:lang w:val="en-US" w:eastAsia="zh-CN"/>
              </w:rPr>
              <w:t>0</w:t>
            </w:r>
          </w:p>
        </w:tc>
        <w:tc>
          <w:tcPr>
            <w:tcW w:w="1485" w:type="dxa"/>
            <w:noWrap w:val="0"/>
            <w:vAlign w:val="center"/>
          </w:tcPr>
          <w:p w14:paraId="30E5BA0D">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rPr>
              <w:t>/</w:t>
            </w:r>
          </w:p>
        </w:tc>
      </w:tr>
      <w:tr w14:paraId="3D444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noWrap w:val="0"/>
            <w:vAlign w:val="center"/>
          </w:tcPr>
          <w:p w14:paraId="5389A93D">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0605CD57">
            <w:pPr>
              <w:pStyle w:val="20"/>
              <w:spacing w:line="240" w:lineRule="auto"/>
              <w:rPr>
                <w:rFonts w:hint="default" w:cs="Times New Roman"/>
                <w:bCs/>
                <w:color w:val="auto"/>
                <w:sz w:val="21"/>
                <w:szCs w:val="21"/>
                <w:lang w:val="en-US" w:eastAsia="zh-CN"/>
              </w:rPr>
            </w:pPr>
            <w:r>
              <w:rPr>
                <w:rFonts w:hint="eastAsia" w:cs="Times New Roman"/>
                <w:bCs/>
                <w:color w:val="auto"/>
                <w:sz w:val="21"/>
                <w:szCs w:val="21"/>
                <w:lang w:val="en-US" w:eastAsia="zh-CN"/>
              </w:rPr>
              <w:t>TP</w:t>
            </w:r>
          </w:p>
        </w:tc>
        <w:tc>
          <w:tcPr>
            <w:tcW w:w="1461" w:type="dxa"/>
            <w:noWrap w:val="0"/>
            <w:vAlign w:val="center"/>
          </w:tcPr>
          <w:p w14:paraId="1DB8BA31">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68BC71D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15DAB1ED">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top"/>
          </w:tcPr>
          <w:p w14:paraId="108189E8">
            <w:pPr>
              <w:pStyle w:val="20"/>
              <w:spacing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761" w:type="dxa"/>
            <w:noWrap w:val="0"/>
            <w:vAlign w:val="center"/>
          </w:tcPr>
          <w:p w14:paraId="679A48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top"/>
          </w:tcPr>
          <w:p w14:paraId="4CF4369F">
            <w:pPr>
              <w:pStyle w:val="20"/>
              <w:spacing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485" w:type="dxa"/>
            <w:noWrap w:val="0"/>
            <w:vAlign w:val="center"/>
          </w:tcPr>
          <w:p w14:paraId="54966647">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r>
      <w:tr w14:paraId="6ED86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91" w:type="dxa"/>
            <w:vMerge w:val="continue"/>
            <w:noWrap w:val="0"/>
            <w:vAlign w:val="center"/>
          </w:tcPr>
          <w:p w14:paraId="17CEBF5A">
            <w:pPr>
              <w:pStyle w:val="20"/>
              <w:spacing w:line="240" w:lineRule="auto"/>
              <w:rPr>
                <w:rFonts w:hint="default" w:ascii="Times New Roman" w:hAnsi="Times New Roman" w:eastAsia="宋体" w:cs="Times New Roman"/>
                <w:snapToGrid w:val="0"/>
                <w:color w:val="auto"/>
                <w:sz w:val="21"/>
                <w:szCs w:val="21"/>
              </w:rPr>
            </w:pPr>
          </w:p>
        </w:tc>
        <w:tc>
          <w:tcPr>
            <w:tcW w:w="1854" w:type="dxa"/>
            <w:noWrap w:val="0"/>
            <w:vAlign w:val="center"/>
          </w:tcPr>
          <w:p w14:paraId="7B06C3CA">
            <w:pPr>
              <w:pStyle w:val="20"/>
              <w:spacing w:line="240" w:lineRule="auto"/>
              <w:rPr>
                <w:rFonts w:hint="default" w:cs="Times New Roman"/>
                <w:bCs/>
                <w:color w:val="auto"/>
                <w:sz w:val="21"/>
                <w:szCs w:val="21"/>
                <w:lang w:val="en-US" w:eastAsia="zh-CN"/>
              </w:rPr>
            </w:pPr>
            <w:r>
              <w:rPr>
                <w:rFonts w:hint="eastAsia" w:cs="Times New Roman"/>
                <w:bCs/>
                <w:color w:val="auto"/>
                <w:sz w:val="21"/>
                <w:szCs w:val="21"/>
                <w:lang w:val="en-US" w:eastAsia="zh-CN"/>
              </w:rPr>
              <w:t>BOD</w:t>
            </w:r>
            <w:r>
              <w:rPr>
                <w:rFonts w:hint="eastAsia" w:cs="Times New Roman"/>
                <w:bCs/>
                <w:color w:val="auto"/>
                <w:sz w:val="21"/>
                <w:szCs w:val="21"/>
                <w:vertAlign w:val="subscript"/>
                <w:lang w:val="en-US" w:eastAsia="zh-CN"/>
              </w:rPr>
              <w:t>5</w:t>
            </w:r>
          </w:p>
        </w:tc>
        <w:tc>
          <w:tcPr>
            <w:tcW w:w="1461" w:type="dxa"/>
            <w:noWrap w:val="0"/>
            <w:vAlign w:val="center"/>
          </w:tcPr>
          <w:p w14:paraId="738EC5C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0DF8954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469DB6E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top"/>
          </w:tcPr>
          <w:p w14:paraId="3B126568">
            <w:pPr>
              <w:pStyle w:val="20"/>
              <w:spacing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761" w:type="dxa"/>
            <w:noWrap w:val="0"/>
            <w:vAlign w:val="center"/>
          </w:tcPr>
          <w:p w14:paraId="0189C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top"/>
          </w:tcPr>
          <w:p w14:paraId="66E19853">
            <w:pPr>
              <w:pStyle w:val="20"/>
              <w:spacing w:line="240" w:lineRule="auto"/>
              <w:ind w:firstLine="0" w:firstLineChars="0"/>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485" w:type="dxa"/>
            <w:noWrap w:val="0"/>
            <w:vAlign w:val="center"/>
          </w:tcPr>
          <w:p w14:paraId="00646059">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r>
      <w:tr w14:paraId="7DB84F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391" w:type="dxa"/>
            <w:vMerge w:val="restart"/>
            <w:noWrap w:val="0"/>
            <w:vAlign w:val="center"/>
          </w:tcPr>
          <w:p w14:paraId="7B8DB8DF">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一般工业固体废物</w:t>
            </w:r>
          </w:p>
        </w:tc>
        <w:tc>
          <w:tcPr>
            <w:tcW w:w="1854" w:type="dxa"/>
            <w:shd w:val="clear" w:color="auto" w:fill="auto"/>
            <w:noWrap w:val="0"/>
            <w:vAlign w:val="center"/>
          </w:tcPr>
          <w:p w14:paraId="188AC465">
            <w:pPr>
              <w:pStyle w:val="20"/>
              <w:spacing w:line="240" w:lineRule="auto"/>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收集粉尘</w:t>
            </w:r>
          </w:p>
        </w:tc>
        <w:tc>
          <w:tcPr>
            <w:tcW w:w="1461" w:type="dxa"/>
            <w:shd w:val="clear" w:color="auto" w:fill="auto"/>
            <w:noWrap w:val="0"/>
            <w:vAlign w:val="center"/>
          </w:tcPr>
          <w:p w14:paraId="1D9D997D">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276" w:type="dxa"/>
            <w:shd w:val="clear" w:color="auto" w:fill="auto"/>
            <w:noWrap w:val="0"/>
            <w:vAlign w:val="center"/>
          </w:tcPr>
          <w:p w14:paraId="4AA444C7">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701" w:type="dxa"/>
            <w:shd w:val="clear" w:color="auto" w:fill="auto"/>
            <w:noWrap w:val="0"/>
            <w:vAlign w:val="center"/>
          </w:tcPr>
          <w:p w14:paraId="76F9FF6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559" w:type="dxa"/>
            <w:shd w:val="clear" w:color="auto" w:fill="auto"/>
            <w:noWrap w:val="0"/>
            <w:vAlign w:val="center"/>
          </w:tcPr>
          <w:p w14:paraId="225347B0">
            <w:pPr>
              <w:pStyle w:val="20"/>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 w:val="21"/>
                <w:szCs w:val="21"/>
                <w:lang w:val="en-US" w:eastAsia="zh-CN"/>
              </w:rPr>
              <w:t>15.691t/a</w:t>
            </w:r>
          </w:p>
        </w:tc>
        <w:tc>
          <w:tcPr>
            <w:tcW w:w="1761" w:type="dxa"/>
            <w:shd w:val="clear" w:color="auto" w:fill="auto"/>
            <w:noWrap w:val="0"/>
            <w:vAlign w:val="center"/>
          </w:tcPr>
          <w:p w14:paraId="3A4F0BCF">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39906519">
            <w:pPr>
              <w:pStyle w:val="20"/>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 w:val="21"/>
                <w:szCs w:val="21"/>
                <w:lang w:val="en-US" w:eastAsia="zh-CN"/>
              </w:rPr>
              <w:t>15.691t/a</w:t>
            </w:r>
          </w:p>
        </w:tc>
        <w:tc>
          <w:tcPr>
            <w:tcW w:w="1485" w:type="dxa"/>
            <w:shd w:val="clear" w:color="auto" w:fill="auto"/>
            <w:noWrap w:val="0"/>
            <w:vAlign w:val="center"/>
          </w:tcPr>
          <w:p w14:paraId="57E9798F">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0188E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continue"/>
            <w:noWrap w:val="0"/>
            <w:vAlign w:val="center"/>
          </w:tcPr>
          <w:p w14:paraId="22137E81">
            <w:pPr>
              <w:pStyle w:val="20"/>
              <w:spacing w:line="240" w:lineRule="auto"/>
              <w:rPr>
                <w:rFonts w:hint="default" w:ascii="Times New Roman" w:hAnsi="Times New Roman" w:eastAsia="宋体" w:cs="Times New Roman"/>
                <w:snapToGrid w:val="0"/>
                <w:color w:val="auto"/>
                <w:sz w:val="21"/>
                <w:szCs w:val="21"/>
              </w:rPr>
            </w:pPr>
          </w:p>
        </w:tc>
        <w:tc>
          <w:tcPr>
            <w:tcW w:w="1854" w:type="dxa"/>
            <w:shd w:val="clear" w:color="auto" w:fill="auto"/>
            <w:noWrap w:val="0"/>
            <w:vAlign w:val="center"/>
          </w:tcPr>
          <w:p w14:paraId="6F0D8D39">
            <w:pPr>
              <w:pStyle w:val="20"/>
              <w:spacing w:line="240" w:lineRule="auto"/>
              <w:ind w:firstLine="0" w:firstLineChars="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废布袋</w:t>
            </w:r>
          </w:p>
        </w:tc>
        <w:tc>
          <w:tcPr>
            <w:tcW w:w="1461" w:type="dxa"/>
            <w:shd w:val="clear" w:color="auto" w:fill="auto"/>
            <w:noWrap w:val="0"/>
            <w:vAlign w:val="center"/>
          </w:tcPr>
          <w:p w14:paraId="0F474E97">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276" w:type="dxa"/>
            <w:shd w:val="clear" w:color="auto" w:fill="auto"/>
            <w:noWrap w:val="0"/>
            <w:vAlign w:val="center"/>
          </w:tcPr>
          <w:p w14:paraId="377EC3D9">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701" w:type="dxa"/>
            <w:shd w:val="clear" w:color="auto" w:fill="auto"/>
            <w:noWrap w:val="0"/>
            <w:vAlign w:val="center"/>
          </w:tcPr>
          <w:p w14:paraId="11D11AC8">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559" w:type="dxa"/>
            <w:shd w:val="clear" w:color="auto" w:fill="auto"/>
            <w:noWrap w:val="0"/>
            <w:vAlign w:val="center"/>
          </w:tcPr>
          <w:p w14:paraId="75E51C35">
            <w:pPr>
              <w:pStyle w:val="20"/>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0.2</w:t>
            </w:r>
            <w:r>
              <w:rPr>
                <w:rFonts w:hint="eastAsia" w:cs="Times New Roman"/>
                <w:snapToGrid w:val="0"/>
                <w:color w:val="auto"/>
                <w:sz w:val="21"/>
                <w:szCs w:val="21"/>
                <w:lang w:val="en-US" w:eastAsia="zh-CN"/>
              </w:rPr>
              <w:t>t/a</w:t>
            </w:r>
          </w:p>
        </w:tc>
        <w:tc>
          <w:tcPr>
            <w:tcW w:w="1761" w:type="dxa"/>
            <w:shd w:val="clear" w:color="auto" w:fill="auto"/>
            <w:noWrap w:val="0"/>
            <w:vAlign w:val="center"/>
          </w:tcPr>
          <w:p w14:paraId="1AB0EAC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3AF6F403">
            <w:pPr>
              <w:pStyle w:val="20"/>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0.2</w:t>
            </w:r>
            <w:r>
              <w:rPr>
                <w:rFonts w:hint="eastAsia" w:cs="Times New Roman"/>
                <w:snapToGrid w:val="0"/>
                <w:color w:val="auto"/>
                <w:sz w:val="21"/>
                <w:szCs w:val="21"/>
                <w:lang w:val="en-US" w:eastAsia="zh-CN"/>
              </w:rPr>
              <w:t>t/a</w:t>
            </w:r>
          </w:p>
        </w:tc>
        <w:tc>
          <w:tcPr>
            <w:tcW w:w="1485" w:type="dxa"/>
            <w:shd w:val="clear" w:color="auto" w:fill="auto"/>
            <w:noWrap w:val="0"/>
            <w:vAlign w:val="center"/>
          </w:tcPr>
          <w:p w14:paraId="2FA0DDC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2099E3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91" w:type="dxa"/>
            <w:vMerge w:val="continue"/>
            <w:noWrap w:val="0"/>
            <w:vAlign w:val="center"/>
          </w:tcPr>
          <w:p w14:paraId="16DD38E1">
            <w:pPr>
              <w:pStyle w:val="20"/>
              <w:spacing w:line="240" w:lineRule="auto"/>
              <w:rPr>
                <w:rFonts w:hint="default" w:ascii="Times New Roman" w:hAnsi="Times New Roman" w:eastAsia="宋体" w:cs="Times New Roman"/>
                <w:snapToGrid w:val="0"/>
                <w:color w:val="auto"/>
                <w:sz w:val="21"/>
                <w:szCs w:val="21"/>
              </w:rPr>
            </w:pPr>
          </w:p>
        </w:tc>
        <w:tc>
          <w:tcPr>
            <w:tcW w:w="1854" w:type="dxa"/>
            <w:shd w:val="clear" w:color="auto" w:fill="auto"/>
            <w:noWrap w:val="0"/>
            <w:vAlign w:val="center"/>
          </w:tcPr>
          <w:p w14:paraId="596671E4">
            <w:pPr>
              <w:pStyle w:val="20"/>
              <w:spacing w:line="240" w:lineRule="auto"/>
              <w:ind w:firstLine="0" w:firstLineChars="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滴漏沥青及拌合残渣</w:t>
            </w:r>
          </w:p>
        </w:tc>
        <w:tc>
          <w:tcPr>
            <w:tcW w:w="1461" w:type="dxa"/>
            <w:shd w:val="clear" w:color="auto" w:fill="auto"/>
            <w:noWrap w:val="0"/>
            <w:vAlign w:val="center"/>
          </w:tcPr>
          <w:p w14:paraId="2C34678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276" w:type="dxa"/>
            <w:shd w:val="clear" w:color="auto" w:fill="auto"/>
            <w:noWrap w:val="0"/>
            <w:vAlign w:val="center"/>
          </w:tcPr>
          <w:p w14:paraId="2FEBE8A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701" w:type="dxa"/>
            <w:shd w:val="clear" w:color="auto" w:fill="auto"/>
            <w:noWrap w:val="0"/>
            <w:vAlign w:val="center"/>
          </w:tcPr>
          <w:p w14:paraId="29235F56">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559" w:type="dxa"/>
            <w:shd w:val="clear" w:color="auto" w:fill="auto"/>
            <w:noWrap w:val="0"/>
            <w:vAlign w:val="center"/>
          </w:tcPr>
          <w:p w14:paraId="30BD5571">
            <w:pPr>
              <w:pStyle w:val="20"/>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5</w:t>
            </w:r>
            <w:r>
              <w:rPr>
                <w:rFonts w:hint="eastAsia" w:cs="Times New Roman"/>
                <w:snapToGrid w:val="0"/>
                <w:color w:val="auto"/>
                <w:sz w:val="21"/>
                <w:szCs w:val="21"/>
                <w:lang w:val="en-US" w:eastAsia="zh-CN"/>
              </w:rPr>
              <w:t>t/a</w:t>
            </w:r>
          </w:p>
        </w:tc>
        <w:tc>
          <w:tcPr>
            <w:tcW w:w="1761" w:type="dxa"/>
            <w:shd w:val="clear" w:color="auto" w:fill="auto"/>
            <w:noWrap w:val="0"/>
            <w:vAlign w:val="center"/>
          </w:tcPr>
          <w:p w14:paraId="455652DB">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3AE2B208">
            <w:pPr>
              <w:pStyle w:val="20"/>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5</w:t>
            </w:r>
            <w:r>
              <w:rPr>
                <w:rFonts w:hint="eastAsia" w:cs="Times New Roman"/>
                <w:snapToGrid w:val="0"/>
                <w:color w:val="auto"/>
                <w:sz w:val="21"/>
                <w:szCs w:val="21"/>
                <w:lang w:val="en-US" w:eastAsia="zh-CN"/>
              </w:rPr>
              <w:t>t/a</w:t>
            </w:r>
          </w:p>
        </w:tc>
        <w:tc>
          <w:tcPr>
            <w:tcW w:w="1485" w:type="dxa"/>
            <w:shd w:val="clear" w:color="auto" w:fill="auto"/>
            <w:noWrap w:val="0"/>
            <w:vAlign w:val="center"/>
          </w:tcPr>
          <w:p w14:paraId="3ABCDB46">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r>
      <w:tr w14:paraId="53A2A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391" w:type="dxa"/>
            <w:vMerge w:val="restart"/>
            <w:noWrap w:val="0"/>
            <w:vAlign w:val="center"/>
          </w:tcPr>
          <w:p w14:paraId="59EBA38A">
            <w:pPr>
              <w:pStyle w:val="20"/>
              <w:spacing w:line="240" w:lineRule="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危险废物</w:t>
            </w:r>
          </w:p>
        </w:tc>
        <w:tc>
          <w:tcPr>
            <w:tcW w:w="1854" w:type="dxa"/>
            <w:shd w:val="clear" w:color="auto" w:fill="auto"/>
            <w:noWrap w:val="0"/>
            <w:vAlign w:val="center"/>
          </w:tcPr>
          <w:p w14:paraId="71C02C91">
            <w:pPr>
              <w:pStyle w:val="20"/>
              <w:spacing w:line="240" w:lineRule="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废导热油</w:t>
            </w:r>
          </w:p>
        </w:tc>
        <w:tc>
          <w:tcPr>
            <w:tcW w:w="1461" w:type="dxa"/>
            <w:noWrap w:val="0"/>
            <w:vAlign w:val="center"/>
          </w:tcPr>
          <w:p w14:paraId="6C8654D8">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31DFC5A3">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6CAE9722">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4B4EA0C4">
            <w:pPr>
              <w:pStyle w:val="20"/>
              <w:spacing w:line="240" w:lineRule="auto"/>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2t/5a</w:t>
            </w:r>
          </w:p>
        </w:tc>
        <w:tc>
          <w:tcPr>
            <w:tcW w:w="1761" w:type="dxa"/>
            <w:noWrap w:val="0"/>
            <w:vAlign w:val="center"/>
          </w:tcPr>
          <w:p w14:paraId="3F28544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c>
          <w:tcPr>
            <w:tcW w:w="1471" w:type="dxa"/>
            <w:shd w:val="clear" w:color="auto" w:fill="auto"/>
            <w:noWrap w:val="0"/>
            <w:vAlign w:val="center"/>
          </w:tcPr>
          <w:p w14:paraId="6FBF3589">
            <w:pPr>
              <w:pStyle w:val="20"/>
              <w:spacing w:line="240" w:lineRule="auto"/>
              <w:ind w:firstLine="0" w:firstLineChars="0"/>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 w:val="21"/>
                <w:szCs w:val="21"/>
                <w:lang w:val="en-US" w:eastAsia="zh-CN"/>
              </w:rPr>
              <w:t>2t/5a</w:t>
            </w:r>
          </w:p>
        </w:tc>
        <w:tc>
          <w:tcPr>
            <w:tcW w:w="1485" w:type="dxa"/>
            <w:noWrap w:val="0"/>
            <w:vAlign w:val="center"/>
          </w:tcPr>
          <w:p w14:paraId="10BBAFE0">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lang w:val="en-US" w:eastAsia="zh-CN"/>
              </w:rPr>
              <w:t>/</w:t>
            </w:r>
          </w:p>
        </w:tc>
      </w:tr>
      <w:tr w14:paraId="4E60A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391" w:type="dxa"/>
            <w:vMerge w:val="continue"/>
            <w:noWrap w:val="0"/>
            <w:vAlign w:val="center"/>
          </w:tcPr>
          <w:p w14:paraId="138D7DF5">
            <w:pPr>
              <w:pStyle w:val="20"/>
              <w:spacing w:line="240" w:lineRule="auto"/>
              <w:rPr>
                <w:rFonts w:hint="default" w:ascii="Times New Roman" w:hAnsi="Times New Roman" w:eastAsia="宋体" w:cs="Times New Roman"/>
                <w:snapToGrid w:val="0"/>
                <w:color w:val="auto"/>
                <w:sz w:val="21"/>
                <w:szCs w:val="21"/>
              </w:rPr>
            </w:pPr>
          </w:p>
        </w:tc>
        <w:tc>
          <w:tcPr>
            <w:tcW w:w="1854" w:type="dxa"/>
            <w:shd w:val="clear" w:color="auto" w:fill="auto"/>
            <w:noWrap w:val="0"/>
            <w:vAlign w:val="center"/>
          </w:tcPr>
          <w:p w14:paraId="7AFFF9A2">
            <w:pPr>
              <w:pStyle w:val="20"/>
              <w:spacing w:line="240" w:lineRule="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废活性炭</w:t>
            </w:r>
          </w:p>
        </w:tc>
        <w:tc>
          <w:tcPr>
            <w:tcW w:w="1461" w:type="dxa"/>
            <w:noWrap w:val="0"/>
            <w:vAlign w:val="center"/>
          </w:tcPr>
          <w:p w14:paraId="1A1DFB40">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276" w:type="dxa"/>
            <w:noWrap w:val="0"/>
            <w:vAlign w:val="center"/>
          </w:tcPr>
          <w:p w14:paraId="0F9314FF">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701" w:type="dxa"/>
            <w:noWrap w:val="0"/>
            <w:vAlign w:val="center"/>
          </w:tcPr>
          <w:p w14:paraId="7C6C3A24">
            <w:pPr>
              <w:pStyle w:val="20"/>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41FC1DAA">
            <w:pPr>
              <w:pStyle w:val="20"/>
              <w:spacing w:line="240" w:lineRule="auto"/>
              <w:rPr>
                <w:rFonts w:hint="default" w:ascii="Times New Roman" w:hAnsi="Times New Roman" w:eastAsia="宋体" w:cs="Times New Roman"/>
                <w:color w:val="auto"/>
                <w:sz w:val="21"/>
                <w:szCs w:val="21"/>
                <w:lang w:val="en-US" w:eastAsia="zh-CN"/>
              </w:rPr>
            </w:pPr>
            <w:r>
              <w:rPr>
                <w:rFonts w:hint="eastAsia"/>
                <w:b w:val="0"/>
                <w:bCs/>
                <w:color w:val="auto"/>
                <w:sz w:val="21"/>
                <w:szCs w:val="21"/>
                <w:lang w:val="en-US" w:eastAsia="zh-CN"/>
              </w:rPr>
              <w:t>9.560</w:t>
            </w:r>
            <w:r>
              <w:rPr>
                <w:rFonts w:hint="eastAsia" w:cs="Times New Roman"/>
                <w:snapToGrid w:val="0"/>
                <w:color w:val="auto"/>
                <w:sz w:val="21"/>
                <w:szCs w:val="21"/>
                <w:lang w:val="en-US" w:eastAsia="zh-CN"/>
              </w:rPr>
              <w:t>t/a</w:t>
            </w:r>
          </w:p>
        </w:tc>
        <w:tc>
          <w:tcPr>
            <w:tcW w:w="1761" w:type="dxa"/>
            <w:noWrap w:val="0"/>
            <w:vAlign w:val="center"/>
          </w:tcPr>
          <w:p w14:paraId="425B9AA6">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6E49EC1B">
            <w:pPr>
              <w:pStyle w:val="20"/>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eastAsia"/>
                <w:b w:val="0"/>
                <w:bCs/>
                <w:color w:val="auto"/>
                <w:sz w:val="21"/>
                <w:szCs w:val="21"/>
                <w:lang w:val="en-US" w:eastAsia="zh-CN"/>
              </w:rPr>
              <w:t>9.560</w:t>
            </w:r>
            <w:r>
              <w:rPr>
                <w:rFonts w:hint="eastAsia" w:cs="Times New Roman"/>
                <w:snapToGrid w:val="0"/>
                <w:color w:val="auto"/>
                <w:sz w:val="21"/>
                <w:szCs w:val="21"/>
                <w:lang w:val="en-US" w:eastAsia="zh-CN"/>
              </w:rPr>
              <w:t>t/a</w:t>
            </w:r>
          </w:p>
        </w:tc>
        <w:tc>
          <w:tcPr>
            <w:tcW w:w="1485" w:type="dxa"/>
            <w:noWrap w:val="0"/>
            <w:vAlign w:val="center"/>
          </w:tcPr>
          <w:p w14:paraId="54EDB068">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rPr>
              <w:t>/</w:t>
            </w:r>
          </w:p>
        </w:tc>
      </w:tr>
      <w:tr w14:paraId="581AE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391" w:type="dxa"/>
            <w:vMerge w:val="continue"/>
            <w:noWrap w:val="0"/>
            <w:vAlign w:val="center"/>
          </w:tcPr>
          <w:p w14:paraId="7F4DD2B8">
            <w:pPr>
              <w:pStyle w:val="20"/>
              <w:spacing w:line="240" w:lineRule="auto"/>
              <w:rPr>
                <w:rFonts w:hint="default" w:ascii="Times New Roman" w:hAnsi="Times New Roman" w:eastAsia="宋体" w:cs="Times New Roman"/>
                <w:snapToGrid w:val="0"/>
                <w:color w:val="auto"/>
                <w:sz w:val="21"/>
                <w:szCs w:val="21"/>
              </w:rPr>
            </w:pPr>
          </w:p>
        </w:tc>
        <w:tc>
          <w:tcPr>
            <w:tcW w:w="1854" w:type="dxa"/>
            <w:shd w:val="clear" w:color="auto" w:fill="auto"/>
            <w:noWrap w:val="0"/>
            <w:vAlign w:val="center"/>
          </w:tcPr>
          <w:p w14:paraId="46403BE3">
            <w:pPr>
              <w:pStyle w:val="20"/>
              <w:spacing w:line="240" w:lineRule="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废机油</w:t>
            </w:r>
          </w:p>
        </w:tc>
        <w:tc>
          <w:tcPr>
            <w:tcW w:w="1461" w:type="dxa"/>
            <w:shd w:val="clear" w:color="auto" w:fill="auto"/>
            <w:noWrap w:val="0"/>
            <w:vAlign w:val="center"/>
          </w:tcPr>
          <w:p w14:paraId="55FD15C8">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276" w:type="dxa"/>
            <w:shd w:val="clear" w:color="auto" w:fill="auto"/>
            <w:noWrap w:val="0"/>
            <w:vAlign w:val="center"/>
          </w:tcPr>
          <w:p w14:paraId="6D12DF5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701" w:type="dxa"/>
            <w:shd w:val="clear" w:color="auto" w:fill="auto"/>
            <w:noWrap w:val="0"/>
            <w:vAlign w:val="center"/>
          </w:tcPr>
          <w:p w14:paraId="1DA989F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03707ED7">
            <w:pPr>
              <w:pStyle w:val="20"/>
              <w:tabs>
                <w:tab w:val="center" w:pos="730"/>
                <w:tab w:val="right" w:pos="1343"/>
              </w:tabs>
              <w:spacing w:line="240" w:lineRule="auto"/>
              <w:jc w:val="left"/>
              <w:rPr>
                <w:rFonts w:hint="default" w:cs="Times New Roman"/>
                <w:color w:val="auto"/>
                <w:sz w:val="21"/>
                <w:szCs w:val="21"/>
                <w:lang w:val="en-US" w:eastAsia="zh-CN"/>
              </w:rPr>
            </w:pPr>
            <w:r>
              <w:rPr>
                <w:rFonts w:hint="eastAsia" w:cs="Times New Roman"/>
                <w:color w:val="auto"/>
                <w:sz w:val="21"/>
                <w:szCs w:val="21"/>
                <w:lang w:val="en-US" w:eastAsia="zh-CN"/>
              </w:rPr>
              <w:tab/>
            </w:r>
            <w:r>
              <w:rPr>
                <w:rFonts w:hint="eastAsia" w:cs="Times New Roman"/>
                <w:color w:val="auto"/>
                <w:sz w:val="21"/>
                <w:szCs w:val="21"/>
                <w:lang w:val="en-US" w:eastAsia="zh-CN"/>
              </w:rPr>
              <w:t>0.01</w:t>
            </w:r>
            <w:r>
              <w:rPr>
                <w:rFonts w:hint="eastAsia" w:cs="Times New Roman"/>
                <w:snapToGrid w:val="0"/>
                <w:color w:val="auto"/>
                <w:sz w:val="21"/>
                <w:szCs w:val="21"/>
                <w:lang w:val="en-US" w:eastAsia="zh-CN"/>
              </w:rPr>
              <w:t>t/a</w:t>
            </w:r>
          </w:p>
        </w:tc>
        <w:tc>
          <w:tcPr>
            <w:tcW w:w="1761" w:type="dxa"/>
            <w:noWrap w:val="0"/>
            <w:vAlign w:val="center"/>
          </w:tcPr>
          <w:p w14:paraId="6483E9B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50CB1A90">
            <w:pPr>
              <w:pStyle w:val="2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0.01</w:t>
            </w:r>
            <w:r>
              <w:rPr>
                <w:rFonts w:hint="eastAsia" w:cs="Times New Roman"/>
                <w:snapToGrid w:val="0"/>
                <w:color w:val="auto"/>
                <w:sz w:val="21"/>
                <w:szCs w:val="21"/>
                <w:lang w:val="en-US" w:eastAsia="zh-CN"/>
              </w:rPr>
              <w:t>t/a</w:t>
            </w:r>
          </w:p>
        </w:tc>
        <w:tc>
          <w:tcPr>
            <w:tcW w:w="1485" w:type="dxa"/>
            <w:noWrap w:val="0"/>
            <w:vAlign w:val="center"/>
          </w:tcPr>
          <w:p w14:paraId="42F0DB1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r>
      <w:tr w14:paraId="3BF0D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391" w:type="dxa"/>
            <w:vMerge w:val="continue"/>
            <w:noWrap w:val="0"/>
            <w:vAlign w:val="center"/>
          </w:tcPr>
          <w:p w14:paraId="34D06008">
            <w:pPr>
              <w:pStyle w:val="20"/>
              <w:spacing w:line="240" w:lineRule="auto"/>
              <w:rPr>
                <w:rFonts w:hint="default" w:ascii="Times New Roman" w:hAnsi="Times New Roman" w:eastAsia="宋体" w:cs="Times New Roman"/>
                <w:snapToGrid w:val="0"/>
                <w:color w:val="auto"/>
                <w:sz w:val="21"/>
                <w:szCs w:val="21"/>
              </w:rPr>
            </w:pPr>
          </w:p>
        </w:tc>
        <w:tc>
          <w:tcPr>
            <w:tcW w:w="1854" w:type="dxa"/>
            <w:shd w:val="clear" w:color="auto" w:fill="auto"/>
            <w:noWrap w:val="0"/>
            <w:vAlign w:val="center"/>
          </w:tcPr>
          <w:p w14:paraId="4142D2DB">
            <w:pPr>
              <w:pStyle w:val="20"/>
              <w:spacing w:line="240" w:lineRule="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含机油废抹布和废手套</w:t>
            </w:r>
          </w:p>
        </w:tc>
        <w:tc>
          <w:tcPr>
            <w:tcW w:w="1461" w:type="dxa"/>
            <w:shd w:val="clear" w:color="auto" w:fill="auto"/>
            <w:noWrap w:val="0"/>
            <w:vAlign w:val="center"/>
          </w:tcPr>
          <w:p w14:paraId="0B934E61">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276" w:type="dxa"/>
            <w:shd w:val="clear" w:color="auto" w:fill="auto"/>
            <w:noWrap w:val="0"/>
            <w:vAlign w:val="center"/>
          </w:tcPr>
          <w:p w14:paraId="50142B7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701" w:type="dxa"/>
            <w:shd w:val="clear" w:color="auto" w:fill="auto"/>
            <w:noWrap w:val="0"/>
            <w:vAlign w:val="center"/>
          </w:tcPr>
          <w:p w14:paraId="70763FC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sz w:val="21"/>
                <w:szCs w:val="21"/>
                <w:lang w:val="en-US" w:eastAsia="zh-CN"/>
              </w:rPr>
              <w:t>/</w:t>
            </w:r>
          </w:p>
        </w:tc>
        <w:tc>
          <w:tcPr>
            <w:tcW w:w="1559" w:type="dxa"/>
            <w:noWrap w:val="0"/>
            <w:vAlign w:val="center"/>
          </w:tcPr>
          <w:p w14:paraId="4E3A938B">
            <w:pPr>
              <w:pStyle w:val="20"/>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0.01</w:t>
            </w:r>
            <w:r>
              <w:rPr>
                <w:rFonts w:hint="eastAsia" w:cs="Times New Roman"/>
                <w:snapToGrid w:val="0"/>
                <w:color w:val="auto"/>
                <w:sz w:val="21"/>
                <w:szCs w:val="21"/>
                <w:lang w:val="en-US" w:eastAsia="zh-CN"/>
              </w:rPr>
              <w:t>t/a</w:t>
            </w:r>
          </w:p>
        </w:tc>
        <w:tc>
          <w:tcPr>
            <w:tcW w:w="1761" w:type="dxa"/>
            <w:noWrap w:val="0"/>
            <w:vAlign w:val="center"/>
          </w:tcPr>
          <w:p w14:paraId="517DECA1">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snapToGrid w:val="0"/>
                <w:color w:val="auto"/>
                <w:sz w:val="21"/>
                <w:szCs w:val="21"/>
                <w:lang w:val="en-US" w:eastAsia="zh-CN"/>
              </w:rPr>
              <w:t>/</w:t>
            </w:r>
          </w:p>
        </w:tc>
        <w:tc>
          <w:tcPr>
            <w:tcW w:w="1471" w:type="dxa"/>
            <w:shd w:val="clear" w:color="auto" w:fill="auto"/>
            <w:noWrap w:val="0"/>
            <w:vAlign w:val="center"/>
          </w:tcPr>
          <w:p w14:paraId="073402C3">
            <w:pPr>
              <w:pStyle w:val="20"/>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0.01</w:t>
            </w:r>
            <w:r>
              <w:rPr>
                <w:rFonts w:hint="eastAsia" w:cs="Times New Roman"/>
                <w:snapToGrid w:val="0"/>
                <w:color w:val="auto"/>
                <w:sz w:val="21"/>
                <w:szCs w:val="21"/>
                <w:lang w:val="en-US" w:eastAsia="zh-CN"/>
              </w:rPr>
              <w:t>t/a</w:t>
            </w:r>
          </w:p>
        </w:tc>
        <w:tc>
          <w:tcPr>
            <w:tcW w:w="1485" w:type="dxa"/>
            <w:noWrap w:val="0"/>
            <w:vAlign w:val="center"/>
          </w:tcPr>
          <w:p w14:paraId="4CBB2A42">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rPr>
            </w:pPr>
            <w:r>
              <w:rPr>
                <w:rFonts w:hint="default" w:ascii="Times New Roman" w:hAnsi="Times New Roman" w:eastAsia="宋体" w:cs="Times New Roman"/>
                <w:snapToGrid w:val="0"/>
                <w:color w:val="auto"/>
                <w:sz w:val="21"/>
                <w:szCs w:val="21"/>
              </w:rPr>
              <w:t>/</w:t>
            </w:r>
          </w:p>
        </w:tc>
      </w:tr>
    </w:tbl>
    <w:p w14:paraId="5AEA45A5">
      <w:pPr>
        <w:pStyle w:val="26"/>
        <w:spacing w:before="192" w:beforeLines="80" w:after="24"/>
        <w:ind w:firstLine="480"/>
        <w:jc w:val="left"/>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sectPr>
      <w:footerReference r:id="rId13"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CB506">
    <w:pPr>
      <w:pStyle w:val="7"/>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B6525">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6013E">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18315">
    <w:pPr>
      <w:pStyle w:val="7"/>
      <w:ind w:firstLine="360"/>
      <w:jc w:val="center"/>
    </w:pPr>
    <w:r>
      <w:fldChar w:fldCharType="begin"/>
    </w:r>
    <w:r>
      <w:instrText xml:space="preserve">PAGE   \* MERGEFORMAT</w:instrText>
    </w:r>
    <w:r>
      <w:fldChar w:fldCharType="separate"/>
    </w:r>
    <w:r>
      <w:rPr>
        <w:lang w:val="zh-CN"/>
      </w:rPr>
      <w:t>-</w:t>
    </w:r>
    <w:r>
      <w:t xml:space="preserve"> 56 -</w:t>
    </w:r>
    <w:r>
      <w:fldChar w:fldCharType="end"/>
    </w:r>
  </w:p>
  <w:p w14:paraId="3A6790CF">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69236">
    <w:pPr>
      <w:pStyle w:val="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66FD72">
                          <w:pPr>
                            <w:pStyle w:val="7"/>
                          </w:pPr>
                          <w:r>
                            <w:fldChar w:fldCharType="begin"/>
                          </w:r>
                          <w:r>
                            <w:instrText xml:space="preserve"> PAGE  \* MERGEFORMAT </w:instrText>
                          </w:r>
                          <w:r>
                            <w:fldChar w:fldCharType="separate"/>
                          </w:r>
                          <w:r>
                            <w:t>83</w:t>
                          </w:r>
                          <w:r>
                            <w:fldChar w:fldCharType="end"/>
                          </w:r>
                        </w:p>
                      </w:txbxContent>
                    </wps:txbx>
                    <wps:bodyPr vert="horz" wrap="none" lIns="0" tIns="0" rIns="0" bIns="0" anchor="t" anchorCtr="0" upright="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F4srXeIBAADCAwAADgAA&#10;AAAAAAABACAAAAAeAQAAZHJzL2Uyb0RvYy54bWxQSwUGAAAAAAYABgBZAQAAcgUAAAAA&#10;">
              <v:fill on="f" focussize="0,0"/>
              <v:stroke on="f"/>
              <v:imagedata o:title=""/>
              <o:lock v:ext="edit" aspectratio="f"/>
              <v:textbox inset="0mm,0mm,0mm,0mm" style="mso-fit-shape-to-text:t;">
                <w:txbxContent>
                  <w:p w14:paraId="1566FD72">
                    <w:pPr>
                      <w:pStyle w:val="7"/>
                    </w:pPr>
                    <w:r>
                      <w:fldChar w:fldCharType="begin"/>
                    </w:r>
                    <w:r>
                      <w:instrText xml:space="preserve"> PAGE  \* MERGEFORMAT </w:instrText>
                    </w:r>
                    <w:r>
                      <w:fldChar w:fldCharType="separate"/>
                    </w:r>
                    <w:r>
                      <w:t>83</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posOffset>2665095</wp:posOffset>
              </wp:positionH>
              <wp:positionV relativeFrom="paragraph">
                <wp:posOffset>0</wp:posOffset>
              </wp:positionV>
              <wp:extent cx="914400" cy="1828800"/>
              <wp:effectExtent l="0" t="0" r="0" b="0"/>
              <wp:wrapNone/>
              <wp:docPr id="16" name="文本框 2051"/>
              <wp:cNvGraphicFramePr/>
              <a:graphic xmlns:a="http://schemas.openxmlformats.org/drawingml/2006/main">
                <a:graphicData uri="http://schemas.microsoft.com/office/word/2010/wordprocessingShape">
                  <wps:wsp>
                    <wps:cNvSpPr txBox="1"/>
                    <wps:spPr>
                      <a:xfrm>
                        <a:off x="0" y="0"/>
                        <a:ext cx="914400" cy="1828800"/>
                      </a:xfrm>
                      <a:prstGeom prst="rect">
                        <a:avLst/>
                      </a:prstGeom>
                      <a:noFill/>
                      <a:ln>
                        <a:noFill/>
                      </a:ln>
                    </wps:spPr>
                    <wps:txbx>
                      <w:txbxContent>
                        <w:p w14:paraId="0ECFF3C4">
                          <w:pPr>
                            <w:pStyle w:val="7"/>
                            <w:ind w:firstLine="560"/>
                            <w:rPr>
                              <w:rStyle w:val="18"/>
                              <w:rFonts w:hint="default" w:ascii="宋体" w:hAnsi="宋体" w:eastAsia="宋体"/>
                              <w:sz w:val="18"/>
                              <w:szCs w:val="18"/>
                              <w:lang w:val="en-US" w:eastAsia="zh-CN"/>
                            </w:rPr>
                          </w:pPr>
                        </w:p>
                      </w:txbxContent>
                    </wps:txbx>
                    <wps:bodyPr vert="horz" wrap="square" lIns="0" tIns="0" rIns="0" bIns="0" anchor="t" anchorCtr="0" upright="0">
                      <a:spAutoFit/>
                    </wps:bodyPr>
                  </wps:wsp>
                </a:graphicData>
              </a:graphic>
            </wp:anchor>
          </w:drawing>
        </mc:Choice>
        <mc:Fallback>
          <w:pict>
            <v:shape id="文本框 2051" o:spid="_x0000_s1026" o:spt="202" type="#_x0000_t202" style="position:absolute;left:0pt;margin-left:209.85pt;margin-top:0pt;height:144pt;width:72pt;mso-position-horizontal-relative:margin;z-index:251659264;mso-width-relative:page;mso-height-relative:page;" filled="f" stroked="f" coordsize="21600,21600" o:gfxdata="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FRuPHVAAAA&#10;CAEAAA8AAAAAAAAAAQAgAAAAIgAAAGRycy9kb3ducmV2LnhtbFBLAQIUABQAAAAIAIdO4kDNkf9R&#10;5wEAAMMDAAAOAAAAAAAAAAEAIAAAACQBAABkcnMvZTJvRG9jLnhtbFBLBQYAAAAABgAGAFkBAAB9&#10;BQAAAAA=&#10;">
              <v:fill on="f" focussize="0,0"/>
              <v:stroke on="f"/>
              <v:imagedata o:title=""/>
              <o:lock v:ext="edit" aspectratio="f"/>
              <v:textbox inset="0mm,0mm,0mm,0mm" style="mso-fit-shape-to-text:t;">
                <w:txbxContent>
                  <w:p w14:paraId="0ECFF3C4">
                    <w:pPr>
                      <w:pStyle w:val="7"/>
                      <w:ind w:firstLine="560"/>
                      <w:rPr>
                        <w:rStyle w:val="18"/>
                        <w:rFonts w:hint="default" w:ascii="宋体" w:hAnsi="宋体" w:eastAsia="宋体"/>
                        <w:sz w:val="18"/>
                        <w:szCs w:val="18"/>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7F3FB">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A6493">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CD90B">
    <w:pPr>
      <w:pStyle w:val="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2D009">
    <w:pPr>
      <w:pStyle w:val="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FF783"/>
    <w:multiLevelType w:val="singleLevel"/>
    <w:tmpl w:val="834FF783"/>
    <w:lvl w:ilvl="0" w:tentative="0">
      <w:start w:val="1"/>
      <w:numFmt w:val="decimal"/>
      <w:suff w:val="nothing"/>
      <w:lvlText w:val="（%1）"/>
      <w:lvlJc w:val="left"/>
    </w:lvl>
  </w:abstractNum>
  <w:abstractNum w:abstractNumId="1">
    <w:nsid w:val="9958D810"/>
    <w:multiLevelType w:val="singleLevel"/>
    <w:tmpl w:val="9958D810"/>
    <w:lvl w:ilvl="0" w:tentative="0">
      <w:start w:val="3"/>
      <w:numFmt w:val="decimal"/>
      <w:suff w:val="nothing"/>
      <w:lvlText w:val="（%1）"/>
      <w:lvlJc w:val="left"/>
    </w:lvl>
  </w:abstractNum>
  <w:abstractNum w:abstractNumId="2">
    <w:nsid w:val="E1F374B8"/>
    <w:multiLevelType w:val="singleLevel"/>
    <w:tmpl w:val="E1F374B8"/>
    <w:lvl w:ilvl="0" w:tentative="0">
      <w:start w:val="11"/>
      <w:numFmt w:val="chineseCounting"/>
      <w:suff w:val="nothing"/>
      <w:lvlText w:val="%1、"/>
      <w:lvlJc w:val="left"/>
      <w:rPr>
        <w:rFonts w:hint="eastAsia"/>
      </w:rPr>
    </w:lvl>
  </w:abstractNum>
  <w:abstractNum w:abstractNumId="3">
    <w:nsid w:val="1CE48B3A"/>
    <w:multiLevelType w:val="singleLevel"/>
    <w:tmpl w:val="1CE48B3A"/>
    <w:lvl w:ilvl="0" w:tentative="0">
      <w:start w:val="2"/>
      <w:numFmt w:val="decimal"/>
      <w:suff w:val="nothing"/>
      <w:lvlText w:val="（%1）"/>
      <w:lvlJc w:val="left"/>
    </w:lvl>
  </w:abstractNum>
  <w:abstractNum w:abstractNumId="4">
    <w:nsid w:val="4A29B20A"/>
    <w:multiLevelType w:val="singleLevel"/>
    <w:tmpl w:val="4A29B20A"/>
    <w:lvl w:ilvl="0" w:tentative="0">
      <w:start w:val="2"/>
      <w:numFmt w:val="decimal"/>
      <w:suff w:val="nothing"/>
      <w:lvlText w:val="%1、"/>
      <w:lvlJc w:val="left"/>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CC471F"/>
    <w:rsid w:val="0376236A"/>
    <w:rsid w:val="04043713"/>
    <w:rsid w:val="04C836C4"/>
    <w:rsid w:val="04D91436"/>
    <w:rsid w:val="04E90B5B"/>
    <w:rsid w:val="050A6F44"/>
    <w:rsid w:val="05F9301F"/>
    <w:rsid w:val="06433CAF"/>
    <w:rsid w:val="066816F4"/>
    <w:rsid w:val="070659F4"/>
    <w:rsid w:val="071C2FB4"/>
    <w:rsid w:val="079E7838"/>
    <w:rsid w:val="07A74632"/>
    <w:rsid w:val="07D727EF"/>
    <w:rsid w:val="07E67599"/>
    <w:rsid w:val="08D86F1C"/>
    <w:rsid w:val="0A5D186A"/>
    <w:rsid w:val="0C6377F9"/>
    <w:rsid w:val="0CBC56CE"/>
    <w:rsid w:val="0D725B91"/>
    <w:rsid w:val="0DF447F8"/>
    <w:rsid w:val="0E7E57FC"/>
    <w:rsid w:val="0E840DB7"/>
    <w:rsid w:val="0EA85B01"/>
    <w:rsid w:val="0F3E488D"/>
    <w:rsid w:val="102869DB"/>
    <w:rsid w:val="10AD6EE0"/>
    <w:rsid w:val="11164A85"/>
    <w:rsid w:val="11C72224"/>
    <w:rsid w:val="11E95209"/>
    <w:rsid w:val="12950EA8"/>
    <w:rsid w:val="130B1B74"/>
    <w:rsid w:val="13A21EC9"/>
    <w:rsid w:val="157875F8"/>
    <w:rsid w:val="162B77F1"/>
    <w:rsid w:val="164068AD"/>
    <w:rsid w:val="17395D12"/>
    <w:rsid w:val="18873034"/>
    <w:rsid w:val="18A5454F"/>
    <w:rsid w:val="19286AFD"/>
    <w:rsid w:val="19627CF3"/>
    <w:rsid w:val="19A73E2E"/>
    <w:rsid w:val="1B3426D8"/>
    <w:rsid w:val="1B426E45"/>
    <w:rsid w:val="1B4C6180"/>
    <w:rsid w:val="1B6B5AB1"/>
    <w:rsid w:val="1BD81902"/>
    <w:rsid w:val="1C0302FC"/>
    <w:rsid w:val="1D8662E0"/>
    <w:rsid w:val="1F754368"/>
    <w:rsid w:val="1FF57F5C"/>
    <w:rsid w:val="203C4627"/>
    <w:rsid w:val="20BE47F2"/>
    <w:rsid w:val="210F4BFC"/>
    <w:rsid w:val="213A66D7"/>
    <w:rsid w:val="214C590F"/>
    <w:rsid w:val="22123047"/>
    <w:rsid w:val="2274785E"/>
    <w:rsid w:val="22AC0D81"/>
    <w:rsid w:val="22DB78DD"/>
    <w:rsid w:val="236B0540"/>
    <w:rsid w:val="24AF7273"/>
    <w:rsid w:val="24C34ACD"/>
    <w:rsid w:val="259602C7"/>
    <w:rsid w:val="27F90011"/>
    <w:rsid w:val="28887890"/>
    <w:rsid w:val="28E06BE5"/>
    <w:rsid w:val="29DA77BF"/>
    <w:rsid w:val="2AB54EB7"/>
    <w:rsid w:val="2B1240B8"/>
    <w:rsid w:val="2B966A97"/>
    <w:rsid w:val="2BA97051"/>
    <w:rsid w:val="2C986E73"/>
    <w:rsid w:val="2D4E251C"/>
    <w:rsid w:val="2D56704C"/>
    <w:rsid w:val="2D9E60D7"/>
    <w:rsid w:val="2E285B3C"/>
    <w:rsid w:val="30D2231F"/>
    <w:rsid w:val="31E05054"/>
    <w:rsid w:val="32036508"/>
    <w:rsid w:val="32BF2D77"/>
    <w:rsid w:val="34067EE2"/>
    <w:rsid w:val="356F1DDA"/>
    <w:rsid w:val="35C00505"/>
    <w:rsid w:val="377C1237"/>
    <w:rsid w:val="377E145E"/>
    <w:rsid w:val="37824373"/>
    <w:rsid w:val="385C6972"/>
    <w:rsid w:val="39050DB8"/>
    <w:rsid w:val="3B5C5A60"/>
    <w:rsid w:val="3E244F36"/>
    <w:rsid w:val="3E9F2427"/>
    <w:rsid w:val="3F701554"/>
    <w:rsid w:val="3F762AB8"/>
    <w:rsid w:val="3FE54F40"/>
    <w:rsid w:val="4033445D"/>
    <w:rsid w:val="408B386C"/>
    <w:rsid w:val="40D519B8"/>
    <w:rsid w:val="410A4894"/>
    <w:rsid w:val="42011174"/>
    <w:rsid w:val="421F0B39"/>
    <w:rsid w:val="42444146"/>
    <w:rsid w:val="438D657A"/>
    <w:rsid w:val="4456696C"/>
    <w:rsid w:val="44E64193"/>
    <w:rsid w:val="4560611D"/>
    <w:rsid w:val="45F438F0"/>
    <w:rsid w:val="48494BDF"/>
    <w:rsid w:val="48822425"/>
    <w:rsid w:val="4A58168F"/>
    <w:rsid w:val="4B1F21AD"/>
    <w:rsid w:val="4B8C7C4E"/>
    <w:rsid w:val="4DCB3F26"/>
    <w:rsid w:val="4E0C4505"/>
    <w:rsid w:val="4E643B42"/>
    <w:rsid w:val="4F2A44BF"/>
    <w:rsid w:val="4F455F5A"/>
    <w:rsid w:val="50233099"/>
    <w:rsid w:val="516C77CE"/>
    <w:rsid w:val="553E7000"/>
    <w:rsid w:val="567A4B1A"/>
    <w:rsid w:val="57E5652D"/>
    <w:rsid w:val="5A7539B9"/>
    <w:rsid w:val="5A81253D"/>
    <w:rsid w:val="5AFB29FC"/>
    <w:rsid w:val="5B631C42"/>
    <w:rsid w:val="5B634F81"/>
    <w:rsid w:val="5C2E2250"/>
    <w:rsid w:val="5C900581"/>
    <w:rsid w:val="5CC16525"/>
    <w:rsid w:val="5CD94E3F"/>
    <w:rsid w:val="607A7015"/>
    <w:rsid w:val="60CE0324"/>
    <w:rsid w:val="613A3445"/>
    <w:rsid w:val="614E0C9F"/>
    <w:rsid w:val="61665FE8"/>
    <w:rsid w:val="61AE03A7"/>
    <w:rsid w:val="61FA4982"/>
    <w:rsid w:val="62AD7C47"/>
    <w:rsid w:val="64B63994"/>
    <w:rsid w:val="652D740C"/>
    <w:rsid w:val="66657EBC"/>
    <w:rsid w:val="67205227"/>
    <w:rsid w:val="67401914"/>
    <w:rsid w:val="67BF46A4"/>
    <w:rsid w:val="68E50145"/>
    <w:rsid w:val="68E5638C"/>
    <w:rsid w:val="690F6F65"/>
    <w:rsid w:val="6A4607F3"/>
    <w:rsid w:val="6A4E61B3"/>
    <w:rsid w:val="6B1E5B86"/>
    <w:rsid w:val="6C843845"/>
    <w:rsid w:val="6CAD399C"/>
    <w:rsid w:val="6CBB1A3E"/>
    <w:rsid w:val="6E201C15"/>
    <w:rsid w:val="6E7F693B"/>
    <w:rsid w:val="717E5B46"/>
    <w:rsid w:val="729F0AB8"/>
    <w:rsid w:val="73CD1EF7"/>
    <w:rsid w:val="75D12389"/>
    <w:rsid w:val="775F730A"/>
    <w:rsid w:val="79780B57"/>
    <w:rsid w:val="79D97847"/>
    <w:rsid w:val="7A5E1AFB"/>
    <w:rsid w:val="7AD31C6F"/>
    <w:rsid w:val="7CB62C00"/>
    <w:rsid w:val="7D286875"/>
    <w:rsid w:val="7D40198C"/>
    <w:rsid w:val="7F2D5F40"/>
    <w:rsid w:val="7F6F1E2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ind w:firstLine="0" w:firstLineChars="0"/>
      <w:outlineLvl w:val="0"/>
    </w:pPr>
    <w:rPr>
      <w:b/>
      <w:bCs/>
      <w:kern w:val="44"/>
      <w:sz w:val="30"/>
      <w:szCs w:val="44"/>
    </w:rPr>
  </w:style>
  <w:style w:type="paragraph" w:styleId="3">
    <w:name w:val="heading 2"/>
    <w:basedOn w:val="1"/>
    <w:next w:val="1"/>
    <w:qFormat/>
    <w:uiPriority w:val="0"/>
    <w:pPr>
      <w:keepNext/>
      <w:keepLines/>
      <w:ind w:firstLine="0" w:firstLineChars="0"/>
      <w:outlineLvl w:val="1"/>
    </w:pPr>
    <w:rPr>
      <w:rFonts w:ascii="Arial" w:hAnsi="Arial"/>
      <w:b/>
      <w:bCs/>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rPr>
      <w:kern w:val="0"/>
      <w:sz w:val="24"/>
      <w:szCs w:val="20"/>
    </w:rPr>
  </w:style>
  <w:style w:type="paragraph" w:styleId="5">
    <w:name w:val="Body Text"/>
    <w:basedOn w:val="1"/>
    <w:next w:val="6"/>
    <w:unhideWhenUsed/>
    <w:qFormat/>
    <w:uiPriority w:val="0"/>
    <w:pPr>
      <w:spacing w:after="120" w:afterLines="0" w:line="240" w:lineRule="auto"/>
      <w:ind w:firstLine="0" w:firstLineChars="0"/>
    </w:pPr>
    <w:rPr>
      <w:kern w:val="0"/>
      <w:sz w:val="20"/>
      <w:szCs w:val="24"/>
    </w:rPr>
  </w:style>
  <w:style w:type="paragraph" w:customStyle="1" w:styleId="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7">
    <w:name w:val="footer"/>
    <w:basedOn w:val="1"/>
    <w:unhideWhenUsed/>
    <w:qFormat/>
    <w:uiPriority w:val="0"/>
    <w:pPr>
      <w:tabs>
        <w:tab w:val="center" w:pos="4153"/>
        <w:tab w:val="right" w:pos="8306"/>
      </w:tabs>
      <w:snapToGrid w:val="0"/>
      <w:spacing w:line="240" w:lineRule="auto"/>
      <w:jc w:val="left"/>
    </w:pPr>
    <w:rPr>
      <w:sz w:val="18"/>
      <w:szCs w:val="18"/>
    </w:rPr>
  </w:style>
  <w:style w:type="paragraph" w:styleId="8">
    <w:name w:val="header"/>
    <w:basedOn w:val="1"/>
    <w:next w:val="9"/>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customStyle="1" w:styleId="9">
    <w:name w:val="样式5"/>
    <w:basedOn w:val="10"/>
    <w:qFormat/>
    <w:uiPriority w:val="0"/>
    <w:pPr>
      <w:tabs>
        <w:tab w:val="left" w:pos="420"/>
        <w:tab w:val="left" w:pos="1589"/>
      </w:tabs>
      <w:adjustRightInd w:val="0"/>
      <w:snapToGrid w:val="0"/>
      <w:spacing w:before="0" w:after="0" w:line="480" w:lineRule="exact"/>
      <w:ind w:firstLine="480" w:firstLineChars="200"/>
      <w:jc w:val="left"/>
      <w:outlineLvl w:val="9"/>
    </w:pPr>
    <w:rPr>
      <w:rFonts w:ascii="宋体" w:hAnsi="宋体"/>
      <w:b/>
      <w:snapToGrid w:val="0"/>
      <w:sz w:val="24"/>
      <w:szCs w:val="24"/>
    </w:rPr>
  </w:style>
  <w:style w:type="paragraph" w:customStyle="1" w:styleId="10">
    <w:name w:val="正文1"/>
    <w:basedOn w:val="1"/>
    <w:qFormat/>
    <w:uiPriority w:val="0"/>
    <w:pPr>
      <w:snapToGrid w:val="0"/>
      <w:spacing w:line="270" w:lineRule="exact"/>
      <w:jc w:val="center"/>
    </w:pPr>
    <w:rPr>
      <w:spacing w:val="8"/>
      <w:kern w:val="21"/>
      <w:szCs w:val="20"/>
    </w:rPr>
  </w:style>
  <w:style w:type="paragraph" w:styleId="11">
    <w:name w:val="toc 1"/>
    <w:basedOn w:val="1"/>
    <w:next w:val="1"/>
    <w:unhideWhenUsed/>
    <w:qFormat/>
    <w:uiPriority w:val="39"/>
  </w:style>
  <w:style w:type="paragraph" w:styleId="12">
    <w:name w:val="List"/>
    <w:basedOn w:val="1"/>
    <w:qFormat/>
    <w:uiPriority w:val="0"/>
    <w:pPr>
      <w:spacing w:before="20" w:after="20"/>
      <w:jc w:val="center"/>
      <w:textAlignment w:val="baseline"/>
    </w:pPr>
    <w:rPr>
      <w:rFonts w:ascii="Times New Roman" w:hAnsi="Times New Roman"/>
      <w:kern w:val="0"/>
      <w:sz w:val="24"/>
      <w:szCs w:val="20"/>
    </w:rPr>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16">
    <w:name w:val="Table Grid"/>
    <w:basedOn w:val="15"/>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paragraph" w:customStyle="1" w:styleId="19">
    <w:name w:val="_Style 4"/>
    <w:basedOn w:val="2"/>
    <w:next w:val="1"/>
    <w:qFormat/>
    <w:uiPriority w:val="39"/>
    <w:pPr>
      <w:widowControl/>
      <w:spacing w:before="480" w:line="276" w:lineRule="auto"/>
      <w:jc w:val="left"/>
      <w:outlineLvl w:val="9"/>
    </w:pPr>
    <w:rPr>
      <w:rFonts w:ascii="Cambria" w:hAnsi="Cambria" w:eastAsia="宋体" w:cs="Times New Roman"/>
      <w:color w:val="365F91"/>
      <w:kern w:val="0"/>
      <w:sz w:val="28"/>
      <w:szCs w:val="28"/>
    </w:rPr>
  </w:style>
  <w:style w:type="paragraph" w:customStyle="1" w:styleId="20">
    <w:name w:val="表格文字1"/>
    <w:basedOn w:val="21"/>
    <w:qFormat/>
    <w:uiPriority w:val="0"/>
    <w:pPr>
      <w:spacing w:line="240" w:lineRule="auto"/>
      <w:ind w:firstLine="0" w:firstLineChars="0"/>
      <w:jc w:val="center"/>
    </w:pPr>
    <w:rPr>
      <w:sz w:val="21"/>
    </w:rPr>
  </w:style>
  <w:style w:type="paragraph" w:customStyle="1" w:styleId="21">
    <w:name w:val="表格中文字"/>
    <w:basedOn w:val="1"/>
    <w:qFormat/>
    <w:uiPriority w:val="0"/>
    <w:rPr>
      <w:szCs w:val="52"/>
    </w:rPr>
  </w:style>
  <w:style w:type="paragraph" w:customStyle="1" w:styleId="22">
    <w:name w:val="表格标题"/>
    <w:basedOn w:val="1"/>
    <w:qFormat/>
    <w:uiPriority w:val="0"/>
    <w:pPr>
      <w:ind w:firstLine="0" w:firstLineChars="0"/>
      <w:jc w:val="center"/>
    </w:pPr>
    <w:rPr>
      <w:b/>
    </w:rPr>
  </w:style>
  <w:style w:type="paragraph" w:customStyle="1" w:styleId="23">
    <w:name w:val="样式 标题 1 + 四号 段前: 0 磅 段后: 0 磅 行距: 1.5 倍行距"/>
    <w:basedOn w:val="1"/>
    <w:next w:val="1"/>
    <w:qFormat/>
    <w:uiPriority w:val="0"/>
    <w:pPr>
      <w:widowControl/>
      <w:adjustRightInd w:val="0"/>
      <w:snapToGrid w:val="0"/>
      <w:ind w:firstLine="200"/>
      <w:jc w:val="center"/>
    </w:pPr>
    <w:rPr>
      <w:rFonts w:cs="??"/>
    </w:rPr>
  </w:style>
  <w:style w:type="paragraph" w:customStyle="1" w:styleId="24">
    <w:name w:val="Default"/>
    <w:basedOn w:val="25"/>
    <w:next w:val="12"/>
    <w:unhideWhenUsed/>
    <w:qFormat/>
    <w:uiPriority w:val="99"/>
    <w:pPr>
      <w:autoSpaceDE w:val="0"/>
      <w:autoSpaceDN w:val="0"/>
      <w:adjustRightInd w:val="0"/>
    </w:pPr>
    <w:rPr>
      <w:rFonts w:hint="eastAsia" w:ascii="Times New Roman" w:hAnsi="Times New Roman" w:eastAsia="Times New Roman" w:cs="Times New Roman"/>
      <w:color w:val="000000"/>
      <w:sz w:val="24"/>
    </w:rPr>
  </w:style>
  <w:style w:type="paragraph" w:customStyle="1" w:styleId="25">
    <w:name w:val="纯文本1"/>
    <w:basedOn w:val="1"/>
    <w:qFormat/>
    <w:uiPriority w:val="0"/>
    <w:pPr>
      <w:adjustRightInd w:val="0"/>
      <w:textAlignment w:val="baseline"/>
    </w:pPr>
    <w:rPr>
      <w:rFonts w:ascii="宋体" w:hAnsi="Courier New"/>
      <w:sz w:val="28"/>
      <w:szCs w:val="20"/>
    </w:rPr>
  </w:style>
  <w:style w:type="paragraph" w:customStyle="1" w:styleId="26">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7">
    <w:name w:val="Table Paragraph"/>
    <w:basedOn w:val="1"/>
    <w:qFormat/>
    <w:uiPriority w:val="0"/>
    <w:pPr>
      <w:widowControl/>
      <w:spacing w:line="240" w:lineRule="auto"/>
      <w:ind w:firstLine="0" w:firstLineChars="0"/>
      <w:jc w:val="left"/>
    </w:pPr>
    <w:rPr>
      <w:rFonts w:ascii="Calibri" w:hAnsi="Calibri" w:cs="宋体"/>
      <w:kern w:val="0"/>
      <w:sz w:val="22"/>
    </w:rPr>
  </w:style>
  <w:style w:type="paragraph" w:customStyle="1" w:styleId="28">
    <w:name w:val="样式 四号 行距: 1.5 倍行距 首行缩进:  2 字符"/>
    <w:basedOn w:val="1"/>
    <w:qFormat/>
    <w:uiPriority w:val="0"/>
    <w:pPr>
      <w:ind w:firstLine="560"/>
    </w:pPr>
    <w:rPr>
      <w:sz w:val="28"/>
      <w:szCs w:val="20"/>
    </w:rPr>
  </w:style>
  <w:style w:type="paragraph" w:customStyle="1" w:styleId="29">
    <w:name w:val="ice表内"/>
    <w:basedOn w:val="1"/>
    <w:qFormat/>
    <w:uiPriority w:val="0"/>
    <w:pPr>
      <w:widowControl/>
      <w:spacing w:line="240" w:lineRule="auto"/>
      <w:ind w:firstLine="0" w:firstLineChars="0"/>
      <w:jc w:val="center"/>
    </w:pPr>
    <w:rPr>
      <w:rFonts w:ascii="宋体" w:hAnsi="宋体" w:cs="宋体"/>
      <w:kern w:val="0"/>
    </w:rPr>
  </w:style>
  <w:style w:type="character" w:customStyle="1" w:styleId="30">
    <w:name w:val="font21"/>
    <w:basedOn w:val="17"/>
    <w:qFormat/>
    <w:uiPriority w:val="0"/>
    <w:rPr>
      <w:rFonts w:hint="default" w:ascii="Times New Roman" w:hAnsi="Times New Roman" w:cs="Times New Roman"/>
      <w:color w:val="FF0000"/>
      <w:sz w:val="21"/>
      <w:szCs w:val="21"/>
      <w:u w:val="none"/>
    </w:rPr>
  </w:style>
  <w:style w:type="character" w:customStyle="1" w:styleId="31">
    <w:name w:val="font11"/>
    <w:basedOn w:val="17"/>
    <w:qFormat/>
    <w:uiPriority w:val="0"/>
    <w:rPr>
      <w:rFonts w:hint="default" w:ascii="Times New Roman" w:hAnsi="Times New Roman" w:cs="Times New Roman"/>
      <w:color w:val="000000"/>
      <w:sz w:val="24"/>
      <w:szCs w:val="24"/>
      <w:u w:val="none"/>
    </w:rPr>
  </w:style>
  <w:style w:type="paragraph" w:customStyle="1" w:styleId="32">
    <w:name w:val="wlh表头及图尾深圳环评（新）"/>
    <w:qFormat/>
    <w:uiPriority w:val="0"/>
    <w:pPr>
      <w:tabs>
        <w:tab w:val="center" w:pos="4200"/>
        <w:tab w:val="right" w:pos="8400"/>
      </w:tabs>
      <w:adjustRightInd w:val="0"/>
      <w:snapToGrid w:val="0"/>
      <w:spacing w:line="360" w:lineRule="auto"/>
      <w:jc w:val="center"/>
    </w:pPr>
    <w:rPr>
      <w:rFonts w:ascii="Verdana" w:hAnsi="Verdana" w:eastAsia="黑体" w:cs="Times New Roman"/>
      <w:snapToGrid w:val="0"/>
      <w:sz w:val="21"/>
      <w:szCs w:val="21"/>
      <w:lang w:val="en-US" w:eastAsia="zh-CN" w:bidi="ar-SA"/>
    </w:rPr>
  </w:style>
  <w:style w:type="paragraph" w:customStyle="1" w:styleId="33">
    <w:name w:val="文本"/>
    <w:basedOn w:val="2"/>
    <w:qFormat/>
    <w:uiPriority w:val="0"/>
    <w:pPr>
      <w:keepLines w:val="0"/>
      <w:overflowPunct w:val="0"/>
      <w:snapToGrid w:val="0"/>
      <w:ind w:firstLine="200" w:firstLineChars="200"/>
      <w:outlineLvl w:val="9"/>
    </w:pPr>
    <w:rPr>
      <w:b w:val="0"/>
      <w:color w:val="000000"/>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wmf"/><Relationship Id="rId3" Type="http://schemas.openxmlformats.org/officeDocument/2006/relationships/footnotes" Target="footnotes.xml"/><Relationship Id="rId29" Type="http://schemas.openxmlformats.org/officeDocument/2006/relationships/oleObject" Target="embeddings/oleObject8.bin"/><Relationship Id="rId28" Type="http://schemas.openxmlformats.org/officeDocument/2006/relationships/oleObject" Target="embeddings/oleObject7.bin"/><Relationship Id="rId27" Type="http://schemas.openxmlformats.org/officeDocument/2006/relationships/image" Target="media/image7.wmf"/><Relationship Id="rId26" Type="http://schemas.openxmlformats.org/officeDocument/2006/relationships/oleObject" Target="embeddings/oleObject6.bin"/><Relationship Id="rId25" Type="http://schemas.openxmlformats.org/officeDocument/2006/relationships/image" Target="media/image6.emf"/><Relationship Id="rId24" Type="http://schemas.openxmlformats.org/officeDocument/2006/relationships/oleObject" Target="embeddings/oleObject5.bin"/><Relationship Id="rId23" Type="http://schemas.openxmlformats.org/officeDocument/2006/relationships/image" Target="media/image5.emf"/><Relationship Id="rId22" Type="http://schemas.openxmlformats.org/officeDocument/2006/relationships/oleObject" Target="embeddings/oleObject4.bin"/><Relationship Id="rId21" Type="http://schemas.openxmlformats.org/officeDocument/2006/relationships/image" Target="media/image4.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2.bin"/><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48538aac-9bc5-4b46-be4b-577a7cbc8c10</errorID>
      <errorWord>监测报告</errorWord>
      <group>L1_Word</group>
      <groupName>字词问题</groupName>
      <ability>L2_Typo</ability>
      <abilityName>字词错误</abilityName>
      <candidateList>
        <item>检测报告</item>
      </candidateList>
      <explain/>
      <paraID>520CA573</paraID>
      <start>8</start>
      <end>12</end>
      <status>unmodified</status>
      <modifiedWord/>
      <trackRevisions>false</trackRevisions>
    </reviewItem>
    <reviewItem>
      <errorID>58e00caf-6d98-4827-874d-58b3b5e12bd7</errorID>
      <errorWord>本</errorWord>
      <group>L1_AI</group>
      <groupName>深度校对</groupName>
      <ability>L2_AI_Punc</ability>
      <abilityName>标点纠错</abilityName>
      <candidateList>
        <item>，本</item>
      </candidateList>
      <explain/>
      <paraID>504CD367</paraID>
      <start>32</start>
      <end>33</end>
      <status>unmodified</status>
      <modifiedWord/>
      <trackRevisions>false</trackRevisions>
    </reviewItem>
    <reviewItem>
      <errorID>dfa8f58a-ef86-45ed-ba10-a5cc8d672cb0</errorID>
      <errorWord>国务院</errorWord>
      <group>L1_AI</group>
      <groupName>深度校对</groupName>
      <ability>L2_AI_Punc</ability>
      <abilityName>标点纠错</abilityName>
      <candidateList>
        <item>《国务院</item>
      </candidateList>
      <explain/>
      <paraID>5A550FD3</paraID>
      <start>65</start>
      <end>68</end>
      <status>unmodified</status>
      <modifiedWord/>
      <trackRevisions>false</trackRevisions>
    </reviewItem>
    <reviewItem>
      <errorID>31b3500a-7da9-4598-9bf5-2eb99a6da587</errorID>
      <errorWord>第三章</errorWord>
      <group>L1_AI</group>
      <groupName>深度校对</groupName>
      <ability>L2_AI_Punc</ability>
      <abilityName>标点纠错</abilityName>
      <candidateList>
        <item>》第三章</item>
      </candidateList>
      <explain/>
      <paraID>5A550FD3</paraID>
      <start>91</start>
      <end>94</end>
      <status>unmodified</status>
      <modifiedWord/>
      <trackRevisions>false</trackRevisions>
    </reviewItem>
    <reviewItem>
      <errorID>1b86cbd7-b56d-4330-9e5d-1a507e4fa4b8</errorID>
      <errorWord>符合</errorWord>
      <group>L1_AI</group>
      <groupName>深度校对</groupName>
      <ability>L2_AI_Grammar</ability>
      <abilityName>语法纠错</abilityName>
      <candidateList>
        <item>的符合</item>
      </candidateList>
      <explain/>
      <paraID>668E8F2A</paraID>
      <start>30</start>
      <end>32</end>
      <status>unmodified</status>
      <modifiedWord/>
      <trackRevisions>false</trackRevisions>
    </reviewItem>
    <reviewItem>
      <errorID>a68d03c7-6903-42a4-83f2-83e7679a50c1</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21200C5B</paraID>
      <start>130</start>
      <end>133</end>
      <status>unmodified</status>
      <modifiedWord/>
      <trackRevisions>false</trackRevisions>
    </reviewItem>
    <reviewItem>
      <errorID>f6aa4568-7b0f-40de-abad-106d86c6acab</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21200C5B</paraID>
      <start>154</start>
      <end>157</end>
      <status>unmodified</status>
      <modifiedWord/>
      <trackRevisions>false</trackRevisions>
    </reviewItem>
    <reviewItem>
      <errorID>721c859a-a62e-4bff-91f9-7405ec3dabbb</errorID>
      <errorWord>IV类</errorWord>
      <group>L1_Knowledge</group>
      <groupName>知识性问题</groupName>
      <ability>L2_Knowledge</ability>
      <abilityName>其他知识</abilityName>
      <candidateList>
        <item>Ⅳ类</item>
      </candidateList>
      <explain/>
      <paraID>3708B8E2</paraID>
      <start>109</start>
      <end>112</end>
      <status>unmodified</status>
      <modifiedWord/>
      <trackRevisions>false</trackRevisions>
    </reviewItem>
    <reviewItem>
      <errorID>6c88cc13-6abc-4243-af10-05bc6dcf45fd</errorID>
      <errorWord>IV类</errorWord>
      <group>L1_Knowledge</group>
      <groupName>知识性问题</groupName>
      <ability>L2_Knowledge</ability>
      <abilityName>其他知识</abilityName>
      <candidateList>
        <item>Ⅳ类</item>
      </candidateList>
      <explain/>
      <paraID>3708B8E2</paraID>
      <start>119</start>
      <end>122</end>
      <status>unmodified</status>
      <modifiedWord/>
      <trackRevisions>false</trackRevisions>
    </reviewItem>
    <reviewItem>
      <errorID>42946706-574a-4639-8d97-c4d3e8cbcb39</errorID>
      <errorWord>和土</errorWord>
      <group>L1_Word</group>
      <groupName>字词问题</groupName>
      <ability>L2_Typo</ability>
      <abilityName>字词错误</abilityName>
      <candidateList>
        <item>和</item>
      </candidateList>
      <explain>〈量〉用于洗东西换水的次数或一剂药煎的次数：衣裳已经洗了三～｜二～药。</explain>
      <paraID>77763D25</paraID>
      <start>56</start>
      <end>58</end>
      <status>unmodified</status>
      <modifiedWord/>
      <trackRevisions>false</trackRevisions>
    </reviewItem>
    <reviewItem>
      <errorID>264682dc-f28c-4f6e-8cda-aeb837b2f669</errorID>
      <errorWord>千支流</errorWord>
      <group>L1_Word</group>
      <groupName>字词问题</groupName>
      <ability>L2_Typo</ability>
      <abilityName>字词错误</abilityName>
      <candidateList>
        <item>干支流</item>
      </candidateList>
      <explain/>
      <paraID>7817A092</paraID>
      <start>8</start>
      <end>11</end>
      <status>unmodified</status>
      <modifiedWord/>
      <trackRevisions>false</trackRevisions>
    </reviewItem>
    <reviewItem>
      <errorID>8a2271db-b064-46ce-8fe0-c5afa98ceae9</errorID>
      <errorWord>防止</errorWord>
      <group>L1_Word</group>
      <groupName>字词问题</groupName>
      <ability>L2_Typo</ability>
      <abilityName>字词错误</abilityName>
      <candidateList>
        <item>防治</item>
      </candidateList>
      <explain>〈动〉预防和治疗、治理（疾病、灾害等）：～结核病｜～病虫害｜～风沙。</explain>
      <paraID>526EF8FA</paraID>
      <start>17</start>
      <end>19</end>
      <status>unmodified</status>
      <modifiedWord/>
      <trackRevisions>false</trackRevisions>
    </reviewItem>
    <reviewItem>
      <errorID>34943971-b91b-4999-9df8-fd048251a98c</errorID>
      <errorWord>与</errorWord>
      <group>L1_Word</group>
      <groupName>字词问题</groupName>
      <ability>L2_Typo</ability>
      <abilityName>字词错误</abilityName>
      <candidateList>
        <item>于</item>
      </candidateList>
      <explain>存在发音相同字词的误用。</explain>
      <paraID>527DD347</paraID>
      <start>151</start>
      <end>152</end>
      <status>unmodified</status>
      <modifiedWord/>
      <trackRevisions>false</trackRevisions>
    </reviewItem>
    <reviewItem>
      <errorID>dc5d0677-f8b8-4078-853b-af72307506f6</errorID>
      <errorWord>加强</errorWord>
      <group>L1_Word</group>
      <groupName>字词问题</groupName>
      <ability>L2_Typo</ability>
      <abilityName>字词错误</abilityName>
      <candidateList>
        <item>加大</item>
      </candidateList>
      <explain>“加强～力度”搭配不当，建议修改为“加大～力度”。</explain>
      <paraID>7E05D42B</paraID>
      <start>3</start>
      <end>5</end>
      <status>ignored</status>
      <modifiedWord/>
      <trackRevisions>false</trackRevisions>
    </reviewItem>
    <reviewItem>
      <errorID>e354a89c-590e-4579-bef9-8db3380e9186</errorID>
      <errorWord>体</errorWord>
      <group>L1_Word</group>
      <groupName>字词问题</groupName>
      <ability>L2_Typo</ability>
      <abilityName>字词错误</abilityName>
      <candidateList>
        <item>体废</item>
      </candidateList>
      <explain/>
      <paraID>51994DF3</paraID>
      <start>13</start>
      <end>14</end>
      <status>ignored</status>
      <modifiedWord/>
      <trackRevisions>false</trackRevisions>
    </reviewItem>
    <reviewItem>
      <errorID>c22a733e-7515-4c36-ae37-0bc99749c750</errorID>
      <errorWord>拌和</errorWord>
      <group>L1_Word</group>
      <groupName>字词问题</groupName>
      <ability>L2_Typo</ability>
      <abilityName>字词错误</abilityName>
      <candidateList>
        <item>拌合</item>
      </candidateList>
      <explain/>
      <paraID>5B3CC4B4</paraID>
      <start>62</start>
      <end>64</end>
      <status>ignored</status>
      <modifiedWord/>
      <trackRevisions>false</trackRevisions>
    </reviewItem>
    <reviewItem>
      <errorID>95520490-3b0c-4c0d-aa98-2c40db51db1b</errorID>
      <errorWord>条</errorWord>
      <group>L1_Knowledge</group>
      <groupName>知识性问题</groupName>
      <ability>L2_Knowledge</ability>
      <abilityName>其他知识</abilityName>
      <candidateList>
        <item>座</item>
      </candidateList>
      <explain/>
      <paraID>  3827B7</paraID>
      <start>11</start>
      <end>12</end>
      <status>ignored</status>
      <modifiedWord/>
      <trackRevisions>false</trackRevisions>
    </reviewItem>
    <reviewItem>
      <errorID>bf115586-9b61-4bac-a528-4b470b0215a1</errorID>
      <errorWord>粘结性</errorWord>
      <group>L1_Word</group>
      <groupName>字词问题</groupName>
      <ability>L2_Typo</ability>
      <abilityName>字词错误</abilityName>
      <candidateList>
        <item>黏结性</item>
      </candidateList>
      <explain>存在发音相同字词的误用。</explain>
      <paraID>4A1D1F62</paraID>
      <start>212</start>
      <end>215</end>
      <status>ignored</status>
      <modifiedWord/>
      <trackRevisions>false</trackRevisions>
    </reviewItem>
    <reviewItem>
      <errorID>2027577f-3025-4149-a257-da9987a57c82</errorID>
      <errorWord>粘度</errorWord>
      <group>L1_Word</group>
      <groupName>字词问题</groupName>
      <ability>L2_Alias</ability>
      <abilityName>也作/曾用词</abilityName>
      <candidateList>
        <item>黏度</item>
      </candidateList>
      <explain>词汇[粘度]为不规范表述或旧称，其规范书面表述为[黏度]。</explain>
      <paraID>664911A2</paraID>
      <start>154</start>
      <end>156</end>
      <status>ignored</status>
      <modifiedWord/>
      <trackRevisions>false</trackRevisions>
    </reviewItem>
    <reviewItem>
      <errorID>09321a05-8e8f-42c7-afbd-b146d2c65dcb</errorID>
      <errorWord>土石</errorWord>
      <group>L1_Word</group>
      <groupName>字词问题</groupName>
      <ability>L2_Typo</ability>
      <abilityName>字词错误</abilityName>
      <candidateList>
        <item>土</item>
      </candidateList>
      <explain/>
      <paraID>2E5E56CE</paraID>
      <start>36</start>
      <end>38</end>
      <status>ignored</status>
      <modifiedWord/>
      <trackRevisions>false</trackRevisions>
    </reviewItem>
    <reviewItem>
      <errorID>aa39032f-76a0-49a4-9628-d6db64d135ff</errorID>
      <errorWord>日内</errorWord>
      <group>L1_Word</group>
      <groupName>字词问题</groupName>
      <ability>L2_Typo</ability>
      <abilityName>字词错误</abilityName>
      <candidateList>
        <item>日</item>
      </candidateList>
      <explain/>
      <paraID>5F1465C8</paraID>
      <start>153</start>
      <end>155</end>
      <status>ignored</status>
      <modifiedWord/>
      <trackRevisions>false</trackRevisions>
    </reviewItem>
    <reviewItem>
      <errorID>8c0045c9-337a-4451-b1cd-af92e31a9779</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3EFF9886</paraID>
      <start>130</start>
      <end>133</end>
      <status>ignored</status>
      <modifiedWord/>
      <trackRevisions>false</trackRevisions>
    </reviewItem>
    <reviewItem>
      <errorID>e65da4e3-941f-479c-8b23-94da4f47dad0</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3EFF9886</paraID>
      <start>154</start>
      <end>157</end>
      <status>ignored</status>
      <modifiedWord/>
      <trackRevisions>false</trackRevisions>
    </reviewItem>
    <reviewItem>
      <errorID>b1923ca1-6529-44bd-af26-1b8f502e6163</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716DE494</paraID>
      <start>84</start>
      <end>87</end>
      <status>ignored</status>
      <modifiedWord/>
      <trackRevisions>false</trackRevisions>
    </reviewItem>
    <reviewItem>
      <errorID>6b3b58e7-ab7f-4710-b885-3df842b289b4</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716DE494</paraID>
      <start>94</start>
      <end>97</end>
      <status>ignored</status>
      <modifiedWord/>
      <trackRevisions>false</trackRevisions>
    </reviewItem>
    <reviewItem>
      <errorID>98ecc24b-5a06-4516-aa37-6058ede3fde7</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716DE494</paraID>
      <start>245</start>
      <end>248</end>
      <status>ignored</status>
      <modifiedWord/>
      <trackRevisions>false</trackRevisions>
    </reviewItem>
    <reviewItem>
      <errorID>dc59d344-06af-45db-8b05-a18966c5b386</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716DE494</paraID>
      <start>249</start>
      <end>252</end>
      <status>ignored</status>
      <modifiedWord/>
      <trackRevisions>false</trackRevisions>
    </reviewItem>
    <reviewItem>
      <errorID>7786a8ab-75ac-4f80-a5c7-d7803966a604</errorID>
      <errorWord>古树名树</errorWord>
      <group>L1_Knowledge</group>
      <groupName>知识性问题</groupName>
      <ability>L2_Term</ability>
      <abilityName>专业术语</abilityName>
      <candidateList>
        <item>古树名木</item>
      </candidateList>
      <explain/>
      <paraID>555A20E9</paraID>
      <start>60</start>
      <end>64</end>
      <status>ignored</status>
      <modifiedWord/>
      <trackRevisions>false</trackRevisions>
    </reviewItem>
    <reviewItem>
      <errorID>3a7debd0-4ec6-4c8c-98b2-c1b498d0563d</errorID>
      <errorWord>石油气工厂</errorWord>
      <group>L1_Knowledge</group>
      <groupName>知识性问题</groupName>
      <ability>L2_Term</ability>
      <abilityName>专业术语</abilityName>
      <candidateList>
        <item>石油化工厂</item>
      </candidateList>
      <explain/>
      <paraID>23542E6D</paraID>
      <start>14</start>
      <end>19</end>
      <status>ignored</status>
      <modifiedWord/>
      <trackRevisions>false</trackRevisions>
    </reviewItem>
    <reviewItem>
      <errorID>8f4cc55d-da06-4827-a31f-728459bd5f87</errorID>
      <errorWord>拌和</errorWord>
      <group>L1_Word</group>
      <groupName>字词问题</groupName>
      <ability>L2_Typo</ability>
      <abilityName>字词错误</abilityName>
      <candidateList>
        <item>拌合</item>
      </candidateList>
      <explain/>
      <paraID>23542E6D</paraID>
      <start>85</start>
      <end>87</end>
      <status>ignored</status>
      <modifiedWord/>
      <trackRevisions>false</trackRevisions>
    </reviewItem>
    <reviewItem>
      <errorID>64b9a8b2-70a3-44f6-a517-2a7c9ebc8d53</errorID>
      <errorWord>拌和</errorWord>
      <group>L1_Word</group>
      <groupName>字词问题</groupName>
      <ability>L2_Typo</ability>
      <abilityName>字词错误</abilityName>
      <candidateList>
        <item>拌合</item>
      </candidateList>
      <explain/>
      <paraID>23542E6D</paraID>
      <start>170</start>
      <end>172</end>
      <status>ignored</status>
      <modifiedWord/>
      <trackRevisions>false</trackRevisions>
    </reviewItem>
    <reviewItem>
      <errorID>2f71ec55-37ad-4db0-bb50-a9024186ce26</errorID>
      <errorWord>即颗粒物</errorWord>
      <group>L1_Knowledge</group>
      <groupName>知识性问题</groupName>
      <ability>L2_Term</ability>
      <abilityName>专业术语</abilityName>
      <candidateList>
        <item>细颗粒物</item>
      </candidateList>
      <explain/>
      <paraID>4A72D835</paraID>
      <start>208</start>
      <end>212</end>
      <status>ignored</status>
      <modifiedWord/>
      <trackRevisions>false</trackRevisions>
    </reviewItem>
    <reviewItem>
      <errorID>11f58e49-91e0-4cd8-8f7e-4b5865c0f151</errorID>
      <errorWord>即颗粒物</errorWord>
      <group>L1_Knowledge</group>
      <groupName>知识性问题</groupName>
      <ability>L2_Term</ability>
      <abilityName>专业术语</abilityName>
      <candidateList>
        <item>细颗粒物</item>
      </candidateList>
      <explain/>
      <paraID>621ABBF6</paraID>
      <start>186</start>
      <end>190</end>
      <status>ignored</status>
      <modifiedWord/>
      <trackRevisions>false</trackRevisions>
    </reviewItem>
    <reviewItem>
      <errorID>9fff538f-6cf4-48a4-b73b-6a0067b6359e</errorID>
      <errorWord>即颗粒物</errorWord>
      <group>L1_Knowledge</group>
      <groupName>知识性问题</groupName>
      <ability>L2_Term</ability>
      <abilityName>专业术语</abilityName>
      <candidateList>
        <item>细颗粒物</item>
      </candidateList>
      <explain/>
      <paraID>7B5044A5</paraID>
      <start>157</start>
      <end>161</end>
      <status>ignored</status>
      <modifiedWord/>
      <trackRevisions>false</trackRevisions>
    </reviewItem>
    <reviewItem>
      <errorID>716ca52d-3a6d-4ff2-8866-b1537bce505c</errorID>
      <errorWord>设</errorWord>
      <group>L1_Word</group>
      <groupName>字词问题</groupName>
      <ability>L2_Typo</ability>
      <abilityName>字词错误</abilityName>
      <candidateList>
        <item>设置</item>
      </candidateList>
      <explain>〈动〉❶设立：这座剧院是为儿童～的。❷安放；安装：～障碍。</explain>
      <paraID>271B1B06</paraID>
      <start>112</start>
      <end>113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c4f23d-c93c-42ed-9ace-c5c5e07a6000}">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26891</Words>
  <Characters>28360</Characters>
  <Lines>0</Lines>
  <Paragraphs>0</Paragraphs>
  <TotalTime>13</TotalTime>
  <ScaleCrop>false</ScaleCrop>
  <LinksUpToDate>false</LinksUpToDate>
  <CharactersWithSpaces>28526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2021-02-25T07:44:00Z</dcterms:created>
  <dc:creator>aa</dc:creator>
  <cp:lastModifiedBy>学而知之</cp:lastModifiedBy>
  <dcterms:modified xsi:type="dcterms:W3CDTF">2026-01-19T10:00:13Z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eyJoZGlkIjoiNDlhYTc5NDc4NDUxMTc0YzljM2FkNzNkNjQyOGQ0Y2EiLCJ1c2VySWQiOiIxOTk2MjU0OTkifQ==</vt:lpwstr>
  </property>
  <property fmtid="{D5CDD505-2E9C-101B-9397-08002B2CF9AE}" pid="4" name="ICV">
    <vt:lpwstr>D69FB032BAA8430B869E6DCB6A993059_13</vt:lpwstr>
  </property>
</Properties>
</file>